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F197" w14:textId="77777777" w:rsidR="00AF3AC8" w:rsidRDefault="00AF3AC8" w:rsidP="00246D05"/>
    <w:p w14:paraId="14FA1123" w14:textId="77777777" w:rsidR="00AF3AC8" w:rsidRDefault="00AF3AC8" w:rsidP="00246D05"/>
    <w:p w14:paraId="5870390A" w14:textId="77777777" w:rsidR="00AF3AC8" w:rsidRDefault="00AF3AC8" w:rsidP="00246D05"/>
    <w:p w14:paraId="64491FDA" w14:textId="77777777" w:rsidR="00AF3AC8" w:rsidRDefault="00AF3AC8" w:rsidP="00246D05"/>
    <w:p w14:paraId="6457EBA0" w14:textId="77777777" w:rsidR="00AF3AC8" w:rsidRDefault="00AF3AC8" w:rsidP="00246D05"/>
    <w:p w14:paraId="1BF73584" w14:textId="77777777" w:rsidR="00AF3AC8" w:rsidRDefault="00AF3AC8" w:rsidP="00246D05"/>
    <w:p w14:paraId="75CCBB01" w14:textId="77777777" w:rsidR="00AF3AC8" w:rsidRDefault="00AF3AC8" w:rsidP="00246D05"/>
    <w:p w14:paraId="4A2EFC17" w14:textId="6772D9EE" w:rsidR="008C3D1E" w:rsidRDefault="00B93661" w:rsidP="00854705">
      <w:pPr>
        <w:pStyle w:val="Heading1"/>
        <w:jc w:val="center"/>
        <w:rPr>
          <w:rFonts w:eastAsia="Times New Roman"/>
        </w:rPr>
      </w:pPr>
      <w:bookmarkStart w:id="0" w:name="_Toc11855828"/>
      <w:r w:rsidRPr="009F6315">
        <w:rPr>
          <w:rFonts w:eastAsia="Times New Roman"/>
        </w:rPr>
        <w:t>ARMENIA:</w:t>
      </w:r>
      <w:r>
        <w:rPr>
          <w:rFonts w:eastAsia="Times New Roman"/>
        </w:rPr>
        <w:tab/>
      </w:r>
      <w:r w:rsidR="00854705" w:rsidRPr="00854705">
        <w:rPr>
          <w:rFonts w:eastAsia="Times New Roman"/>
        </w:rPr>
        <w:t>Promoting Competition and Creating Contestable Markets in Armenia</w:t>
      </w:r>
      <w:bookmarkEnd w:id="0"/>
      <w:r w:rsidR="00854705" w:rsidRPr="00854705" w:rsidDel="00854705">
        <w:rPr>
          <w:rFonts w:eastAsia="Times New Roman"/>
        </w:rPr>
        <w:t xml:space="preserve"> </w:t>
      </w:r>
    </w:p>
    <w:p w14:paraId="699340B1" w14:textId="5B658496" w:rsidR="00CD687A" w:rsidRPr="00246D05" w:rsidRDefault="00CD687A" w:rsidP="00246D05">
      <w:pPr>
        <w:jc w:val="center"/>
      </w:pPr>
      <w:r w:rsidRPr="00CD687A">
        <w:t>ID: P166748</w:t>
      </w:r>
    </w:p>
    <w:p w14:paraId="3B337679" w14:textId="4054DA05" w:rsidR="00854705" w:rsidRDefault="00854705" w:rsidP="00854705"/>
    <w:p w14:paraId="123CD865" w14:textId="7BE23809" w:rsidR="00854705" w:rsidRDefault="00854705" w:rsidP="00854705">
      <w:pPr>
        <w:jc w:val="center"/>
      </w:pPr>
      <w:r>
        <w:t>June 2019</w:t>
      </w:r>
    </w:p>
    <w:p w14:paraId="308CBE5C" w14:textId="226FAA76" w:rsidR="00373281" w:rsidRDefault="00373281" w:rsidP="00854705">
      <w:pPr>
        <w:jc w:val="center"/>
      </w:pPr>
    </w:p>
    <w:p w14:paraId="4BDA87BB" w14:textId="5EB8683A" w:rsidR="00373281" w:rsidRPr="00E34867" w:rsidRDefault="00373281" w:rsidP="00373281">
      <w:pPr>
        <w:jc w:val="both"/>
        <w:rPr>
          <w:rFonts w:asciiTheme="minorHAnsi" w:hAnsiTheme="minorHAnsi" w:cstheme="minorHAnsi"/>
        </w:rPr>
      </w:pPr>
      <w:r w:rsidRPr="00866C28">
        <w:rPr>
          <w:rFonts w:asciiTheme="minorHAnsi" w:hAnsiTheme="minorHAnsi" w:cstheme="minorHAnsi"/>
        </w:rPr>
        <w:t>Th</w:t>
      </w:r>
      <w:r>
        <w:rPr>
          <w:rFonts w:asciiTheme="minorHAnsi" w:hAnsiTheme="minorHAnsi" w:cstheme="minorHAnsi"/>
        </w:rPr>
        <w:t>e preparation of this policy note was</w:t>
      </w:r>
      <w:r w:rsidRPr="00866C28">
        <w:rPr>
          <w:rFonts w:asciiTheme="minorHAnsi" w:hAnsiTheme="minorHAnsi" w:cstheme="minorHAnsi"/>
        </w:rPr>
        <w:t xml:space="preserve"> led by Sara Nyman (</w:t>
      </w:r>
      <w:r>
        <w:rPr>
          <w:rFonts w:asciiTheme="minorHAnsi" w:hAnsiTheme="minorHAnsi" w:cstheme="minorHAnsi"/>
        </w:rPr>
        <w:t xml:space="preserve">Senior </w:t>
      </w:r>
      <w:r w:rsidRPr="00866C28">
        <w:rPr>
          <w:rFonts w:asciiTheme="minorHAnsi" w:hAnsiTheme="minorHAnsi" w:cstheme="minorHAnsi"/>
        </w:rPr>
        <w:t>Economist and Competition Policy Specialist, Task Team leader</w:t>
      </w:r>
      <w:r w:rsidR="00B30643">
        <w:rPr>
          <w:rFonts w:asciiTheme="minorHAnsi" w:hAnsiTheme="minorHAnsi" w:cstheme="minorHAnsi"/>
        </w:rPr>
        <w:t>, GMTCI</w:t>
      </w:r>
      <w:r w:rsidRPr="00866C28">
        <w:rPr>
          <w:rFonts w:asciiTheme="minorHAnsi" w:hAnsiTheme="minorHAnsi" w:cstheme="minorHAnsi"/>
        </w:rPr>
        <w:t>) and Mariam Dolidze (Senior Economist, Co-Task Team Leader</w:t>
      </w:r>
      <w:r w:rsidR="00B30643">
        <w:rPr>
          <w:rFonts w:asciiTheme="minorHAnsi" w:hAnsiTheme="minorHAnsi" w:cstheme="minorHAnsi"/>
        </w:rPr>
        <w:t xml:space="preserve">, </w:t>
      </w:r>
      <w:r w:rsidR="00B30643">
        <w:rPr>
          <w:rFonts w:asciiTheme="minorHAnsi" w:hAnsiTheme="minorHAnsi" w:cstheme="minorHAnsi"/>
        </w:rPr>
        <w:t>GMTE2</w:t>
      </w:r>
      <w:r w:rsidRPr="00866C28">
        <w:rPr>
          <w:rFonts w:asciiTheme="minorHAnsi" w:hAnsiTheme="minorHAnsi" w:cstheme="minorHAnsi"/>
        </w:rPr>
        <w:t>)</w:t>
      </w:r>
      <w:r>
        <w:rPr>
          <w:rFonts w:asciiTheme="minorHAnsi" w:hAnsiTheme="minorHAnsi" w:cstheme="minorHAnsi"/>
        </w:rPr>
        <w:t>. Valuable inputs were provided by</w:t>
      </w:r>
      <w:r w:rsidRPr="00866C28">
        <w:rPr>
          <w:rFonts w:asciiTheme="minorHAnsi" w:hAnsiTheme="minorHAnsi" w:cstheme="minorHAnsi"/>
        </w:rPr>
        <w:t xml:space="preserve"> Graciela Miralles Murciego (Senior Economist and Competition Policy Specialist</w:t>
      </w:r>
      <w:r w:rsidR="00B30643">
        <w:rPr>
          <w:rFonts w:asciiTheme="minorHAnsi" w:hAnsiTheme="minorHAnsi" w:cstheme="minorHAnsi"/>
        </w:rPr>
        <w:t xml:space="preserve">, </w:t>
      </w:r>
      <w:r w:rsidR="00B30643">
        <w:rPr>
          <w:rFonts w:asciiTheme="minorHAnsi" w:hAnsiTheme="minorHAnsi" w:cstheme="minorHAnsi"/>
        </w:rPr>
        <w:t>GMTCI</w:t>
      </w:r>
      <w:r w:rsidRPr="00866C28">
        <w:rPr>
          <w:rFonts w:asciiTheme="minorHAnsi" w:hAnsiTheme="minorHAnsi" w:cstheme="minorHAnsi"/>
        </w:rPr>
        <w:t>), Armineh Manookian (Economist</w:t>
      </w:r>
      <w:r w:rsidR="00B30643">
        <w:rPr>
          <w:rFonts w:asciiTheme="minorHAnsi" w:hAnsiTheme="minorHAnsi" w:cstheme="minorHAnsi"/>
        </w:rPr>
        <w:t>, GMTE2</w:t>
      </w:r>
      <w:r w:rsidRPr="00866C28">
        <w:rPr>
          <w:rFonts w:asciiTheme="minorHAnsi" w:hAnsiTheme="minorHAnsi" w:cstheme="minorHAnsi"/>
        </w:rPr>
        <w:t>)</w:t>
      </w:r>
      <w:r>
        <w:rPr>
          <w:rFonts w:asciiTheme="minorHAnsi" w:hAnsiTheme="minorHAnsi" w:cstheme="minorHAnsi"/>
        </w:rPr>
        <w:t>, Olga Sipka (C</w:t>
      </w:r>
      <w:r w:rsidR="000A30C7">
        <w:rPr>
          <w:rFonts w:asciiTheme="minorHAnsi" w:hAnsiTheme="minorHAnsi" w:cstheme="minorHAnsi"/>
        </w:rPr>
        <w:t>ompetition C</w:t>
      </w:r>
      <w:r>
        <w:rPr>
          <w:rFonts w:asciiTheme="minorHAnsi" w:hAnsiTheme="minorHAnsi" w:cstheme="minorHAnsi"/>
        </w:rPr>
        <w:t>onsultant)</w:t>
      </w:r>
      <w:r w:rsidRPr="00866C28">
        <w:rPr>
          <w:rFonts w:asciiTheme="minorHAnsi" w:hAnsiTheme="minorHAnsi" w:cstheme="minorHAnsi"/>
        </w:rPr>
        <w:t xml:space="preserve"> and Evgenij Najdov (Senior Country Economist</w:t>
      </w:r>
      <w:r w:rsidR="00B30643">
        <w:rPr>
          <w:rFonts w:asciiTheme="minorHAnsi" w:hAnsiTheme="minorHAnsi" w:cstheme="minorHAnsi"/>
        </w:rPr>
        <w:t>,</w:t>
      </w:r>
      <w:r w:rsidR="00B30643" w:rsidRPr="00B30643">
        <w:rPr>
          <w:rFonts w:asciiTheme="minorHAnsi" w:hAnsiTheme="minorHAnsi" w:cstheme="minorHAnsi"/>
        </w:rPr>
        <w:t xml:space="preserve"> </w:t>
      </w:r>
      <w:r w:rsidR="00B30643">
        <w:rPr>
          <w:rFonts w:asciiTheme="minorHAnsi" w:hAnsiTheme="minorHAnsi" w:cstheme="minorHAnsi"/>
        </w:rPr>
        <w:t>GMTE2</w:t>
      </w:r>
      <w:r w:rsidRPr="00866C28">
        <w:rPr>
          <w:rFonts w:asciiTheme="minorHAnsi" w:hAnsiTheme="minorHAnsi" w:cstheme="minorHAnsi"/>
        </w:rPr>
        <w:t>). Genevieve Boyreau (Program Leader, Equitable Growth, Finance and Institutions</w:t>
      </w:r>
      <w:r w:rsidR="00B30643">
        <w:rPr>
          <w:rFonts w:asciiTheme="minorHAnsi" w:hAnsiTheme="minorHAnsi" w:cstheme="minorHAnsi"/>
        </w:rPr>
        <w:t>, ECC</w:t>
      </w:r>
      <w:r w:rsidR="00AD42AF">
        <w:rPr>
          <w:rFonts w:asciiTheme="minorHAnsi" w:hAnsiTheme="minorHAnsi" w:cstheme="minorHAnsi"/>
        </w:rPr>
        <w:t>SC</w:t>
      </w:r>
      <w:r w:rsidRPr="00866C28">
        <w:rPr>
          <w:rFonts w:asciiTheme="minorHAnsi" w:hAnsiTheme="minorHAnsi" w:cstheme="minorHAnsi"/>
        </w:rPr>
        <w:t>);</w:t>
      </w:r>
      <w:r>
        <w:rPr>
          <w:rFonts w:asciiTheme="minorHAnsi" w:hAnsiTheme="minorHAnsi" w:cstheme="minorHAnsi"/>
        </w:rPr>
        <w:t xml:space="preserve"> and </w:t>
      </w:r>
      <w:r w:rsidRPr="00866C28">
        <w:rPr>
          <w:rFonts w:asciiTheme="minorHAnsi" w:hAnsiTheme="minorHAnsi" w:cstheme="minorHAnsi"/>
        </w:rPr>
        <w:t>Martha Licetti (</w:t>
      </w:r>
      <w:r>
        <w:rPr>
          <w:rFonts w:asciiTheme="minorHAnsi" w:hAnsiTheme="minorHAnsi" w:cstheme="minorHAnsi"/>
        </w:rPr>
        <w:t>Practice Manager</w:t>
      </w:r>
      <w:r w:rsidR="00AD42AF">
        <w:rPr>
          <w:rFonts w:asciiTheme="minorHAnsi" w:hAnsiTheme="minorHAnsi" w:cstheme="minorHAnsi"/>
        </w:rPr>
        <w:t>, GFCMT</w:t>
      </w:r>
      <w:r w:rsidRPr="00866C28">
        <w:rPr>
          <w:rFonts w:asciiTheme="minorHAnsi" w:hAnsiTheme="minorHAnsi" w:cstheme="minorHAnsi"/>
        </w:rPr>
        <w:t>) provided guidance</w:t>
      </w:r>
      <w:r w:rsidR="00C6337E">
        <w:rPr>
          <w:rFonts w:asciiTheme="minorHAnsi" w:hAnsiTheme="minorHAnsi" w:cstheme="minorHAnsi"/>
        </w:rPr>
        <w:t xml:space="preserve">. </w:t>
      </w:r>
    </w:p>
    <w:p w14:paraId="30EB3EF2" w14:textId="77777777" w:rsidR="00373281" w:rsidRPr="00246D05" w:rsidRDefault="00373281" w:rsidP="00246D05">
      <w:pPr>
        <w:jc w:val="center"/>
      </w:pPr>
    </w:p>
    <w:p w14:paraId="0789D966" w14:textId="77777777" w:rsidR="00AF3AC8" w:rsidRDefault="00AF3AC8">
      <w:pPr>
        <w:spacing w:after="160" w:line="259" w:lineRule="auto"/>
        <w:rPr>
          <w:rFonts w:asciiTheme="majorBidi" w:hAnsiTheme="majorBidi" w:cstheme="majorBidi"/>
          <w:b/>
          <w:bCs/>
        </w:rPr>
      </w:pPr>
    </w:p>
    <w:p w14:paraId="4DF6E605" w14:textId="77777777" w:rsidR="00AF3AC8" w:rsidRDefault="00AF3AC8">
      <w:pPr>
        <w:spacing w:after="160" w:line="259" w:lineRule="auto"/>
        <w:rPr>
          <w:rFonts w:asciiTheme="majorBidi" w:hAnsiTheme="majorBidi" w:cstheme="majorBidi"/>
          <w:b/>
          <w:bCs/>
        </w:rPr>
      </w:pPr>
    </w:p>
    <w:p w14:paraId="13E31C6B" w14:textId="77777777" w:rsidR="00AF3AC8" w:rsidRDefault="00AF3AC8">
      <w:pPr>
        <w:spacing w:after="160" w:line="259" w:lineRule="auto"/>
        <w:rPr>
          <w:rFonts w:asciiTheme="majorBidi" w:hAnsiTheme="majorBidi" w:cstheme="majorBidi"/>
          <w:b/>
          <w:bCs/>
        </w:rPr>
      </w:pPr>
    </w:p>
    <w:p w14:paraId="0AC5FD1B" w14:textId="77777777" w:rsidR="00AF3AC8" w:rsidRDefault="00AF3AC8">
      <w:pPr>
        <w:spacing w:after="160" w:line="259" w:lineRule="auto"/>
        <w:rPr>
          <w:rFonts w:asciiTheme="majorBidi" w:hAnsiTheme="majorBidi" w:cstheme="majorBidi"/>
          <w:b/>
          <w:bCs/>
        </w:rPr>
      </w:pPr>
    </w:p>
    <w:p w14:paraId="688BAC2E" w14:textId="77777777" w:rsidR="00AF3AC8" w:rsidRDefault="00AF3AC8">
      <w:pPr>
        <w:spacing w:after="160" w:line="259" w:lineRule="auto"/>
        <w:rPr>
          <w:rFonts w:asciiTheme="majorBidi" w:hAnsiTheme="majorBidi" w:cstheme="majorBidi"/>
          <w:b/>
          <w:bCs/>
        </w:rPr>
      </w:pPr>
    </w:p>
    <w:p w14:paraId="51594377" w14:textId="77777777" w:rsidR="00AF3AC8" w:rsidRDefault="00AF3AC8">
      <w:pPr>
        <w:spacing w:after="160" w:line="259" w:lineRule="auto"/>
        <w:rPr>
          <w:rFonts w:asciiTheme="majorBidi" w:hAnsiTheme="majorBidi" w:cstheme="majorBidi"/>
          <w:b/>
          <w:bCs/>
        </w:rPr>
      </w:pPr>
    </w:p>
    <w:p w14:paraId="687E1581" w14:textId="77777777" w:rsidR="00AF3AC8" w:rsidRDefault="00AF3AC8">
      <w:pPr>
        <w:spacing w:after="160" w:line="259" w:lineRule="auto"/>
        <w:rPr>
          <w:rFonts w:asciiTheme="majorBidi" w:hAnsiTheme="majorBidi" w:cstheme="majorBidi"/>
          <w:b/>
          <w:bCs/>
        </w:rPr>
      </w:pPr>
    </w:p>
    <w:p w14:paraId="480BD792" w14:textId="77777777" w:rsidR="00AF3AC8" w:rsidRDefault="00AF3AC8">
      <w:pPr>
        <w:spacing w:after="160" w:line="259" w:lineRule="auto"/>
        <w:rPr>
          <w:rFonts w:asciiTheme="majorBidi" w:hAnsiTheme="majorBidi" w:cstheme="majorBidi"/>
          <w:b/>
          <w:bCs/>
        </w:rPr>
      </w:pPr>
    </w:p>
    <w:p w14:paraId="0959D07D" w14:textId="77777777" w:rsidR="00AF3AC8" w:rsidRDefault="00AF3AC8">
      <w:pPr>
        <w:spacing w:after="160" w:line="259" w:lineRule="auto"/>
        <w:rPr>
          <w:rFonts w:asciiTheme="majorBidi" w:hAnsiTheme="majorBidi" w:cstheme="majorBidi"/>
          <w:b/>
          <w:bCs/>
        </w:rPr>
      </w:pPr>
    </w:p>
    <w:p w14:paraId="559FF3B8" w14:textId="77777777" w:rsidR="00AF3AC8" w:rsidRDefault="00AF3AC8">
      <w:pPr>
        <w:spacing w:after="160" w:line="259" w:lineRule="auto"/>
        <w:rPr>
          <w:rFonts w:asciiTheme="majorBidi" w:hAnsiTheme="majorBidi" w:cstheme="majorBidi"/>
          <w:b/>
          <w:bCs/>
        </w:rPr>
      </w:pPr>
    </w:p>
    <w:p w14:paraId="7455CF67" w14:textId="77777777" w:rsidR="00AF3AC8" w:rsidRDefault="00AF3AC8">
      <w:pPr>
        <w:spacing w:after="160" w:line="259" w:lineRule="auto"/>
        <w:rPr>
          <w:rFonts w:asciiTheme="majorBidi" w:hAnsiTheme="majorBidi" w:cstheme="majorBidi"/>
          <w:b/>
          <w:bCs/>
        </w:rPr>
      </w:pPr>
    </w:p>
    <w:p w14:paraId="1B02A266" w14:textId="77777777" w:rsidR="00AF3AC8" w:rsidRDefault="00AF3AC8">
      <w:pPr>
        <w:spacing w:after="160" w:line="259" w:lineRule="auto"/>
        <w:rPr>
          <w:rFonts w:asciiTheme="majorBidi" w:hAnsiTheme="majorBidi" w:cstheme="majorBidi"/>
          <w:b/>
          <w:bCs/>
        </w:rPr>
      </w:pPr>
      <w:r w:rsidRPr="002C2AE5">
        <w:rPr>
          <w:rFonts w:cstheme="minorHAnsi"/>
          <w:noProof/>
        </w:rPr>
        <w:drawing>
          <wp:inline distT="0" distB="0" distL="0" distR="0" wp14:anchorId="752781B2" wp14:editId="07A77737">
            <wp:extent cx="306832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MTI-Horizontal-RGB-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8320" cy="601980"/>
                    </a:xfrm>
                    <a:prstGeom prst="rect">
                      <a:avLst/>
                    </a:prstGeom>
                  </pic:spPr>
                </pic:pic>
              </a:graphicData>
            </a:graphic>
          </wp:inline>
        </w:drawing>
      </w:r>
    </w:p>
    <w:p w14:paraId="4F1CDFD2" w14:textId="77777777" w:rsidR="00AF3AC8" w:rsidRDefault="00AF3AC8">
      <w:pPr>
        <w:spacing w:after="160" w:line="259" w:lineRule="auto"/>
        <w:rPr>
          <w:rFonts w:asciiTheme="majorBidi" w:hAnsiTheme="majorBidi" w:cstheme="majorBidi"/>
          <w:b/>
          <w:bCs/>
        </w:rPr>
      </w:pPr>
    </w:p>
    <w:p w14:paraId="21C3610B" w14:textId="77777777" w:rsidR="008007A0" w:rsidRDefault="008007A0">
      <w:pPr>
        <w:spacing w:after="160" w:line="259" w:lineRule="auto"/>
        <w:rPr>
          <w:rFonts w:asciiTheme="majorBidi" w:hAnsiTheme="majorBidi" w:cstheme="majorBidi"/>
          <w:b/>
          <w:bCs/>
        </w:rPr>
      </w:pPr>
      <w:r>
        <w:rPr>
          <w:rFonts w:asciiTheme="majorBidi" w:hAnsiTheme="majorBidi" w:cstheme="majorBidi"/>
          <w:b/>
          <w:bCs/>
        </w:rPr>
        <w:br w:type="page"/>
      </w:r>
    </w:p>
    <w:p w14:paraId="5F6EB019" w14:textId="77777777" w:rsidR="00AF3AC8" w:rsidRDefault="00AF3AC8">
      <w:pPr>
        <w:spacing w:after="160" w:line="259" w:lineRule="auto"/>
        <w:rPr>
          <w:rFonts w:asciiTheme="majorBidi" w:hAnsiTheme="majorBidi" w:cstheme="majorBidi"/>
          <w:b/>
          <w:bCs/>
        </w:rPr>
      </w:pPr>
    </w:p>
    <w:p w14:paraId="34668567" w14:textId="77777777" w:rsidR="00AF3AC8" w:rsidRDefault="00AF3AC8">
      <w:pPr>
        <w:spacing w:after="160" w:line="259" w:lineRule="auto"/>
        <w:rPr>
          <w:rFonts w:asciiTheme="majorBidi" w:hAnsiTheme="majorBidi" w:cstheme="majorBidi"/>
          <w:b/>
          <w:bCs/>
        </w:rPr>
      </w:pPr>
    </w:p>
    <w:p w14:paraId="5C187D7C" w14:textId="77777777" w:rsidR="00AF3AC8" w:rsidRDefault="00AF3AC8" w:rsidP="00AF3AC8">
      <w:pPr>
        <w:pStyle w:val="Heading2"/>
      </w:pPr>
      <w:bookmarkStart w:id="1" w:name="_Toc11855829"/>
      <w:r>
        <w:t>Abbreviations and Acronyms</w:t>
      </w:r>
      <w:bookmarkEnd w:id="1"/>
      <w:r>
        <w:t xml:space="preserve"> </w:t>
      </w:r>
    </w:p>
    <w:p w14:paraId="3292D950" w14:textId="77777777" w:rsidR="00BA7EF3" w:rsidRPr="00BA7EF3" w:rsidRDefault="00BA7EF3" w:rsidP="00BA7EF3"/>
    <w:tbl>
      <w:tblPr>
        <w:tblW w:w="7000" w:type="dxa"/>
        <w:tblLook w:val="04A0" w:firstRow="1" w:lastRow="0" w:firstColumn="1" w:lastColumn="0" w:noHBand="0" w:noVBand="1"/>
      </w:tblPr>
      <w:tblGrid>
        <w:gridCol w:w="1080"/>
        <w:gridCol w:w="5920"/>
      </w:tblGrid>
      <w:tr w:rsidR="00BA7EF3" w:rsidRPr="00824508" w14:paraId="5E77BEE2" w14:textId="77777777" w:rsidTr="006D6CD1">
        <w:trPr>
          <w:trHeight w:val="320"/>
        </w:trPr>
        <w:tc>
          <w:tcPr>
            <w:tcW w:w="1080" w:type="dxa"/>
            <w:tcBorders>
              <w:top w:val="nil"/>
              <w:left w:val="nil"/>
              <w:bottom w:val="nil"/>
              <w:right w:val="nil"/>
            </w:tcBorders>
            <w:shd w:val="clear" w:color="auto" w:fill="auto"/>
            <w:noWrap/>
            <w:vAlign w:val="bottom"/>
            <w:hideMark/>
          </w:tcPr>
          <w:p w14:paraId="46A78EAE"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AMD</w:t>
            </w:r>
          </w:p>
        </w:tc>
        <w:tc>
          <w:tcPr>
            <w:tcW w:w="5920" w:type="dxa"/>
            <w:tcBorders>
              <w:top w:val="nil"/>
              <w:left w:val="nil"/>
              <w:bottom w:val="nil"/>
              <w:right w:val="nil"/>
            </w:tcBorders>
            <w:shd w:val="clear" w:color="auto" w:fill="auto"/>
            <w:noWrap/>
            <w:vAlign w:val="center"/>
            <w:hideMark/>
          </w:tcPr>
          <w:p w14:paraId="25198107"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 xml:space="preserve">Armenian </w:t>
            </w:r>
            <w:r>
              <w:rPr>
                <w:rFonts w:eastAsia="Times New Roman" w:cstheme="minorHAnsi"/>
                <w:color w:val="000000"/>
              </w:rPr>
              <w:t>d</w:t>
            </w:r>
            <w:r w:rsidRPr="00F9573C">
              <w:rPr>
                <w:rFonts w:eastAsia="Times New Roman" w:cstheme="minorHAnsi"/>
                <w:color w:val="000000"/>
              </w:rPr>
              <w:t>ram</w:t>
            </w:r>
          </w:p>
        </w:tc>
      </w:tr>
      <w:tr w:rsidR="00BA7EF3" w:rsidRPr="00824508" w14:paraId="1B0BD05A" w14:textId="77777777" w:rsidTr="006D6CD1">
        <w:trPr>
          <w:trHeight w:val="320"/>
        </w:trPr>
        <w:tc>
          <w:tcPr>
            <w:tcW w:w="1080" w:type="dxa"/>
            <w:tcBorders>
              <w:top w:val="nil"/>
              <w:left w:val="nil"/>
              <w:bottom w:val="nil"/>
              <w:right w:val="nil"/>
            </w:tcBorders>
            <w:shd w:val="clear" w:color="auto" w:fill="auto"/>
            <w:noWrap/>
            <w:vAlign w:val="bottom"/>
          </w:tcPr>
          <w:p w14:paraId="32E2E009" w14:textId="77777777" w:rsidR="00BA7EF3" w:rsidRPr="00F9573C" w:rsidRDefault="00BA7EF3" w:rsidP="006D6CD1">
            <w:pPr>
              <w:rPr>
                <w:rFonts w:eastAsia="Times New Roman" w:cstheme="minorHAnsi"/>
                <w:color w:val="000000"/>
              </w:rPr>
            </w:pPr>
            <w:r>
              <w:rPr>
                <w:rFonts w:eastAsia="Times New Roman" w:cstheme="minorHAnsi"/>
                <w:color w:val="000000"/>
              </w:rPr>
              <w:t>ASA</w:t>
            </w:r>
          </w:p>
        </w:tc>
        <w:tc>
          <w:tcPr>
            <w:tcW w:w="5920" w:type="dxa"/>
            <w:tcBorders>
              <w:top w:val="nil"/>
              <w:left w:val="nil"/>
              <w:bottom w:val="nil"/>
              <w:right w:val="nil"/>
            </w:tcBorders>
            <w:shd w:val="clear" w:color="auto" w:fill="auto"/>
            <w:noWrap/>
            <w:vAlign w:val="center"/>
          </w:tcPr>
          <w:p w14:paraId="44B97D61" w14:textId="77777777" w:rsidR="00BA7EF3" w:rsidRPr="00F9573C" w:rsidRDefault="00BA7EF3" w:rsidP="006D6CD1">
            <w:pPr>
              <w:rPr>
                <w:rFonts w:eastAsia="Times New Roman" w:cstheme="minorHAnsi"/>
                <w:color w:val="000000"/>
              </w:rPr>
            </w:pPr>
            <w:r>
              <w:rPr>
                <w:rFonts w:eastAsia="Times New Roman" w:cstheme="minorHAnsi"/>
                <w:color w:val="000000"/>
              </w:rPr>
              <w:t>Air Service Agreement</w:t>
            </w:r>
          </w:p>
        </w:tc>
      </w:tr>
      <w:tr w:rsidR="00BA7EF3" w:rsidRPr="00824508" w14:paraId="7551B38C" w14:textId="77777777" w:rsidTr="006D6CD1">
        <w:trPr>
          <w:trHeight w:val="320"/>
        </w:trPr>
        <w:tc>
          <w:tcPr>
            <w:tcW w:w="1080" w:type="dxa"/>
            <w:tcBorders>
              <w:top w:val="nil"/>
              <w:left w:val="nil"/>
              <w:bottom w:val="nil"/>
              <w:right w:val="nil"/>
            </w:tcBorders>
            <w:shd w:val="clear" w:color="auto" w:fill="auto"/>
            <w:noWrap/>
            <w:vAlign w:val="bottom"/>
          </w:tcPr>
          <w:p w14:paraId="2F44C591" w14:textId="77777777" w:rsidR="00BA7EF3" w:rsidRDefault="00BA7EF3" w:rsidP="006D6CD1">
            <w:pPr>
              <w:rPr>
                <w:rFonts w:eastAsia="Times New Roman" w:cstheme="minorHAnsi"/>
                <w:color w:val="000000"/>
              </w:rPr>
            </w:pPr>
            <w:r>
              <w:rPr>
                <w:rFonts w:eastAsia="Times New Roman" w:cstheme="minorHAnsi"/>
                <w:color w:val="000000"/>
              </w:rPr>
              <w:t>BTI</w:t>
            </w:r>
          </w:p>
        </w:tc>
        <w:tc>
          <w:tcPr>
            <w:tcW w:w="5920" w:type="dxa"/>
            <w:tcBorders>
              <w:top w:val="nil"/>
              <w:left w:val="nil"/>
              <w:bottom w:val="nil"/>
              <w:right w:val="nil"/>
            </w:tcBorders>
            <w:shd w:val="clear" w:color="auto" w:fill="auto"/>
            <w:noWrap/>
            <w:vAlign w:val="center"/>
          </w:tcPr>
          <w:p w14:paraId="7C5C2057" w14:textId="77777777" w:rsidR="00BA7EF3" w:rsidRDefault="00BA7EF3" w:rsidP="006D6CD1">
            <w:pPr>
              <w:rPr>
                <w:rFonts w:eastAsia="Times New Roman" w:cstheme="minorHAnsi"/>
                <w:color w:val="000000"/>
              </w:rPr>
            </w:pPr>
            <w:r w:rsidRPr="000F4C6B">
              <w:t>Bertelsmann Stiftung’s Transformation Index</w:t>
            </w:r>
          </w:p>
        </w:tc>
      </w:tr>
      <w:tr w:rsidR="00BA7EF3" w:rsidRPr="00824508" w14:paraId="321648C4" w14:textId="77777777" w:rsidTr="006D6CD1">
        <w:trPr>
          <w:trHeight w:val="320"/>
        </w:trPr>
        <w:tc>
          <w:tcPr>
            <w:tcW w:w="1080" w:type="dxa"/>
            <w:tcBorders>
              <w:top w:val="nil"/>
              <w:left w:val="nil"/>
              <w:bottom w:val="nil"/>
              <w:right w:val="nil"/>
            </w:tcBorders>
            <w:shd w:val="clear" w:color="auto" w:fill="auto"/>
            <w:noWrap/>
            <w:vAlign w:val="bottom"/>
          </w:tcPr>
          <w:p w14:paraId="5A61EB22" w14:textId="77777777" w:rsidR="00BA7EF3" w:rsidRPr="00F9573C" w:rsidRDefault="00BA7EF3" w:rsidP="006D6CD1">
            <w:pPr>
              <w:rPr>
                <w:rFonts w:eastAsia="Times New Roman" w:cstheme="minorHAnsi"/>
                <w:color w:val="000000"/>
              </w:rPr>
            </w:pPr>
            <w:r>
              <w:rPr>
                <w:rFonts w:eastAsia="Times New Roman" w:cstheme="minorHAnsi"/>
                <w:color w:val="000000"/>
              </w:rPr>
              <w:t>CAA</w:t>
            </w:r>
          </w:p>
        </w:tc>
        <w:tc>
          <w:tcPr>
            <w:tcW w:w="5920" w:type="dxa"/>
            <w:tcBorders>
              <w:top w:val="nil"/>
              <w:left w:val="nil"/>
              <w:bottom w:val="nil"/>
              <w:right w:val="nil"/>
            </w:tcBorders>
            <w:shd w:val="clear" w:color="auto" w:fill="auto"/>
            <w:noWrap/>
            <w:vAlign w:val="center"/>
          </w:tcPr>
          <w:p w14:paraId="79865921" w14:textId="77777777" w:rsidR="00BA7EF3" w:rsidRPr="00F9573C" w:rsidRDefault="00BA7EF3" w:rsidP="006D6CD1">
            <w:pPr>
              <w:rPr>
                <w:rFonts w:eastAsia="Times New Roman" w:cstheme="minorHAnsi"/>
                <w:color w:val="000000"/>
              </w:rPr>
            </w:pPr>
            <w:r>
              <w:rPr>
                <w:rFonts w:eastAsia="Calibri" w:cstheme="minorHAnsi"/>
                <w:bCs/>
                <w:iCs/>
                <w:kern w:val="24"/>
                <w:lang w:eastAsia="x-none"/>
              </w:rPr>
              <w:t xml:space="preserve">Civil Aviation Authority - </w:t>
            </w:r>
            <w:r w:rsidRPr="008F6749">
              <w:t>General Department of Civil Aviation</w:t>
            </w:r>
          </w:p>
        </w:tc>
      </w:tr>
      <w:tr w:rsidR="00BA7EF3" w:rsidRPr="00824508" w14:paraId="76E07BD0" w14:textId="77777777" w:rsidTr="006D6CD1">
        <w:trPr>
          <w:trHeight w:val="320"/>
        </w:trPr>
        <w:tc>
          <w:tcPr>
            <w:tcW w:w="1080" w:type="dxa"/>
            <w:tcBorders>
              <w:top w:val="nil"/>
              <w:left w:val="nil"/>
              <w:bottom w:val="nil"/>
              <w:right w:val="nil"/>
            </w:tcBorders>
            <w:shd w:val="clear" w:color="auto" w:fill="auto"/>
            <w:noWrap/>
            <w:vAlign w:val="bottom"/>
            <w:hideMark/>
          </w:tcPr>
          <w:p w14:paraId="1BF251C2"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CBA</w:t>
            </w:r>
          </w:p>
        </w:tc>
        <w:tc>
          <w:tcPr>
            <w:tcW w:w="5920" w:type="dxa"/>
            <w:tcBorders>
              <w:top w:val="nil"/>
              <w:left w:val="nil"/>
              <w:bottom w:val="nil"/>
              <w:right w:val="nil"/>
            </w:tcBorders>
            <w:shd w:val="clear" w:color="auto" w:fill="auto"/>
            <w:noWrap/>
            <w:vAlign w:val="center"/>
            <w:hideMark/>
          </w:tcPr>
          <w:p w14:paraId="3A374F0D"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Central Bank of Armenia</w:t>
            </w:r>
          </w:p>
        </w:tc>
      </w:tr>
      <w:tr w:rsidR="00BA7EF3" w:rsidRPr="00824508" w14:paraId="4B008F46" w14:textId="77777777" w:rsidTr="006D6CD1">
        <w:trPr>
          <w:trHeight w:val="320"/>
        </w:trPr>
        <w:tc>
          <w:tcPr>
            <w:tcW w:w="1080" w:type="dxa"/>
            <w:tcBorders>
              <w:top w:val="nil"/>
              <w:left w:val="nil"/>
              <w:bottom w:val="nil"/>
              <w:right w:val="nil"/>
            </w:tcBorders>
            <w:shd w:val="clear" w:color="auto" w:fill="auto"/>
            <w:noWrap/>
            <w:vAlign w:val="bottom"/>
            <w:hideMark/>
          </w:tcPr>
          <w:p w14:paraId="1CFACF74"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EAI</w:t>
            </w:r>
          </w:p>
        </w:tc>
        <w:tc>
          <w:tcPr>
            <w:tcW w:w="5920" w:type="dxa"/>
            <w:tcBorders>
              <w:top w:val="nil"/>
              <w:left w:val="nil"/>
              <w:bottom w:val="nil"/>
              <w:right w:val="nil"/>
            </w:tcBorders>
            <w:shd w:val="clear" w:color="auto" w:fill="auto"/>
            <w:noWrap/>
            <w:vAlign w:val="center"/>
            <w:hideMark/>
          </w:tcPr>
          <w:p w14:paraId="5CF55667"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Economic Activity Index</w:t>
            </w:r>
          </w:p>
        </w:tc>
      </w:tr>
      <w:tr w:rsidR="00BA7EF3" w:rsidRPr="00824508" w14:paraId="2B26F596" w14:textId="77777777" w:rsidTr="006D6CD1">
        <w:trPr>
          <w:trHeight w:val="320"/>
        </w:trPr>
        <w:tc>
          <w:tcPr>
            <w:tcW w:w="1080" w:type="dxa"/>
            <w:tcBorders>
              <w:top w:val="nil"/>
              <w:left w:val="nil"/>
              <w:bottom w:val="nil"/>
              <w:right w:val="nil"/>
            </w:tcBorders>
            <w:shd w:val="clear" w:color="auto" w:fill="auto"/>
            <w:noWrap/>
            <w:vAlign w:val="bottom"/>
          </w:tcPr>
          <w:p w14:paraId="6F8552CF" w14:textId="77777777" w:rsidR="00BA7EF3" w:rsidRPr="00F9573C" w:rsidRDefault="00BA7EF3" w:rsidP="006D6CD1">
            <w:pPr>
              <w:rPr>
                <w:rFonts w:eastAsia="Times New Roman" w:cstheme="minorHAnsi"/>
                <w:color w:val="000000"/>
              </w:rPr>
            </w:pPr>
            <w:r>
              <w:rPr>
                <w:rFonts w:eastAsia="Times New Roman" w:cstheme="minorHAnsi"/>
                <w:color w:val="000000"/>
              </w:rPr>
              <w:t>EIU</w:t>
            </w:r>
          </w:p>
        </w:tc>
        <w:tc>
          <w:tcPr>
            <w:tcW w:w="5920" w:type="dxa"/>
            <w:tcBorders>
              <w:top w:val="nil"/>
              <w:left w:val="nil"/>
              <w:bottom w:val="nil"/>
              <w:right w:val="nil"/>
            </w:tcBorders>
            <w:shd w:val="clear" w:color="auto" w:fill="auto"/>
            <w:noWrap/>
            <w:vAlign w:val="center"/>
          </w:tcPr>
          <w:p w14:paraId="68C6BBFE" w14:textId="77777777" w:rsidR="00BA7EF3" w:rsidRPr="00F9573C" w:rsidRDefault="00BA7EF3" w:rsidP="006D6CD1">
            <w:pPr>
              <w:rPr>
                <w:rFonts w:eastAsia="Times New Roman" w:cstheme="minorHAnsi"/>
                <w:color w:val="000000"/>
              </w:rPr>
            </w:pPr>
            <w:r>
              <w:rPr>
                <w:rFonts w:eastAsia="Times New Roman" w:cstheme="minorHAnsi"/>
                <w:color w:val="000000"/>
              </w:rPr>
              <w:t>Economist Intelligence Unit</w:t>
            </w:r>
          </w:p>
        </w:tc>
      </w:tr>
      <w:tr w:rsidR="00BA7EF3" w:rsidRPr="00824508" w14:paraId="3BBC2E38" w14:textId="77777777" w:rsidTr="006D6CD1">
        <w:trPr>
          <w:trHeight w:val="320"/>
        </w:trPr>
        <w:tc>
          <w:tcPr>
            <w:tcW w:w="1080" w:type="dxa"/>
            <w:tcBorders>
              <w:top w:val="nil"/>
              <w:left w:val="nil"/>
              <w:bottom w:val="nil"/>
              <w:right w:val="nil"/>
            </w:tcBorders>
            <w:shd w:val="clear" w:color="auto" w:fill="auto"/>
            <w:noWrap/>
            <w:vAlign w:val="center"/>
            <w:hideMark/>
          </w:tcPr>
          <w:p w14:paraId="10A84E11"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EEU</w:t>
            </w:r>
          </w:p>
        </w:tc>
        <w:tc>
          <w:tcPr>
            <w:tcW w:w="5920" w:type="dxa"/>
            <w:tcBorders>
              <w:top w:val="nil"/>
              <w:left w:val="nil"/>
              <w:bottom w:val="nil"/>
              <w:right w:val="nil"/>
            </w:tcBorders>
            <w:shd w:val="clear" w:color="auto" w:fill="auto"/>
            <w:noWrap/>
            <w:vAlign w:val="center"/>
            <w:hideMark/>
          </w:tcPr>
          <w:p w14:paraId="23C79C19"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Eurasian Economic Union</w:t>
            </w:r>
          </w:p>
        </w:tc>
      </w:tr>
      <w:tr w:rsidR="00BA7EF3" w:rsidRPr="00824508" w14:paraId="0DE406C6" w14:textId="77777777" w:rsidTr="006D6CD1">
        <w:trPr>
          <w:trHeight w:val="320"/>
        </w:trPr>
        <w:tc>
          <w:tcPr>
            <w:tcW w:w="1080" w:type="dxa"/>
            <w:tcBorders>
              <w:top w:val="nil"/>
              <w:left w:val="nil"/>
              <w:bottom w:val="nil"/>
              <w:right w:val="nil"/>
            </w:tcBorders>
            <w:shd w:val="clear" w:color="auto" w:fill="FFFFFF" w:themeFill="background1"/>
            <w:noWrap/>
            <w:vAlign w:val="bottom"/>
            <w:hideMark/>
          </w:tcPr>
          <w:p w14:paraId="3D45EA98"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EU</w:t>
            </w:r>
          </w:p>
        </w:tc>
        <w:tc>
          <w:tcPr>
            <w:tcW w:w="5920" w:type="dxa"/>
            <w:tcBorders>
              <w:top w:val="nil"/>
              <w:left w:val="nil"/>
              <w:bottom w:val="nil"/>
              <w:right w:val="nil"/>
            </w:tcBorders>
            <w:shd w:val="clear" w:color="auto" w:fill="auto"/>
            <w:noWrap/>
            <w:vAlign w:val="center"/>
            <w:hideMark/>
          </w:tcPr>
          <w:p w14:paraId="3E45914D"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European Union</w:t>
            </w:r>
          </w:p>
        </w:tc>
      </w:tr>
      <w:tr w:rsidR="00BA7EF3" w:rsidRPr="00824508" w14:paraId="2A421492"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7FE49E8F" w14:textId="77777777" w:rsidR="00BA7EF3" w:rsidRPr="00F9573C" w:rsidRDefault="00BA7EF3" w:rsidP="006D6CD1">
            <w:pPr>
              <w:rPr>
                <w:rFonts w:eastAsia="Times New Roman" w:cstheme="minorHAnsi"/>
                <w:color w:val="000000"/>
              </w:rPr>
            </w:pPr>
            <w:r>
              <w:rPr>
                <w:rFonts w:eastAsia="Times New Roman" w:cstheme="minorHAnsi"/>
                <w:color w:val="000000"/>
              </w:rPr>
              <w:t>FEZ</w:t>
            </w:r>
          </w:p>
        </w:tc>
        <w:tc>
          <w:tcPr>
            <w:tcW w:w="5920" w:type="dxa"/>
            <w:tcBorders>
              <w:top w:val="nil"/>
              <w:left w:val="nil"/>
              <w:bottom w:val="nil"/>
              <w:right w:val="nil"/>
            </w:tcBorders>
            <w:shd w:val="clear" w:color="auto" w:fill="auto"/>
            <w:noWrap/>
            <w:vAlign w:val="center"/>
          </w:tcPr>
          <w:p w14:paraId="00A3E2D7" w14:textId="77777777" w:rsidR="00BA7EF3" w:rsidRPr="00F9573C" w:rsidRDefault="00BA7EF3" w:rsidP="006D6CD1">
            <w:pPr>
              <w:rPr>
                <w:rFonts w:eastAsia="Times New Roman" w:cstheme="minorHAnsi"/>
                <w:color w:val="000000"/>
              </w:rPr>
            </w:pPr>
            <w:r>
              <w:rPr>
                <w:rFonts w:eastAsia="Times New Roman" w:cstheme="minorHAnsi"/>
                <w:color w:val="000000"/>
              </w:rPr>
              <w:t>Free Economic Zone</w:t>
            </w:r>
          </w:p>
        </w:tc>
      </w:tr>
      <w:tr w:rsidR="00BA7EF3" w:rsidRPr="00824508" w14:paraId="68FAA43F" w14:textId="77777777" w:rsidTr="006D6CD1">
        <w:trPr>
          <w:trHeight w:val="320"/>
        </w:trPr>
        <w:tc>
          <w:tcPr>
            <w:tcW w:w="1080" w:type="dxa"/>
            <w:tcBorders>
              <w:top w:val="nil"/>
              <w:left w:val="nil"/>
              <w:bottom w:val="nil"/>
              <w:right w:val="nil"/>
            </w:tcBorders>
            <w:shd w:val="clear" w:color="auto" w:fill="auto"/>
            <w:noWrap/>
            <w:vAlign w:val="bottom"/>
            <w:hideMark/>
          </w:tcPr>
          <w:p w14:paraId="441BDCF0"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FDI</w:t>
            </w:r>
          </w:p>
        </w:tc>
        <w:tc>
          <w:tcPr>
            <w:tcW w:w="5920" w:type="dxa"/>
            <w:tcBorders>
              <w:top w:val="nil"/>
              <w:left w:val="nil"/>
              <w:bottom w:val="nil"/>
              <w:right w:val="nil"/>
            </w:tcBorders>
            <w:shd w:val="clear" w:color="auto" w:fill="auto"/>
            <w:noWrap/>
            <w:vAlign w:val="center"/>
            <w:hideMark/>
          </w:tcPr>
          <w:p w14:paraId="7BF7B57E"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Foreign direct investment</w:t>
            </w:r>
          </w:p>
        </w:tc>
      </w:tr>
      <w:tr w:rsidR="00BA7EF3" w:rsidRPr="00824508" w14:paraId="76850E14" w14:textId="77777777" w:rsidTr="006D6CD1">
        <w:trPr>
          <w:trHeight w:val="320"/>
        </w:trPr>
        <w:tc>
          <w:tcPr>
            <w:tcW w:w="1080" w:type="dxa"/>
            <w:tcBorders>
              <w:top w:val="nil"/>
              <w:left w:val="nil"/>
              <w:bottom w:val="nil"/>
              <w:right w:val="nil"/>
            </w:tcBorders>
            <w:shd w:val="clear" w:color="auto" w:fill="auto"/>
            <w:noWrap/>
            <w:vAlign w:val="bottom"/>
          </w:tcPr>
          <w:p w14:paraId="727C004A" w14:textId="77777777" w:rsidR="00BA7EF3" w:rsidRPr="00F9573C" w:rsidRDefault="00BA7EF3" w:rsidP="006D6CD1">
            <w:pPr>
              <w:rPr>
                <w:rFonts w:eastAsia="Times New Roman" w:cstheme="minorHAnsi"/>
                <w:color w:val="000000"/>
              </w:rPr>
            </w:pPr>
            <w:proofErr w:type="spellStart"/>
            <w:r w:rsidRPr="00F9573C">
              <w:rPr>
                <w:rFonts w:eastAsia="Times New Roman" w:cstheme="minorHAnsi"/>
                <w:color w:val="000000"/>
              </w:rPr>
              <w:t>GoA</w:t>
            </w:r>
            <w:proofErr w:type="spellEnd"/>
          </w:p>
        </w:tc>
        <w:tc>
          <w:tcPr>
            <w:tcW w:w="5920" w:type="dxa"/>
            <w:tcBorders>
              <w:top w:val="nil"/>
              <w:left w:val="nil"/>
              <w:bottom w:val="nil"/>
              <w:right w:val="nil"/>
            </w:tcBorders>
            <w:shd w:val="clear" w:color="auto" w:fill="auto"/>
            <w:noWrap/>
            <w:vAlign w:val="center"/>
          </w:tcPr>
          <w:p w14:paraId="1A241D4F"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Government of Armenia</w:t>
            </w:r>
          </w:p>
        </w:tc>
      </w:tr>
      <w:tr w:rsidR="00BA7EF3" w:rsidRPr="00824508" w14:paraId="2799356F" w14:textId="77777777" w:rsidTr="006D6CD1">
        <w:trPr>
          <w:trHeight w:val="320"/>
        </w:trPr>
        <w:tc>
          <w:tcPr>
            <w:tcW w:w="1080" w:type="dxa"/>
            <w:tcBorders>
              <w:top w:val="nil"/>
              <w:left w:val="nil"/>
              <w:bottom w:val="nil"/>
              <w:right w:val="nil"/>
            </w:tcBorders>
            <w:shd w:val="clear" w:color="auto" w:fill="auto"/>
            <w:noWrap/>
            <w:vAlign w:val="bottom"/>
            <w:hideMark/>
          </w:tcPr>
          <w:p w14:paraId="6979FFD0"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LPI</w:t>
            </w:r>
          </w:p>
        </w:tc>
        <w:tc>
          <w:tcPr>
            <w:tcW w:w="5920" w:type="dxa"/>
            <w:tcBorders>
              <w:top w:val="nil"/>
              <w:left w:val="nil"/>
              <w:bottom w:val="nil"/>
              <w:right w:val="nil"/>
            </w:tcBorders>
            <w:shd w:val="clear" w:color="auto" w:fill="auto"/>
            <w:noWrap/>
            <w:vAlign w:val="center"/>
            <w:hideMark/>
          </w:tcPr>
          <w:p w14:paraId="0857B3CB"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Logistics Performance Index</w:t>
            </w:r>
          </w:p>
        </w:tc>
      </w:tr>
      <w:tr w:rsidR="00BA7EF3" w:rsidRPr="00824508" w14:paraId="0C861BE1" w14:textId="77777777" w:rsidTr="006D6CD1">
        <w:trPr>
          <w:trHeight w:val="320"/>
        </w:trPr>
        <w:tc>
          <w:tcPr>
            <w:tcW w:w="1080" w:type="dxa"/>
            <w:tcBorders>
              <w:top w:val="nil"/>
              <w:left w:val="nil"/>
              <w:bottom w:val="nil"/>
              <w:right w:val="nil"/>
            </w:tcBorders>
            <w:shd w:val="clear" w:color="auto" w:fill="auto"/>
            <w:noWrap/>
            <w:vAlign w:val="bottom"/>
          </w:tcPr>
          <w:p w14:paraId="3BA3B020"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GDP</w:t>
            </w:r>
          </w:p>
        </w:tc>
        <w:tc>
          <w:tcPr>
            <w:tcW w:w="5920" w:type="dxa"/>
            <w:tcBorders>
              <w:top w:val="nil"/>
              <w:left w:val="nil"/>
              <w:bottom w:val="nil"/>
              <w:right w:val="nil"/>
            </w:tcBorders>
            <w:shd w:val="clear" w:color="auto" w:fill="auto"/>
            <w:noWrap/>
            <w:vAlign w:val="center"/>
          </w:tcPr>
          <w:p w14:paraId="11A89C6F"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Gross Domestic Product</w:t>
            </w:r>
          </w:p>
        </w:tc>
      </w:tr>
      <w:tr w:rsidR="00BA7EF3" w:rsidRPr="00824508" w14:paraId="59E7732A" w14:textId="77777777" w:rsidTr="006D6CD1">
        <w:trPr>
          <w:trHeight w:val="320"/>
        </w:trPr>
        <w:tc>
          <w:tcPr>
            <w:tcW w:w="1080" w:type="dxa"/>
            <w:tcBorders>
              <w:top w:val="nil"/>
              <w:left w:val="nil"/>
              <w:bottom w:val="nil"/>
              <w:right w:val="nil"/>
            </w:tcBorders>
            <w:shd w:val="clear" w:color="auto" w:fill="auto"/>
            <w:noWrap/>
            <w:vAlign w:val="bottom"/>
          </w:tcPr>
          <w:p w14:paraId="0FE83A24"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MTEF</w:t>
            </w:r>
          </w:p>
        </w:tc>
        <w:tc>
          <w:tcPr>
            <w:tcW w:w="5920" w:type="dxa"/>
            <w:tcBorders>
              <w:top w:val="nil"/>
              <w:left w:val="nil"/>
              <w:bottom w:val="nil"/>
              <w:right w:val="nil"/>
            </w:tcBorders>
            <w:shd w:val="clear" w:color="auto" w:fill="auto"/>
            <w:noWrap/>
            <w:vAlign w:val="center"/>
          </w:tcPr>
          <w:p w14:paraId="5B0B41C8"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Medium term Expenditure Framework</w:t>
            </w:r>
          </w:p>
        </w:tc>
      </w:tr>
      <w:tr w:rsidR="00BA7EF3" w:rsidRPr="00824508" w14:paraId="6215FB04" w14:textId="77777777" w:rsidTr="006D6CD1">
        <w:trPr>
          <w:trHeight w:val="320"/>
        </w:trPr>
        <w:tc>
          <w:tcPr>
            <w:tcW w:w="1080" w:type="dxa"/>
            <w:tcBorders>
              <w:top w:val="nil"/>
              <w:left w:val="nil"/>
              <w:bottom w:val="nil"/>
              <w:right w:val="nil"/>
            </w:tcBorders>
            <w:shd w:val="clear" w:color="auto" w:fill="auto"/>
            <w:noWrap/>
            <w:vAlign w:val="bottom"/>
          </w:tcPr>
          <w:p w14:paraId="1F3A0679" w14:textId="77777777" w:rsidR="00BA7EF3" w:rsidRPr="00F9573C" w:rsidRDefault="00BA7EF3" w:rsidP="006D6CD1">
            <w:pPr>
              <w:rPr>
                <w:rFonts w:eastAsia="Times New Roman" w:cstheme="minorHAnsi"/>
                <w:color w:val="000000"/>
              </w:rPr>
            </w:pPr>
            <w:proofErr w:type="spellStart"/>
            <w:r>
              <w:rPr>
                <w:rFonts w:eastAsia="Times New Roman" w:cstheme="minorHAnsi"/>
                <w:color w:val="000000"/>
              </w:rPr>
              <w:t>MoE</w:t>
            </w:r>
            <w:proofErr w:type="spellEnd"/>
          </w:p>
        </w:tc>
        <w:tc>
          <w:tcPr>
            <w:tcW w:w="5920" w:type="dxa"/>
            <w:tcBorders>
              <w:top w:val="nil"/>
              <w:left w:val="nil"/>
              <w:bottom w:val="nil"/>
              <w:right w:val="nil"/>
            </w:tcBorders>
            <w:shd w:val="clear" w:color="auto" w:fill="auto"/>
            <w:noWrap/>
            <w:vAlign w:val="center"/>
          </w:tcPr>
          <w:p w14:paraId="10171F3C" w14:textId="77777777" w:rsidR="00BA7EF3" w:rsidRPr="00F9573C" w:rsidRDefault="00BA7EF3" w:rsidP="006D6CD1">
            <w:pPr>
              <w:rPr>
                <w:rFonts w:eastAsia="Times New Roman" w:cstheme="minorHAnsi"/>
                <w:color w:val="000000"/>
              </w:rPr>
            </w:pPr>
            <w:r>
              <w:rPr>
                <w:rFonts w:eastAsia="Times New Roman" w:cstheme="minorHAnsi"/>
                <w:color w:val="000000"/>
              </w:rPr>
              <w:t>Ministry of Economy</w:t>
            </w:r>
          </w:p>
        </w:tc>
      </w:tr>
      <w:tr w:rsidR="00BA7EF3" w:rsidRPr="00F9573C" w14:paraId="2DF7E338"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004BA777" w14:textId="77777777" w:rsidR="00BA7EF3" w:rsidRPr="00F9573C" w:rsidRDefault="00BA7EF3" w:rsidP="006D6CD1">
            <w:pPr>
              <w:rPr>
                <w:rFonts w:eastAsia="Times New Roman" w:cstheme="minorHAnsi"/>
                <w:color w:val="000000"/>
              </w:rPr>
            </w:pPr>
            <w:r>
              <w:rPr>
                <w:rFonts w:eastAsia="Times New Roman" w:cstheme="minorHAnsi"/>
                <w:color w:val="000000"/>
              </w:rPr>
              <w:t>NCLR</w:t>
            </w:r>
          </w:p>
        </w:tc>
        <w:tc>
          <w:tcPr>
            <w:tcW w:w="5920" w:type="dxa"/>
            <w:tcBorders>
              <w:top w:val="nil"/>
              <w:left w:val="nil"/>
              <w:bottom w:val="nil"/>
              <w:right w:val="nil"/>
            </w:tcBorders>
            <w:shd w:val="clear" w:color="auto" w:fill="auto"/>
            <w:noWrap/>
            <w:vAlign w:val="center"/>
          </w:tcPr>
          <w:p w14:paraId="71643FFE" w14:textId="77777777" w:rsidR="00BA7EF3" w:rsidRPr="00F9573C" w:rsidRDefault="00BA7EF3" w:rsidP="006D6CD1">
            <w:pPr>
              <w:rPr>
                <w:rFonts w:eastAsia="Times New Roman" w:cstheme="minorHAnsi"/>
                <w:color w:val="000000"/>
              </w:rPr>
            </w:pPr>
            <w:r>
              <w:t>National Centre for Legislative Reform</w:t>
            </w:r>
          </w:p>
        </w:tc>
      </w:tr>
      <w:tr w:rsidR="00BA7EF3" w:rsidRPr="00824508" w14:paraId="40E9BBFD" w14:textId="77777777" w:rsidTr="006D6CD1">
        <w:trPr>
          <w:trHeight w:val="320"/>
        </w:trPr>
        <w:tc>
          <w:tcPr>
            <w:tcW w:w="1080" w:type="dxa"/>
            <w:tcBorders>
              <w:top w:val="nil"/>
              <w:left w:val="nil"/>
              <w:bottom w:val="nil"/>
              <w:right w:val="nil"/>
            </w:tcBorders>
            <w:shd w:val="clear" w:color="auto" w:fill="auto"/>
            <w:noWrap/>
            <w:vAlign w:val="bottom"/>
          </w:tcPr>
          <w:p w14:paraId="19D4AB72" w14:textId="77777777" w:rsidR="00BA7EF3" w:rsidRPr="00F9573C" w:rsidRDefault="00BA7EF3" w:rsidP="006D6CD1">
            <w:pPr>
              <w:rPr>
                <w:rFonts w:eastAsia="Times New Roman" w:cstheme="minorHAnsi"/>
                <w:color w:val="000000"/>
              </w:rPr>
            </w:pPr>
            <w:r>
              <w:rPr>
                <w:rFonts w:eastAsia="Times New Roman" w:cstheme="minorHAnsi"/>
                <w:color w:val="000000"/>
              </w:rPr>
              <w:t>NCP</w:t>
            </w:r>
          </w:p>
        </w:tc>
        <w:tc>
          <w:tcPr>
            <w:tcW w:w="5920" w:type="dxa"/>
            <w:tcBorders>
              <w:top w:val="nil"/>
              <w:left w:val="nil"/>
              <w:bottom w:val="nil"/>
              <w:right w:val="nil"/>
            </w:tcBorders>
            <w:shd w:val="clear" w:color="auto" w:fill="auto"/>
            <w:noWrap/>
            <w:vAlign w:val="center"/>
          </w:tcPr>
          <w:p w14:paraId="0EC1EE90" w14:textId="77777777" w:rsidR="00BA7EF3" w:rsidRPr="00F9573C" w:rsidRDefault="00BA7EF3" w:rsidP="006D6CD1">
            <w:pPr>
              <w:rPr>
                <w:rFonts w:eastAsia="Times New Roman" w:cstheme="minorHAnsi"/>
                <w:color w:val="000000"/>
              </w:rPr>
            </w:pPr>
            <w:r w:rsidRPr="00EB5885">
              <w:t>National Competition Policy</w:t>
            </w:r>
          </w:p>
        </w:tc>
      </w:tr>
      <w:tr w:rsidR="00BA7EF3" w:rsidRPr="00824508" w14:paraId="4D5A3BAE" w14:textId="77777777" w:rsidTr="006D6CD1">
        <w:trPr>
          <w:trHeight w:val="320"/>
        </w:trPr>
        <w:tc>
          <w:tcPr>
            <w:tcW w:w="1080" w:type="dxa"/>
            <w:tcBorders>
              <w:top w:val="nil"/>
              <w:left w:val="nil"/>
              <w:bottom w:val="nil"/>
              <w:right w:val="nil"/>
            </w:tcBorders>
            <w:shd w:val="clear" w:color="auto" w:fill="auto"/>
            <w:noWrap/>
            <w:vAlign w:val="bottom"/>
            <w:hideMark/>
          </w:tcPr>
          <w:p w14:paraId="61DDC328"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NPL</w:t>
            </w:r>
          </w:p>
        </w:tc>
        <w:tc>
          <w:tcPr>
            <w:tcW w:w="5920" w:type="dxa"/>
            <w:tcBorders>
              <w:top w:val="nil"/>
              <w:left w:val="nil"/>
              <w:bottom w:val="nil"/>
              <w:right w:val="nil"/>
            </w:tcBorders>
            <w:shd w:val="clear" w:color="auto" w:fill="auto"/>
            <w:noWrap/>
            <w:vAlign w:val="center"/>
            <w:hideMark/>
          </w:tcPr>
          <w:p w14:paraId="1394C51A"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Nonperforming loan</w:t>
            </w:r>
          </w:p>
        </w:tc>
      </w:tr>
      <w:tr w:rsidR="00BA7EF3" w:rsidRPr="00824508" w14:paraId="74DAAD43"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19B055C2"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NSS</w:t>
            </w:r>
          </w:p>
        </w:tc>
        <w:tc>
          <w:tcPr>
            <w:tcW w:w="5920" w:type="dxa"/>
            <w:tcBorders>
              <w:top w:val="nil"/>
              <w:left w:val="nil"/>
              <w:bottom w:val="nil"/>
              <w:right w:val="nil"/>
            </w:tcBorders>
            <w:shd w:val="clear" w:color="auto" w:fill="auto"/>
            <w:noWrap/>
            <w:vAlign w:val="center"/>
          </w:tcPr>
          <w:p w14:paraId="1CD6BB43"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 xml:space="preserve">National Statistics Service </w:t>
            </w:r>
          </w:p>
        </w:tc>
      </w:tr>
      <w:tr w:rsidR="00BA7EF3" w:rsidRPr="00824508" w14:paraId="4582C4E6"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0435DED3" w14:textId="77777777" w:rsidR="00BA7EF3" w:rsidRDefault="00BA7EF3" w:rsidP="006D6CD1">
            <w:pPr>
              <w:rPr>
                <w:rFonts w:eastAsia="Times New Roman" w:cstheme="minorHAnsi"/>
                <w:color w:val="000000"/>
              </w:rPr>
            </w:pPr>
            <w:r>
              <w:rPr>
                <w:rFonts w:eastAsia="Times New Roman" w:cstheme="minorHAnsi"/>
                <w:color w:val="000000"/>
              </w:rPr>
              <w:t>OECD</w:t>
            </w:r>
          </w:p>
        </w:tc>
        <w:tc>
          <w:tcPr>
            <w:tcW w:w="5920" w:type="dxa"/>
            <w:tcBorders>
              <w:top w:val="nil"/>
              <w:left w:val="nil"/>
              <w:bottom w:val="nil"/>
              <w:right w:val="nil"/>
            </w:tcBorders>
            <w:shd w:val="clear" w:color="auto" w:fill="auto"/>
            <w:noWrap/>
            <w:vAlign w:val="center"/>
          </w:tcPr>
          <w:p w14:paraId="21B20551" w14:textId="77777777" w:rsidR="00BA7EF3" w:rsidRDefault="00BA7EF3" w:rsidP="006D6CD1">
            <w:r>
              <w:t>Organization for Economic Cooperation and Development</w:t>
            </w:r>
          </w:p>
        </w:tc>
      </w:tr>
      <w:tr w:rsidR="00BA7EF3" w:rsidRPr="00824508" w14:paraId="78A93994"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44C8888A" w14:textId="77777777" w:rsidR="00BA7EF3" w:rsidRPr="00F9573C" w:rsidRDefault="00BA7EF3" w:rsidP="006D6CD1">
            <w:pPr>
              <w:rPr>
                <w:rFonts w:eastAsia="Times New Roman" w:cstheme="minorHAnsi"/>
                <w:color w:val="000000"/>
              </w:rPr>
            </w:pPr>
            <w:r>
              <w:rPr>
                <w:rFonts w:eastAsia="Times New Roman" w:cstheme="minorHAnsi"/>
                <w:color w:val="000000"/>
              </w:rPr>
              <w:t>PSRC</w:t>
            </w:r>
          </w:p>
        </w:tc>
        <w:tc>
          <w:tcPr>
            <w:tcW w:w="5920" w:type="dxa"/>
            <w:tcBorders>
              <w:top w:val="nil"/>
              <w:left w:val="nil"/>
              <w:bottom w:val="nil"/>
              <w:right w:val="nil"/>
            </w:tcBorders>
            <w:shd w:val="clear" w:color="auto" w:fill="auto"/>
            <w:noWrap/>
            <w:vAlign w:val="center"/>
          </w:tcPr>
          <w:p w14:paraId="5C2AFFEE" w14:textId="77777777" w:rsidR="00BA7EF3" w:rsidRPr="00F9573C" w:rsidRDefault="00BA7EF3" w:rsidP="006D6CD1">
            <w:pPr>
              <w:rPr>
                <w:rFonts w:eastAsia="Times New Roman" w:cstheme="minorHAnsi"/>
                <w:color w:val="000000"/>
              </w:rPr>
            </w:pPr>
            <w:r>
              <w:t>Public Services Regulatory Commission</w:t>
            </w:r>
          </w:p>
        </w:tc>
      </w:tr>
      <w:tr w:rsidR="00BA7EF3" w:rsidRPr="00824508" w14:paraId="7D685951"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0F12E718" w14:textId="77777777" w:rsidR="00BA7EF3" w:rsidRDefault="00BA7EF3" w:rsidP="006D6CD1">
            <w:pPr>
              <w:rPr>
                <w:rFonts w:eastAsia="Times New Roman" w:cstheme="minorHAnsi"/>
                <w:color w:val="000000"/>
              </w:rPr>
            </w:pPr>
            <w:r>
              <w:rPr>
                <w:rFonts w:eastAsia="Times New Roman" w:cstheme="minorHAnsi"/>
                <w:color w:val="000000"/>
              </w:rPr>
              <w:t>RIA</w:t>
            </w:r>
          </w:p>
        </w:tc>
        <w:tc>
          <w:tcPr>
            <w:tcW w:w="5920" w:type="dxa"/>
            <w:tcBorders>
              <w:top w:val="nil"/>
              <w:left w:val="nil"/>
              <w:bottom w:val="nil"/>
              <w:right w:val="nil"/>
            </w:tcBorders>
            <w:shd w:val="clear" w:color="auto" w:fill="auto"/>
            <w:noWrap/>
            <w:vAlign w:val="center"/>
          </w:tcPr>
          <w:p w14:paraId="63382ECD" w14:textId="77777777" w:rsidR="00BA7EF3" w:rsidRDefault="00BA7EF3" w:rsidP="006D6CD1">
            <w:r>
              <w:t>Regulatory Impact Assessment</w:t>
            </w:r>
          </w:p>
        </w:tc>
      </w:tr>
      <w:tr w:rsidR="00BA7EF3" w:rsidRPr="00824508" w14:paraId="08532311"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27377961" w14:textId="77777777" w:rsidR="00BA7EF3" w:rsidRDefault="00BA7EF3" w:rsidP="006D6CD1">
            <w:pPr>
              <w:rPr>
                <w:rFonts w:eastAsia="Times New Roman" w:cstheme="minorHAnsi"/>
                <w:color w:val="000000"/>
              </w:rPr>
            </w:pPr>
            <w:r>
              <w:rPr>
                <w:rFonts w:eastAsia="Times New Roman" w:cstheme="minorHAnsi"/>
                <w:color w:val="000000"/>
              </w:rPr>
              <w:t>SCPEC</w:t>
            </w:r>
          </w:p>
        </w:tc>
        <w:tc>
          <w:tcPr>
            <w:tcW w:w="5920" w:type="dxa"/>
            <w:tcBorders>
              <w:top w:val="nil"/>
              <w:left w:val="nil"/>
              <w:bottom w:val="nil"/>
              <w:right w:val="nil"/>
            </w:tcBorders>
            <w:shd w:val="clear" w:color="auto" w:fill="auto"/>
            <w:noWrap/>
            <w:vAlign w:val="center"/>
          </w:tcPr>
          <w:p w14:paraId="163848F2" w14:textId="77777777" w:rsidR="00BA7EF3" w:rsidRDefault="00BA7EF3" w:rsidP="006D6CD1">
            <w:pPr>
              <w:rPr>
                <w:rFonts w:eastAsia="Times New Roman" w:cstheme="minorHAnsi"/>
                <w:color w:val="000000"/>
              </w:rPr>
            </w:pPr>
            <w:r w:rsidRPr="00E261E9">
              <w:rPr>
                <w:rFonts w:eastAsia="Times New Roman" w:cstheme="minorHAnsi"/>
                <w:color w:val="000000"/>
              </w:rPr>
              <w:t>State Commission for the Protection of Economic Competition</w:t>
            </w:r>
          </w:p>
        </w:tc>
      </w:tr>
      <w:tr w:rsidR="00BA7EF3" w:rsidRPr="00824508" w14:paraId="215A52A4"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7874EAA9" w14:textId="77777777" w:rsidR="00BA7EF3" w:rsidRPr="00F9573C" w:rsidRDefault="00BA7EF3" w:rsidP="006D6CD1">
            <w:pPr>
              <w:rPr>
                <w:rFonts w:eastAsia="Times New Roman" w:cstheme="minorHAnsi"/>
                <w:color w:val="000000"/>
              </w:rPr>
            </w:pPr>
            <w:r>
              <w:rPr>
                <w:rFonts w:eastAsia="Times New Roman" w:cstheme="minorHAnsi"/>
                <w:color w:val="000000"/>
              </w:rPr>
              <w:t>SCR</w:t>
            </w:r>
          </w:p>
        </w:tc>
        <w:tc>
          <w:tcPr>
            <w:tcW w:w="5920" w:type="dxa"/>
            <w:tcBorders>
              <w:top w:val="nil"/>
              <w:left w:val="nil"/>
              <w:bottom w:val="nil"/>
              <w:right w:val="nil"/>
            </w:tcBorders>
            <w:shd w:val="clear" w:color="auto" w:fill="auto"/>
            <w:noWrap/>
            <w:vAlign w:val="center"/>
          </w:tcPr>
          <w:p w14:paraId="385B4B08" w14:textId="77777777" w:rsidR="00BA7EF3" w:rsidRPr="00F9573C" w:rsidRDefault="00BA7EF3" w:rsidP="006D6CD1">
            <w:pPr>
              <w:rPr>
                <w:rFonts w:eastAsia="Times New Roman" w:cstheme="minorHAnsi"/>
                <w:color w:val="000000"/>
              </w:rPr>
            </w:pPr>
            <w:r>
              <w:rPr>
                <w:rFonts w:eastAsia="Times New Roman" w:cstheme="minorHAnsi"/>
                <w:color w:val="000000"/>
              </w:rPr>
              <w:t>South Caucasus Railways</w:t>
            </w:r>
          </w:p>
        </w:tc>
      </w:tr>
      <w:tr w:rsidR="00BA7EF3" w:rsidRPr="00824508" w14:paraId="19F7C0FD"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2121242A" w14:textId="77777777" w:rsidR="00BA7EF3" w:rsidRPr="00F9573C" w:rsidRDefault="00BA7EF3" w:rsidP="006D6CD1">
            <w:pPr>
              <w:rPr>
                <w:rFonts w:eastAsia="Times New Roman" w:cstheme="minorHAnsi"/>
                <w:color w:val="000000"/>
              </w:rPr>
            </w:pPr>
            <w:r>
              <w:rPr>
                <w:rFonts w:eastAsia="Times New Roman" w:cstheme="minorHAnsi"/>
                <w:color w:val="000000"/>
              </w:rPr>
              <w:t>SOE</w:t>
            </w:r>
          </w:p>
        </w:tc>
        <w:tc>
          <w:tcPr>
            <w:tcW w:w="5920" w:type="dxa"/>
            <w:tcBorders>
              <w:top w:val="nil"/>
              <w:left w:val="nil"/>
              <w:bottom w:val="nil"/>
              <w:right w:val="nil"/>
            </w:tcBorders>
            <w:shd w:val="clear" w:color="auto" w:fill="auto"/>
            <w:noWrap/>
            <w:vAlign w:val="center"/>
          </w:tcPr>
          <w:p w14:paraId="0F7516C8" w14:textId="77777777" w:rsidR="00BA7EF3" w:rsidRPr="00F9573C" w:rsidRDefault="00BA7EF3" w:rsidP="006D6CD1">
            <w:pPr>
              <w:rPr>
                <w:rFonts w:eastAsia="Times New Roman" w:cstheme="minorHAnsi"/>
                <w:color w:val="000000"/>
              </w:rPr>
            </w:pPr>
            <w:r>
              <w:rPr>
                <w:rFonts w:eastAsia="Times New Roman" w:cstheme="minorHAnsi"/>
                <w:color w:val="000000"/>
              </w:rPr>
              <w:t>State Owned Enterprises</w:t>
            </w:r>
          </w:p>
        </w:tc>
      </w:tr>
      <w:tr w:rsidR="00BA7EF3" w:rsidRPr="00824508" w14:paraId="14DFAC1C" w14:textId="77777777" w:rsidTr="006D6CD1">
        <w:trPr>
          <w:trHeight w:val="320"/>
        </w:trPr>
        <w:tc>
          <w:tcPr>
            <w:tcW w:w="1080" w:type="dxa"/>
            <w:tcBorders>
              <w:top w:val="nil"/>
              <w:left w:val="nil"/>
              <w:bottom w:val="nil"/>
              <w:right w:val="nil"/>
            </w:tcBorders>
            <w:shd w:val="clear" w:color="auto" w:fill="FFFFFF" w:themeFill="background1"/>
            <w:noWrap/>
            <w:vAlign w:val="bottom"/>
            <w:hideMark/>
          </w:tcPr>
          <w:p w14:paraId="50B36494"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VAT</w:t>
            </w:r>
          </w:p>
        </w:tc>
        <w:tc>
          <w:tcPr>
            <w:tcW w:w="5920" w:type="dxa"/>
            <w:tcBorders>
              <w:top w:val="nil"/>
              <w:left w:val="nil"/>
              <w:bottom w:val="nil"/>
              <w:right w:val="nil"/>
            </w:tcBorders>
            <w:shd w:val="clear" w:color="auto" w:fill="auto"/>
            <w:noWrap/>
            <w:vAlign w:val="center"/>
            <w:hideMark/>
          </w:tcPr>
          <w:p w14:paraId="0D26643A"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Value-added tax</w:t>
            </w:r>
          </w:p>
        </w:tc>
      </w:tr>
      <w:tr w:rsidR="00BA7EF3" w:rsidRPr="00824508" w14:paraId="0EA134AE" w14:textId="77777777" w:rsidTr="006D6CD1">
        <w:trPr>
          <w:trHeight w:val="320"/>
        </w:trPr>
        <w:tc>
          <w:tcPr>
            <w:tcW w:w="1080" w:type="dxa"/>
            <w:tcBorders>
              <w:top w:val="nil"/>
              <w:left w:val="nil"/>
              <w:bottom w:val="nil"/>
              <w:right w:val="nil"/>
            </w:tcBorders>
            <w:shd w:val="clear" w:color="auto" w:fill="FFFFFF" w:themeFill="background1"/>
            <w:noWrap/>
            <w:vAlign w:val="bottom"/>
          </w:tcPr>
          <w:p w14:paraId="63DA79FF"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WBG</w:t>
            </w:r>
          </w:p>
        </w:tc>
        <w:tc>
          <w:tcPr>
            <w:tcW w:w="5920" w:type="dxa"/>
            <w:tcBorders>
              <w:top w:val="nil"/>
              <w:left w:val="nil"/>
              <w:bottom w:val="nil"/>
              <w:right w:val="nil"/>
            </w:tcBorders>
            <w:shd w:val="clear" w:color="auto" w:fill="auto"/>
            <w:noWrap/>
            <w:vAlign w:val="center"/>
          </w:tcPr>
          <w:p w14:paraId="4F8724F2" w14:textId="77777777" w:rsidR="00BA7EF3" w:rsidRPr="00F9573C" w:rsidRDefault="00BA7EF3" w:rsidP="006D6CD1">
            <w:pPr>
              <w:rPr>
                <w:rFonts w:eastAsia="Times New Roman" w:cstheme="minorHAnsi"/>
                <w:color w:val="000000"/>
              </w:rPr>
            </w:pPr>
            <w:r w:rsidRPr="00F9573C">
              <w:rPr>
                <w:rFonts w:eastAsia="Times New Roman" w:cstheme="minorHAnsi"/>
                <w:color w:val="000000"/>
              </w:rPr>
              <w:t>World Bank Group</w:t>
            </w:r>
          </w:p>
        </w:tc>
      </w:tr>
    </w:tbl>
    <w:p w14:paraId="596EA5BD" w14:textId="77777777" w:rsidR="00BA7EF3" w:rsidRPr="009D1595" w:rsidRDefault="00BA7EF3" w:rsidP="00BA7EF3"/>
    <w:p w14:paraId="04D93C26" w14:textId="77777777" w:rsidR="00092D43" w:rsidRDefault="00092D43" w:rsidP="00AF3AC8">
      <w:pPr>
        <w:rPr>
          <w:rFonts w:asciiTheme="majorBidi" w:hAnsiTheme="majorBidi" w:cstheme="majorBidi"/>
          <w:b/>
          <w:bCs/>
        </w:rPr>
      </w:pPr>
    </w:p>
    <w:p w14:paraId="1CE53448" w14:textId="77777777" w:rsidR="00AF3AC8" w:rsidRDefault="00AF3AC8">
      <w:pPr>
        <w:spacing w:after="160" w:line="259" w:lineRule="auto"/>
        <w:rPr>
          <w:rFonts w:asciiTheme="majorBidi" w:hAnsiTheme="majorBidi" w:cstheme="majorBidi"/>
          <w:b/>
          <w:bCs/>
        </w:rPr>
      </w:pPr>
      <w:r>
        <w:rPr>
          <w:rFonts w:asciiTheme="majorBidi" w:hAnsiTheme="majorBidi" w:cstheme="majorBidi"/>
          <w:b/>
          <w:bCs/>
        </w:rPr>
        <w:br w:type="page"/>
      </w:r>
    </w:p>
    <w:sdt>
      <w:sdtPr>
        <w:rPr>
          <w:rFonts w:ascii="Calibri" w:eastAsiaTheme="minorHAnsi" w:hAnsi="Calibri" w:cs="Calibri"/>
          <w:color w:val="auto"/>
          <w:sz w:val="22"/>
          <w:szCs w:val="22"/>
        </w:rPr>
        <w:id w:val="1561597302"/>
        <w:docPartObj>
          <w:docPartGallery w:val="Table of Contents"/>
          <w:docPartUnique/>
        </w:docPartObj>
      </w:sdtPr>
      <w:sdtEndPr>
        <w:rPr>
          <w:b/>
          <w:bCs/>
          <w:noProof/>
        </w:rPr>
      </w:sdtEndPr>
      <w:sdtContent>
        <w:p w14:paraId="201363A8" w14:textId="77777777" w:rsidR="00AF3AC8" w:rsidRDefault="00AF3AC8">
          <w:pPr>
            <w:pStyle w:val="TOCHeading"/>
          </w:pPr>
          <w:r>
            <w:t>Contents</w:t>
          </w:r>
        </w:p>
        <w:p w14:paraId="22E2F209" w14:textId="77777777" w:rsidR="00BA7EF3" w:rsidRDefault="00BA7EF3" w:rsidP="00BA7EF3"/>
        <w:p w14:paraId="776BFA1D" w14:textId="77777777" w:rsidR="00BA7EF3" w:rsidRPr="00BA7EF3" w:rsidRDefault="00BA7EF3" w:rsidP="00BA7EF3"/>
        <w:p w14:paraId="25951C46" w14:textId="17DC4F4B" w:rsidR="00A31FAC" w:rsidRDefault="00AF3AC8">
          <w:pPr>
            <w:pStyle w:val="TOC1"/>
            <w:tabs>
              <w:tab w:val="left" w:pos="1320"/>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1855828" w:history="1">
            <w:r w:rsidR="00A31FAC" w:rsidRPr="001354DF">
              <w:rPr>
                <w:rStyle w:val="Hyperlink"/>
                <w:rFonts w:eastAsia="Times New Roman"/>
                <w:noProof/>
              </w:rPr>
              <w:t>ARMENIA:</w:t>
            </w:r>
            <w:r w:rsidR="00A31FAC">
              <w:rPr>
                <w:rFonts w:asciiTheme="minorHAnsi" w:eastAsiaTheme="minorEastAsia" w:hAnsiTheme="minorHAnsi" w:cstheme="minorBidi"/>
                <w:noProof/>
              </w:rPr>
              <w:tab/>
            </w:r>
            <w:r w:rsidR="00A31FAC" w:rsidRPr="001354DF">
              <w:rPr>
                <w:rStyle w:val="Hyperlink"/>
                <w:rFonts w:eastAsia="Times New Roman"/>
                <w:noProof/>
              </w:rPr>
              <w:t>Promoting Competition and Creating Contestable Markets in Armenia</w:t>
            </w:r>
            <w:r w:rsidR="00A31FAC">
              <w:rPr>
                <w:noProof/>
                <w:webHidden/>
              </w:rPr>
              <w:tab/>
            </w:r>
            <w:r w:rsidR="00A31FAC">
              <w:rPr>
                <w:noProof/>
                <w:webHidden/>
              </w:rPr>
              <w:fldChar w:fldCharType="begin"/>
            </w:r>
            <w:r w:rsidR="00A31FAC">
              <w:rPr>
                <w:noProof/>
                <w:webHidden/>
              </w:rPr>
              <w:instrText xml:space="preserve"> PAGEREF _Toc11855828 \h </w:instrText>
            </w:r>
            <w:r w:rsidR="00A31FAC">
              <w:rPr>
                <w:noProof/>
                <w:webHidden/>
              </w:rPr>
            </w:r>
            <w:r w:rsidR="00A31FAC">
              <w:rPr>
                <w:noProof/>
                <w:webHidden/>
              </w:rPr>
              <w:fldChar w:fldCharType="separate"/>
            </w:r>
            <w:r w:rsidR="00A31FAC">
              <w:rPr>
                <w:noProof/>
                <w:webHidden/>
              </w:rPr>
              <w:t>1</w:t>
            </w:r>
            <w:r w:rsidR="00A31FAC">
              <w:rPr>
                <w:noProof/>
                <w:webHidden/>
              </w:rPr>
              <w:fldChar w:fldCharType="end"/>
            </w:r>
          </w:hyperlink>
        </w:p>
        <w:p w14:paraId="646A6CB7" w14:textId="5965F9F5" w:rsidR="00A31FAC" w:rsidRDefault="00427688">
          <w:pPr>
            <w:pStyle w:val="TOC2"/>
            <w:tabs>
              <w:tab w:val="right" w:leader="dot" w:pos="9350"/>
            </w:tabs>
            <w:rPr>
              <w:rFonts w:asciiTheme="minorHAnsi" w:eastAsiaTheme="minorEastAsia" w:hAnsiTheme="minorHAnsi" w:cstheme="minorBidi"/>
              <w:noProof/>
            </w:rPr>
          </w:pPr>
          <w:hyperlink w:anchor="_Toc11855829" w:history="1">
            <w:r w:rsidR="00A31FAC" w:rsidRPr="001354DF">
              <w:rPr>
                <w:rStyle w:val="Hyperlink"/>
                <w:noProof/>
              </w:rPr>
              <w:t>Abbreviations and Acronyms</w:t>
            </w:r>
            <w:r w:rsidR="00A31FAC">
              <w:rPr>
                <w:noProof/>
                <w:webHidden/>
              </w:rPr>
              <w:tab/>
            </w:r>
            <w:r w:rsidR="00A31FAC">
              <w:rPr>
                <w:noProof/>
                <w:webHidden/>
              </w:rPr>
              <w:fldChar w:fldCharType="begin"/>
            </w:r>
            <w:r w:rsidR="00A31FAC">
              <w:rPr>
                <w:noProof/>
                <w:webHidden/>
              </w:rPr>
              <w:instrText xml:space="preserve"> PAGEREF _Toc11855829 \h </w:instrText>
            </w:r>
            <w:r w:rsidR="00A31FAC">
              <w:rPr>
                <w:noProof/>
                <w:webHidden/>
              </w:rPr>
            </w:r>
            <w:r w:rsidR="00A31FAC">
              <w:rPr>
                <w:noProof/>
                <w:webHidden/>
              </w:rPr>
              <w:fldChar w:fldCharType="separate"/>
            </w:r>
            <w:r w:rsidR="00A31FAC">
              <w:rPr>
                <w:noProof/>
                <w:webHidden/>
              </w:rPr>
              <w:t>2</w:t>
            </w:r>
            <w:r w:rsidR="00A31FAC">
              <w:rPr>
                <w:noProof/>
                <w:webHidden/>
              </w:rPr>
              <w:fldChar w:fldCharType="end"/>
            </w:r>
          </w:hyperlink>
        </w:p>
        <w:p w14:paraId="61D986AA" w14:textId="0AD95985" w:rsidR="00A31FAC" w:rsidRDefault="00427688">
          <w:pPr>
            <w:pStyle w:val="TOC2"/>
            <w:tabs>
              <w:tab w:val="left" w:pos="660"/>
              <w:tab w:val="right" w:leader="dot" w:pos="9350"/>
            </w:tabs>
            <w:rPr>
              <w:rFonts w:asciiTheme="minorHAnsi" w:eastAsiaTheme="minorEastAsia" w:hAnsiTheme="minorHAnsi" w:cstheme="minorBidi"/>
              <w:noProof/>
            </w:rPr>
          </w:pPr>
          <w:hyperlink w:anchor="_Toc11855830" w:history="1">
            <w:r w:rsidR="00A31FAC" w:rsidRPr="001354DF">
              <w:rPr>
                <w:rStyle w:val="Hyperlink"/>
                <w:noProof/>
              </w:rPr>
              <w:t>A.</w:t>
            </w:r>
            <w:r w:rsidR="00A31FAC">
              <w:rPr>
                <w:rFonts w:asciiTheme="minorHAnsi" w:eastAsiaTheme="minorEastAsia" w:hAnsiTheme="minorHAnsi" w:cstheme="minorBidi"/>
                <w:noProof/>
              </w:rPr>
              <w:tab/>
            </w:r>
            <w:r w:rsidR="00A31FAC" w:rsidRPr="001354DF">
              <w:rPr>
                <w:rStyle w:val="Hyperlink"/>
                <w:noProof/>
              </w:rPr>
              <w:t>Introduction</w:t>
            </w:r>
            <w:r w:rsidR="00A31FAC">
              <w:rPr>
                <w:noProof/>
                <w:webHidden/>
              </w:rPr>
              <w:tab/>
            </w:r>
            <w:r w:rsidR="00A31FAC">
              <w:rPr>
                <w:noProof/>
                <w:webHidden/>
              </w:rPr>
              <w:fldChar w:fldCharType="begin"/>
            </w:r>
            <w:r w:rsidR="00A31FAC">
              <w:rPr>
                <w:noProof/>
                <w:webHidden/>
              </w:rPr>
              <w:instrText xml:space="preserve"> PAGEREF _Toc11855830 \h </w:instrText>
            </w:r>
            <w:r w:rsidR="00A31FAC">
              <w:rPr>
                <w:noProof/>
                <w:webHidden/>
              </w:rPr>
            </w:r>
            <w:r w:rsidR="00A31FAC">
              <w:rPr>
                <w:noProof/>
                <w:webHidden/>
              </w:rPr>
              <w:fldChar w:fldCharType="separate"/>
            </w:r>
            <w:r w:rsidR="00A31FAC">
              <w:rPr>
                <w:noProof/>
                <w:webHidden/>
              </w:rPr>
              <w:t>4</w:t>
            </w:r>
            <w:r w:rsidR="00A31FAC">
              <w:rPr>
                <w:noProof/>
                <w:webHidden/>
              </w:rPr>
              <w:fldChar w:fldCharType="end"/>
            </w:r>
          </w:hyperlink>
        </w:p>
        <w:p w14:paraId="71100DF5" w14:textId="3437A10C" w:rsidR="00A31FAC" w:rsidRDefault="00427688">
          <w:pPr>
            <w:pStyle w:val="TOC2"/>
            <w:tabs>
              <w:tab w:val="left" w:pos="660"/>
              <w:tab w:val="right" w:leader="dot" w:pos="9350"/>
            </w:tabs>
            <w:rPr>
              <w:rFonts w:asciiTheme="minorHAnsi" w:eastAsiaTheme="minorEastAsia" w:hAnsiTheme="minorHAnsi" w:cstheme="minorBidi"/>
              <w:noProof/>
            </w:rPr>
          </w:pPr>
          <w:hyperlink w:anchor="_Toc11855831" w:history="1">
            <w:r w:rsidR="00A31FAC" w:rsidRPr="001354DF">
              <w:rPr>
                <w:rStyle w:val="Hyperlink"/>
                <w:noProof/>
              </w:rPr>
              <w:t>B.</w:t>
            </w:r>
            <w:r w:rsidR="00A31FAC">
              <w:rPr>
                <w:rFonts w:asciiTheme="minorHAnsi" w:eastAsiaTheme="minorEastAsia" w:hAnsiTheme="minorHAnsi" w:cstheme="minorBidi"/>
                <w:noProof/>
              </w:rPr>
              <w:tab/>
            </w:r>
            <w:r w:rsidR="00A31FAC" w:rsidRPr="001354DF">
              <w:rPr>
                <w:rStyle w:val="Hyperlink"/>
                <w:noProof/>
              </w:rPr>
              <w:t>Perceptions on competition in Armenian markets</w:t>
            </w:r>
            <w:r w:rsidR="00A31FAC">
              <w:rPr>
                <w:noProof/>
                <w:webHidden/>
              </w:rPr>
              <w:tab/>
            </w:r>
            <w:r w:rsidR="00A31FAC">
              <w:rPr>
                <w:noProof/>
                <w:webHidden/>
              </w:rPr>
              <w:fldChar w:fldCharType="begin"/>
            </w:r>
            <w:r w:rsidR="00A31FAC">
              <w:rPr>
                <w:noProof/>
                <w:webHidden/>
              </w:rPr>
              <w:instrText xml:space="preserve"> PAGEREF _Toc11855831 \h </w:instrText>
            </w:r>
            <w:r w:rsidR="00A31FAC">
              <w:rPr>
                <w:noProof/>
                <w:webHidden/>
              </w:rPr>
            </w:r>
            <w:r w:rsidR="00A31FAC">
              <w:rPr>
                <w:noProof/>
                <w:webHidden/>
              </w:rPr>
              <w:fldChar w:fldCharType="separate"/>
            </w:r>
            <w:r w:rsidR="00A31FAC">
              <w:rPr>
                <w:noProof/>
                <w:webHidden/>
              </w:rPr>
              <w:t>6</w:t>
            </w:r>
            <w:r w:rsidR="00A31FAC">
              <w:rPr>
                <w:noProof/>
                <w:webHidden/>
              </w:rPr>
              <w:fldChar w:fldCharType="end"/>
            </w:r>
          </w:hyperlink>
        </w:p>
        <w:p w14:paraId="0FF466EB" w14:textId="0F38D921" w:rsidR="00A31FAC" w:rsidRDefault="00427688">
          <w:pPr>
            <w:pStyle w:val="TOC2"/>
            <w:tabs>
              <w:tab w:val="left" w:pos="660"/>
              <w:tab w:val="right" w:leader="dot" w:pos="9350"/>
            </w:tabs>
            <w:rPr>
              <w:rFonts w:asciiTheme="minorHAnsi" w:eastAsiaTheme="minorEastAsia" w:hAnsiTheme="minorHAnsi" w:cstheme="minorBidi"/>
              <w:noProof/>
            </w:rPr>
          </w:pPr>
          <w:hyperlink w:anchor="_Toc11855832" w:history="1">
            <w:r w:rsidR="00A31FAC" w:rsidRPr="001354DF">
              <w:rPr>
                <w:rStyle w:val="Hyperlink"/>
                <w:noProof/>
              </w:rPr>
              <w:t>C.</w:t>
            </w:r>
            <w:r w:rsidR="00A31FAC">
              <w:rPr>
                <w:rFonts w:asciiTheme="minorHAnsi" w:eastAsiaTheme="minorEastAsia" w:hAnsiTheme="minorHAnsi" w:cstheme="minorBidi"/>
                <w:noProof/>
              </w:rPr>
              <w:tab/>
            </w:r>
            <w:r w:rsidR="00A31FAC" w:rsidRPr="001354DF">
              <w:rPr>
                <w:rStyle w:val="Hyperlink"/>
                <w:noProof/>
              </w:rPr>
              <w:t>Summary of key findings across the three pillars of a holistic competition policy</w:t>
            </w:r>
            <w:r w:rsidR="00A31FAC">
              <w:rPr>
                <w:noProof/>
                <w:webHidden/>
              </w:rPr>
              <w:tab/>
            </w:r>
            <w:r w:rsidR="00A31FAC">
              <w:rPr>
                <w:noProof/>
                <w:webHidden/>
              </w:rPr>
              <w:fldChar w:fldCharType="begin"/>
            </w:r>
            <w:r w:rsidR="00A31FAC">
              <w:rPr>
                <w:noProof/>
                <w:webHidden/>
              </w:rPr>
              <w:instrText xml:space="preserve"> PAGEREF _Toc11855832 \h </w:instrText>
            </w:r>
            <w:r w:rsidR="00A31FAC">
              <w:rPr>
                <w:noProof/>
                <w:webHidden/>
              </w:rPr>
            </w:r>
            <w:r w:rsidR="00A31FAC">
              <w:rPr>
                <w:noProof/>
                <w:webHidden/>
              </w:rPr>
              <w:fldChar w:fldCharType="separate"/>
            </w:r>
            <w:r w:rsidR="00A31FAC">
              <w:rPr>
                <w:noProof/>
                <w:webHidden/>
              </w:rPr>
              <w:t>8</w:t>
            </w:r>
            <w:r w:rsidR="00A31FAC">
              <w:rPr>
                <w:noProof/>
                <w:webHidden/>
              </w:rPr>
              <w:fldChar w:fldCharType="end"/>
            </w:r>
          </w:hyperlink>
        </w:p>
        <w:p w14:paraId="2E1D030A" w14:textId="71C2E9CA" w:rsidR="00A31FAC" w:rsidRDefault="00427688">
          <w:pPr>
            <w:pStyle w:val="TOC3"/>
            <w:tabs>
              <w:tab w:val="right" w:leader="dot" w:pos="9350"/>
            </w:tabs>
            <w:rPr>
              <w:rFonts w:asciiTheme="minorHAnsi" w:eastAsiaTheme="minorEastAsia" w:hAnsiTheme="minorHAnsi" w:cstheme="minorBidi"/>
              <w:noProof/>
            </w:rPr>
          </w:pPr>
          <w:hyperlink w:anchor="_Toc11855833" w:history="1">
            <w:r w:rsidR="00A31FAC" w:rsidRPr="001354DF">
              <w:rPr>
                <w:rStyle w:val="Hyperlink"/>
                <w:rFonts w:eastAsia="Times New Roman"/>
                <w:noProof/>
              </w:rPr>
              <w:t>Pillar 1. Opening markets through pro-competition sector regulation</w:t>
            </w:r>
            <w:r w:rsidR="00A31FAC">
              <w:rPr>
                <w:noProof/>
                <w:webHidden/>
              </w:rPr>
              <w:tab/>
            </w:r>
            <w:r w:rsidR="00A31FAC">
              <w:rPr>
                <w:noProof/>
                <w:webHidden/>
              </w:rPr>
              <w:fldChar w:fldCharType="begin"/>
            </w:r>
            <w:r w:rsidR="00A31FAC">
              <w:rPr>
                <w:noProof/>
                <w:webHidden/>
              </w:rPr>
              <w:instrText xml:space="preserve"> PAGEREF _Toc11855833 \h </w:instrText>
            </w:r>
            <w:r w:rsidR="00A31FAC">
              <w:rPr>
                <w:noProof/>
                <w:webHidden/>
              </w:rPr>
            </w:r>
            <w:r w:rsidR="00A31FAC">
              <w:rPr>
                <w:noProof/>
                <w:webHidden/>
              </w:rPr>
              <w:fldChar w:fldCharType="separate"/>
            </w:r>
            <w:r w:rsidR="00A31FAC">
              <w:rPr>
                <w:noProof/>
                <w:webHidden/>
              </w:rPr>
              <w:t>9</w:t>
            </w:r>
            <w:r w:rsidR="00A31FAC">
              <w:rPr>
                <w:noProof/>
                <w:webHidden/>
              </w:rPr>
              <w:fldChar w:fldCharType="end"/>
            </w:r>
          </w:hyperlink>
        </w:p>
        <w:p w14:paraId="2A0A5CEB" w14:textId="19840F80" w:rsidR="00A31FAC" w:rsidRDefault="00427688">
          <w:pPr>
            <w:pStyle w:val="TOC3"/>
            <w:tabs>
              <w:tab w:val="right" w:leader="dot" w:pos="9350"/>
            </w:tabs>
            <w:rPr>
              <w:rFonts w:asciiTheme="minorHAnsi" w:eastAsiaTheme="minorEastAsia" w:hAnsiTheme="minorHAnsi" w:cstheme="minorBidi"/>
              <w:noProof/>
            </w:rPr>
          </w:pPr>
          <w:hyperlink w:anchor="_Toc11855834" w:history="1">
            <w:r w:rsidR="00A31FAC" w:rsidRPr="001354DF">
              <w:rPr>
                <w:rStyle w:val="Hyperlink"/>
                <w:noProof/>
              </w:rPr>
              <w:t>Pillar 2: Promoting a level playing field</w:t>
            </w:r>
            <w:r w:rsidR="00A31FAC">
              <w:rPr>
                <w:noProof/>
                <w:webHidden/>
              </w:rPr>
              <w:tab/>
            </w:r>
            <w:r w:rsidR="00A31FAC">
              <w:rPr>
                <w:noProof/>
                <w:webHidden/>
              </w:rPr>
              <w:fldChar w:fldCharType="begin"/>
            </w:r>
            <w:r w:rsidR="00A31FAC">
              <w:rPr>
                <w:noProof/>
                <w:webHidden/>
              </w:rPr>
              <w:instrText xml:space="preserve"> PAGEREF _Toc11855834 \h </w:instrText>
            </w:r>
            <w:r w:rsidR="00A31FAC">
              <w:rPr>
                <w:noProof/>
                <w:webHidden/>
              </w:rPr>
            </w:r>
            <w:r w:rsidR="00A31FAC">
              <w:rPr>
                <w:noProof/>
                <w:webHidden/>
              </w:rPr>
              <w:fldChar w:fldCharType="separate"/>
            </w:r>
            <w:r w:rsidR="00A31FAC">
              <w:rPr>
                <w:noProof/>
                <w:webHidden/>
              </w:rPr>
              <w:t>19</w:t>
            </w:r>
            <w:r w:rsidR="00A31FAC">
              <w:rPr>
                <w:noProof/>
                <w:webHidden/>
              </w:rPr>
              <w:fldChar w:fldCharType="end"/>
            </w:r>
          </w:hyperlink>
        </w:p>
        <w:p w14:paraId="6A9B6561" w14:textId="34C28A40" w:rsidR="00A31FAC" w:rsidRDefault="00427688">
          <w:pPr>
            <w:pStyle w:val="TOC3"/>
            <w:tabs>
              <w:tab w:val="right" w:leader="dot" w:pos="9350"/>
            </w:tabs>
            <w:rPr>
              <w:rFonts w:asciiTheme="minorHAnsi" w:eastAsiaTheme="minorEastAsia" w:hAnsiTheme="minorHAnsi" w:cstheme="minorBidi"/>
              <w:noProof/>
            </w:rPr>
          </w:pPr>
          <w:hyperlink w:anchor="_Toc11855835" w:history="1">
            <w:r w:rsidR="00A31FAC" w:rsidRPr="001354DF">
              <w:rPr>
                <w:rStyle w:val="Hyperlink"/>
                <w:noProof/>
              </w:rPr>
              <w:t>Pillar 3: Ensuring effective competition policy enforcement</w:t>
            </w:r>
            <w:r w:rsidR="00A31FAC">
              <w:rPr>
                <w:noProof/>
                <w:webHidden/>
              </w:rPr>
              <w:tab/>
            </w:r>
            <w:r w:rsidR="00A31FAC">
              <w:rPr>
                <w:noProof/>
                <w:webHidden/>
              </w:rPr>
              <w:fldChar w:fldCharType="begin"/>
            </w:r>
            <w:r w:rsidR="00A31FAC">
              <w:rPr>
                <w:noProof/>
                <w:webHidden/>
              </w:rPr>
              <w:instrText xml:space="preserve"> PAGEREF _Toc11855835 \h </w:instrText>
            </w:r>
            <w:r w:rsidR="00A31FAC">
              <w:rPr>
                <w:noProof/>
                <w:webHidden/>
              </w:rPr>
            </w:r>
            <w:r w:rsidR="00A31FAC">
              <w:rPr>
                <w:noProof/>
                <w:webHidden/>
              </w:rPr>
              <w:fldChar w:fldCharType="separate"/>
            </w:r>
            <w:r w:rsidR="00A31FAC">
              <w:rPr>
                <w:noProof/>
                <w:webHidden/>
              </w:rPr>
              <w:t>22</w:t>
            </w:r>
            <w:r w:rsidR="00A31FAC">
              <w:rPr>
                <w:noProof/>
                <w:webHidden/>
              </w:rPr>
              <w:fldChar w:fldCharType="end"/>
            </w:r>
          </w:hyperlink>
        </w:p>
        <w:p w14:paraId="668D3B6A" w14:textId="19963F5C" w:rsidR="00A31FAC" w:rsidRDefault="00427688">
          <w:pPr>
            <w:pStyle w:val="TOC3"/>
            <w:tabs>
              <w:tab w:val="right" w:leader="dot" w:pos="9350"/>
            </w:tabs>
            <w:rPr>
              <w:rFonts w:asciiTheme="minorHAnsi" w:eastAsiaTheme="minorEastAsia" w:hAnsiTheme="minorHAnsi" w:cstheme="minorBidi"/>
              <w:noProof/>
            </w:rPr>
          </w:pPr>
          <w:hyperlink w:anchor="_Toc11855836" w:history="1">
            <w:r w:rsidR="00A31FAC" w:rsidRPr="001354DF">
              <w:rPr>
                <w:rStyle w:val="Hyperlink"/>
                <w:noProof/>
              </w:rPr>
              <w:t>Cross-cutting: Developing a National Competition Policy</w:t>
            </w:r>
            <w:r w:rsidR="00A31FAC">
              <w:rPr>
                <w:noProof/>
                <w:webHidden/>
              </w:rPr>
              <w:tab/>
            </w:r>
            <w:r w:rsidR="00A31FAC">
              <w:rPr>
                <w:noProof/>
                <w:webHidden/>
              </w:rPr>
              <w:fldChar w:fldCharType="begin"/>
            </w:r>
            <w:r w:rsidR="00A31FAC">
              <w:rPr>
                <w:noProof/>
                <w:webHidden/>
              </w:rPr>
              <w:instrText xml:space="preserve"> PAGEREF _Toc11855836 \h </w:instrText>
            </w:r>
            <w:r w:rsidR="00A31FAC">
              <w:rPr>
                <w:noProof/>
                <w:webHidden/>
              </w:rPr>
            </w:r>
            <w:r w:rsidR="00A31FAC">
              <w:rPr>
                <w:noProof/>
                <w:webHidden/>
              </w:rPr>
              <w:fldChar w:fldCharType="separate"/>
            </w:r>
            <w:r w:rsidR="00A31FAC">
              <w:rPr>
                <w:noProof/>
                <w:webHidden/>
              </w:rPr>
              <w:t>24</w:t>
            </w:r>
            <w:r w:rsidR="00A31FAC">
              <w:rPr>
                <w:noProof/>
                <w:webHidden/>
              </w:rPr>
              <w:fldChar w:fldCharType="end"/>
            </w:r>
          </w:hyperlink>
        </w:p>
        <w:p w14:paraId="532D310A" w14:textId="5690441F" w:rsidR="00A31FAC" w:rsidRDefault="00427688">
          <w:pPr>
            <w:pStyle w:val="TOC2"/>
            <w:tabs>
              <w:tab w:val="left" w:pos="660"/>
              <w:tab w:val="right" w:leader="dot" w:pos="9350"/>
            </w:tabs>
            <w:rPr>
              <w:rFonts w:asciiTheme="minorHAnsi" w:eastAsiaTheme="minorEastAsia" w:hAnsiTheme="minorHAnsi" w:cstheme="minorBidi"/>
              <w:noProof/>
            </w:rPr>
          </w:pPr>
          <w:hyperlink w:anchor="_Toc11855837" w:history="1">
            <w:r w:rsidR="00A31FAC" w:rsidRPr="001354DF">
              <w:rPr>
                <w:rStyle w:val="Hyperlink"/>
                <w:noProof/>
              </w:rPr>
              <w:t>D.</w:t>
            </w:r>
            <w:r w:rsidR="00A31FAC">
              <w:rPr>
                <w:rFonts w:asciiTheme="minorHAnsi" w:eastAsiaTheme="minorEastAsia" w:hAnsiTheme="minorHAnsi" w:cstheme="minorBidi"/>
                <w:noProof/>
              </w:rPr>
              <w:tab/>
            </w:r>
            <w:r w:rsidR="00A31FAC" w:rsidRPr="001354DF">
              <w:rPr>
                <w:rStyle w:val="Hyperlink"/>
                <w:noProof/>
              </w:rPr>
              <w:t>Proposed approach to progress markets and competition reforms in Armenia</w:t>
            </w:r>
            <w:r w:rsidR="00A31FAC">
              <w:rPr>
                <w:noProof/>
                <w:webHidden/>
              </w:rPr>
              <w:tab/>
            </w:r>
            <w:r w:rsidR="00A31FAC">
              <w:rPr>
                <w:noProof/>
                <w:webHidden/>
              </w:rPr>
              <w:fldChar w:fldCharType="begin"/>
            </w:r>
            <w:r w:rsidR="00A31FAC">
              <w:rPr>
                <w:noProof/>
                <w:webHidden/>
              </w:rPr>
              <w:instrText xml:space="preserve"> PAGEREF _Toc11855837 \h </w:instrText>
            </w:r>
            <w:r w:rsidR="00A31FAC">
              <w:rPr>
                <w:noProof/>
                <w:webHidden/>
              </w:rPr>
            </w:r>
            <w:r w:rsidR="00A31FAC">
              <w:rPr>
                <w:noProof/>
                <w:webHidden/>
              </w:rPr>
              <w:fldChar w:fldCharType="separate"/>
            </w:r>
            <w:r w:rsidR="00A31FAC">
              <w:rPr>
                <w:noProof/>
                <w:webHidden/>
              </w:rPr>
              <w:t>24</w:t>
            </w:r>
            <w:r w:rsidR="00A31FAC">
              <w:rPr>
                <w:noProof/>
                <w:webHidden/>
              </w:rPr>
              <w:fldChar w:fldCharType="end"/>
            </w:r>
          </w:hyperlink>
        </w:p>
        <w:p w14:paraId="559B35AC" w14:textId="77777777" w:rsidR="00AF3AC8" w:rsidRDefault="00AF3AC8">
          <w:r>
            <w:rPr>
              <w:b/>
              <w:bCs/>
              <w:noProof/>
            </w:rPr>
            <w:fldChar w:fldCharType="end"/>
          </w:r>
        </w:p>
      </w:sdtContent>
    </w:sdt>
    <w:p w14:paraId="3E66EAD7" w14:textId="77777777" w:rsidR="00AF3AC8" w:rsidRDefault="00AF3AC8">
      <w:pPr>
        <w:spacing w:after="160" w:line="259" w:lineRule="auto"/>
        <w:rPr>
          <w:rFonts w:asciiTheme="majorBidi" w:hAnsiTheme="majorBidi" w:cstheme="majorBidi"/>
          <w:b/>
          <w:bCs/>
        </w:rPr>
      </w:pPr>
      <w:r>
        <w:rPr>
          <w:rFonts w:asciiTheme="majorBidi" w:hAnsiTheme="majorBidi" w:cstheme="majorBidi"/>
          <w:b/>
          <w:bCs/>
        </w:rPr>
        <w:br w:type="page"/>
      </w:r>
    </w:p>
    <w:p w14:paraId="0D4C0E67" w14:textId="77777777" w:rsidR="00AF3AC8" w:rsidRDefault="00AF3AC8" w:rsidP="00AF3AC8">
      <w:pPr>
        <w:rPr>
          <w:rFonts w:asciiTheme="majorBidi" w:hAnsiTheme="majorBidi" w:cstheme="majorBidi"/>
          <w:b/>
          <w:bCs/>
        </w:rPr>
      </w:pPr>
    </w:p>
    <w:p w14:paraId="39D14628" w14:textId="77777777" w:rsidR="00AF3AC8" w:rsidRDefault="00AF3AC8" w:rsidP="00092D43">
      <w:pPr>
        <w:jc w:val="center"/>
        <w:rPr>
          <w:rFonts w:asciiTheme="majorBidi" w:hAnsiTheme="majorBidi" w:cstheme="majorBidi"/>
          <w:b/>
          <w:bCs/>
        </w:rPr>
      </w:pPr>
    </w:p>
    <w:p w14:paraId="2C7D43F9" w14:textId="77777777" w:rsidR="00D819B9" w:rsidRDefault="00D819B9" w:rsidP="00D819B9"/>
    <w:p w14:paraId="5CA58052" w14:textId="77777777" w:rsidR="008C3D1E" w:rsidRDefault="00F85D0D" w:rsidP="00EB5885">
      <w:pPr>
        <w:pStyle w:val="Heading2"/>
        <w:numPr>
          <w:ilvl w:val="0"/>
          <w:numId w:val="1"/>
        </w:numPr>
      </w:pPr>
      <w:bookmarkStart w:id="2" w:name="_Hlk1137551"/>
      <w:bookmarkStart w:id="3" w:name="_Toc11855830"/>
      <w:r w:rsidRPr="00EB5885">
        <w:t>Introduction</w:t>
      </w:r>
      <w:bookmarkEnd w:id="2"/>
      <w:bookmarkEnd w:id="3"/>
    </w:p>
    <w:p w14:paraId="6A455CF1" w14:textId="6A4D2917" w:rsidR="004F5E48" w:rsidRPr="00246D05" w:rsidRDefault="004F5E48" w:rsidP="00FB0B0F">
      <w:pPr>
        <w:jc w:val="both"/>
        <w:rPr>
          <w:rFonts w:asciiTheme="minorHAnsi" w:hAnsiTheme="minorHAnsi" w:cstheme="minorHAnsi"/>
        </w:rPr>
      </w:pPr>
      <w:r w:rsidRPr="00246D05">
        <w:rPr>
          <w:rFonts w:asciiTheme="minorHAnsi" w:hAnsiTheme="minorHAnsi" w:cstheme="minorHAnsi"/>
          <w:b/>
        </w:rPr>
        <w:t xml:space="preserve">This policy note has been produced </w:t>
      </w:r>
      <w:r w:rsidR="0021167E" w:rsidRPr="00246D05">
        <w:rPr>
          <w:rFonts w:asciiTheme="minorHAnsi" w:hAnsiTheme="minorHAnsi" w:cstheme="minorHAnsi"/>
          <w:b/>
        </w:rPr>
        <w:t xml:space="preserve">under the Competition Reform Assessment </w:t>
      </w:r>
      <w:r w:rsidRPr="00246D05">
        <w:rPr>
          <w:rFonts w:asciiTheme="minorHAnsi" w:hAnsiTheme="minorHAnsi" w:cstheme="minorHAnsi"/>
          <w:b/>
        </w:rPr>
        <w:t xml:space="preserve">ASA </w:t>
      </w:r>
      <w:r w:rsidR="00CF13D1" w:rsidRPr="00246D05">
        <w:rPr>
          <w:rFonts w:asciiTheme="minorHAnsi" w:hAnsiTheme="minorHAnsi" w:cstheme="minorHAnsi"/>
          <w:b/>
        </w:rPr>
        <w:t>with the objective of</w:t>
      </w:r>
      <w:r w:rsidR="0021167E" w:rsidRPr="00246D05">
        <w:rPr>
          <w:rFonts w:asciiTheme="minorHAnsi" w:hAnsiTheme="minorHAnsi" w:cstheme="minorHAnsi"/>
          <w:b/>
        </w:rPr>
        <w:t xml:space="preserve"> </w:t>
      </w:r>
      <w:r w:rsidRPr="00246D05">
        <w:rPr>
          <w:rFonts w:asciiTheme="minorHAnsi" w:hAnsiTheme="minorHAnsi" w:cstheme="minorHAnsi"/>
          <w:b/>
        </w:rPr>
        <w:t>identify</w:t>
      </w:r>
      <w:r w:rsidR="00CF13D1" w:rsidRPr="00246D05">
        <w:rPr>
          <w:rFonts w:asciiTheme="minorHAnsi" w:hAnsiTheme="minorHAnsi" w:cstheme="minorHAnsi"/>
          <w:b/>
        </w:rPr>
        <w:t>ing</w:t>
      </w:r>
      <w:r w:rsidRPr="00246D05">
        <w:rPr>
          <w:rFonts w:asciiTheme="minorHAnsi" w:hAnsiTheme="minorHAnsi" w:cstheme="minorHAnsi"/>
          <w:b/>
        </w:rPr>
        <w:t xml:space="preserve"> key constraints to competition in Armenia</w:t>
      </w:r>
      <w:r w:rsidRPr="00246D05">
        <w:rPr>
          <w:rFonts w:asciiTheme="minorHAnsi" w:hAnsiTheme="minorHAnsi" w:cstheme="minorHAnsi"/>
        </w:rPr>
        <w:t xml:space="preserve"> and provid</w:t>
      </w:r>
      <w:r w:rsidR="00E21161">
        <w:rPr>
          <w:rFonts w:asciiTheme="minorHAnsi" w:hAnsiTheme="minorHAnsi" w:cstheme="minorHAnsi"/>
        </w:rPr>
        <w:t>ing</w:t>
      </w:r>
      <w:r w:rsidRPr="00246D05">
        <w:rPr>
          <w:rFonts w:asciiTheme="minorHAnsi" w:hAnsiTheme="minorHAnsi" w:cstheme="minorHAnsi"/>
        </w:rPr>
        <w:t xml:space="preserve"> recommendations on a set of actionable reforms that </w:t>
      </w:r>
      <w:r w:rsidR="0021167E">
        <w:rPr>
          <w:rFonts w:asciiTheme="minorHAnsi" w:hAnsiTheme="minorHAnsi" w:cstheme="minorHAnsi"/>
        </w:rPr>
        <w:t>could</w:t>
      </w:r>
      <w:r w:rsidRPr="00246D05">
        <w:rPr>
          <w:rFonts w:asciiTheme="minorHAnsi" w:hAnsiTheme="minorHAnsi" w:cstheme="minorHAnsi"/>
        </w:rPr>
        <w:t xml:space="preserve"> help foster market contestability and competition in key sectors and across the economy.</w:t>
      </w:r>
      <w:r w:rsidR="0021167E">
        <w:rPr>
          <w:rFonts w:asciiTheme="minorHAnsi" w:hAnsiTheme="minorHAnsi" w:cstheme="minorHAnsi"/>
        </w:rPr>
        <w:t xml:space="preserve"> </w:t>
      </w:r>
      <w:proofErr w:type="gramStart"/>
      <w:r w:rsidR="0021167E">
        <w:rPr>
          <w:rFonts w:asciiTheme="minorHAnsi" w:hAnsiTheme="minorHAnsi" w:cstheme="minorHAnsi"/>
        </w:rPr>
        <w:t>In particular, the</w:t>
      </w:r>
      <w:proofErr w:type="gramEnd"/>
      <w:r w:rsidR="0021167E">
        <w:rPr>
          <w:rFonts w:asciiTheme="minorHAnsi" w:hAnsiTheme="minorHAnsi" w:cstheme="minorHAnsi"/>
        </w:rPr>
        <w:t xml:space="preserve"> policy note seeks to</w:t>
      </w:r>
      <w:r w:rsidR="00091672">
        <w:rPr>
          <w:rFonts w:asciiTheme="minorHAnsi" w:hAnsiTheme="minorHAnsi" w:cstheme="minorHAnsi"/>
        </w:rPr>
        <w:t xml:space="preserve"> identify</w:t>
      </w:r>
      <w:r w:rsidR="0021167E">
        <w:rPr>
          <w:rFonts w:asciiTheme="minorHAnsi" w:hAnsiTheme="minorHAnsi" w:cstheme="minorHAnsi"/>
        </w:rPr>
        <w:t xml:space="preserve"> </w:t>
      </w:r>
      <w:r w:rsidR="00091672">
        <w:rPr>
          <w:rFonts w:asciiTheme="minorHAnsi" w:hAnsiTheme="minorHAnsi" w:cstheme="minorHAnsi"/>
        </w:rPr>
        <w:t>a menu of priority</w:t>
      </w:r>
      <w:r w:rsidR="000300DB">
        <w:rPr>
          <w:rFonts w:asciiTheme="minorHAnsi" w:hAnsiTheme="minorHAnsi" w:cstheme="minorHAnsi"/>
        </w:rPr>
        <w:t xml:space="preserve"> reform areas for </w:t>
      </w:r>
      <w:r w:rsidR="00091672">
        <w:rPr>
          <w:rFonts w:asciiTheme="minorHAnsi" w:hAnsiTheme="minorHAnsi" w:cstheme="minorHAnsi"/>
        </w:rPr>
        <w:t>potential engagement between the World Bank Group</w:t>
      </w:r>
      <w:r w:rsidR="00C85A90">
        <w:rPr>
          <w:rFonts w:asciiTheme="minorHAnsi" w:hAnsiTheme="minorHAnsi" w:cstheme="minorHAnsi"/>
        </w:rPr>
        <w:t xml:space="preserve"> (WBG)</w:t>
      </w:r>
      <w:r w:rsidR="00091672">
        <w:rPr>
          <w:rFonts w:asciiTheme="minorHAnsi" w:hAnsiTheme="minorHAnsi" w:cstheme="minorHAnsi"/>
        </w:rPr>
        <w:t xml:space="preserve"> and the Government of Armenia</w:t>
      </w:r>
      <w:r w:rsidR="00C85A90">
        <w:rPr>
          <w:rFonts w:asciiTheme="minorHAnsi" w:hAnsiTheme="minorHAnsi" w:cstheme="minorHAnsi"/>
        </w:rPr>
        <w:t xml:space="preserve"> (</w:t>
      </w:r>
      <w:proofErr w:type="spellStart"/>
      <w:r w:rsidR="00C85A90">
        <w:rPr>
          <w:rFonts w:asciiTheme="minorHAnsi" w:hAnsiTheme="minorHAnsi" w:cstheme="minorHAnsi"/>
        </w:rPr>
        <w:t>GoA</w:t>
      </w:r>
      <w:proofErr w:type="spellEnd"/>
      <w:r w:rsidR="00C85A90">
        <w:rPr>
          <w:rFonts w:asciiTheme="minorHAnsi" w:hAnsiTheme="minorHAnsi" w:cstheme="minorHAnsi"/>
        </w:rPr>
        <w:t>)</w:t>
      </w:r>
      <w:r w:rsidR="001C1A4B">
        <w:rPr>
          <w:rFonts w:asciiTheme="minorHAnsi" w:hAnsiTheme="minorHAnsi" w:cstheme="minorHAnsi"/>
        </w:rPr>
        <w:t xml:space="preserve">. Information for this note was </w:t>
      </w:r>
      <w:r w:rsidR="00EB379D">
        <w:rPr>
          <w:rFonts w:asciiTheme="minorHAnsi" w:hAnsiTheme="minorHAnsi" w:cstheme="minorHAnsi"/>
        </w:rPr>
        <w:t xml:space="preserve">initially </w:t>
      </w:r>
      <w:r w:rsidR="001C1A4B">
        <w:rPr>
          <w:rFonts w:asciiTheme="minorHAnsi" w:hAnsiTheme="minorHAnsi" w:cstheme="minorHAnsi"/>
        </w:rPr>
        <w:t>collected during a mission held in September 2018 and was subsequently validated with relevant agencies of the Government of Armenia.</w:t>
      </w:r>
      <w:r w:rsidR="001F7492">
        <w:rPr>
          <w:rFonts w:asciiTheme="minorHAnsi" w:hAnsiTheme="minorHAnsi" w:cstheme="minorHAnsi"/>
        </w:rPr>
        <w:t xml:space="preserve"> The assessment employs the Markets and Competition Policy Assessment Toolkit of the </w:t>
      </w:r>
      <w:r w:rsidR="00AD42AF">
        <w:t>Markets and Competition Policy Team</w:t>
      </w:r>
      <w:r w:rsidR="00AD42AF">
        <w:rPr>
          <w:rFonts w:asciiTheme="minorHAnsi" w:hAnsiTheme="minorHAnsi" w:cstheme="minorHAnsi"/>
        </w:rPr>
        <w:t xml:space="preserve"> of the WBG’s </w:t>
      </w:r>
      <w:r w:rsidR="00AD42AF" w:rsidRPr="00866C28">
        <w:rPr>
          <w:rFonts w:asciiTheme="minorHAnsi" w:hAnsiTheme="minorHAnsi" w:cstheme="minorHAnsi"/>
        </w:rPr>
        <w:t>Equitable Growth, Finance and Institutions</w:t>
      </w:r>
      <w:r w:rsidR="00AD42AF">
        <w:t xml:space="preserve"> Vice Presidency</w:t>
      </w:r>
      <w:r w:rsidR="001F7492">
        <w:rPr>
          <w:rFonts w:asciiTheme="minorHAnsi" w:hAnsiTheme="minorHAnsi" w:cstheme="minorHAnsi"/>
        </w:rPr>
        <w:t xml:space="preserve">. </w:t>
      </w:r>
      <w:r w:rsidR="00781343">
        <w:rPr>
          <w:rFonts w:asciiTheme="minorHAnsi" w:hAnsiTheme="minorHAnsi" w:cstheme="minorHAnsi"/>
        </w:rPr>
        <w:t xml:space="preserve">In addition, </w:t>
      </w:r>
      <w:r w:rsidR="001F7492">
        <w:rPr>
          <w:rFonts w:asciiTheme="minorHAnsi" w:hAnsiTheme="minorHAnsi" w:cstheme="minorHAnsi"/>
        </w:rPr>
        <w:t>selected sections of the OECD’s Product Market Regulation Indicators</w:t>
      </w:r>
      <w:r w:rsidR="00BF6CF7">
        <w:rPr>
          <w:rFonts w:asciiTheme="minorHAnsi" w:hAnsiTheme="minorHAnsi" w:cstheme="minorHAnsi"/>
        </w:rPr>
        <w:t xml:space="preserve"> questionnaire were employed to gain a sense of how Armenia compares to peer countries in the region</w:t>
      </w:r>
      <w:r w:rsidR="00F43D0F">
        <w:rPr>
          <w:rFonts w:asciiTheme="minorHAnsi" w:hAnsiTheme="minorHAnsi" w:cstheme="minorHAnsi"/>
        </w:rPr>
        <w:t xml:space="preserve"> on some specific regulatory issues which may restrict competition.</w:t>
      </w:r>
      <w:r w:rsidR="001F7492">
        <w:rPr>
          <w:rFonts w:asciiTheme="minorHAnsi" w:hAnsiTheme="minorHAnsi" w:cstheme="minorHAnsi"/>
        </w:rPr>
        <w:t xml:space="preserve"> </w:t>
      </w:r>
      <w:r w:rsidR="00F43D0F">
        <w:rPr>
          <w:rFonts w:asciiTheme="minorHAnsi" w:hAnsiTheme="minorHAnsi" w:cstheme="minorHAnsi"/>
        </w:rPr>
        <w:t>Finally, a</w:t>
      </w:r>
      <w:r w:rsidR="00EB379D">
        <w:rPr>
          <w:rFonts w:asciiTheme="minorHAnsi" w:hAnsiTheme="minorHAnsi" w:cstheme="minorHAnsi"/>
        </w:rPr>
        <w:t xml:space="preserve"> conference was hel</w:t>
      </w:r>
      <w:r w:rsidR="00E21161">
        <w:rPr>
          <w:rFonts w:asciiTheme="minorHAnsi" w:hAnsiTheme="minorHAnsi" w:cstheme="minorHAnsi"/>
        </w:rPr>
        <w:t>d</w:t>
      </w:r>
      <w:r w:rsidR="00EB379D">
        <w:rPr>
          <w:rFonts w:asciiTheme="minorHAnsi" w:hAnsiTheme="minorHAnsi" w:cstheme="minorHAnsi"/>
        </w:rPr>
        <w:t xml:space="preserve"> </w:t>
      </w:r>
      <w:r w:rsidR="00C85A90">
        <w:rPr>
          <w:rFonts w:asciiTheme="minorHAnsi" w:hAnsiTheme="minorHAnsi" w:cstheme="minorHAnsi"/>
        </w:rPr>
        <w:t xml:space="preserve">in June 2019 </w:t>
      </w:r>
      <w:r w:rsidR="00EB379D">
        <w:rPr>
          <w:rFonts w:asciiTheme="minorHAnsi" w:hAnsiTheme="minorHAnsi" w:cstheme="minorHAnsi"/>
        </w:rPr>
        <w:t xml:space="preserve">based on the findings emerging from this policy note and </w:t>
      </w:r>
      <w:r w:rsidR="00E531DC">
        <w:rPr>
          <w:rFonts w:asciiTheme="minorHAnsi" w:hAnsiTheme="minorHAnsi" w:cstheme="minorHAnsi"/>
        </w:rPr>
        <w:t xml:space="preserve">discussions with key policy makers during this conference have been used to develop a plan of action </w:t>
      </w:r>
      <w:r w:rsidR="00C85A90">
        <w:rPr>
          <w:rFonts w:asciiTheme="minorHAnsi" w:hAnsiTheme="minorHAnsi" w:cstheme="minorHAnsi"/>
        </w:rPr>
        <w:t xml:space="preserve">for </w:t>
      </w:r>
      <w:r w:rsidR="006C1FFB">
        <w:rPr>
          <w:rFonts w:asciiTheme="minorHAnsi" w:hAnsiTheme="minorHAnsi" w:cstheme="minorHAnsi"/>
        </w:rPr>
        <w:t>engagement</w:t>
      </w:r>
      <w:r w:rsidR="00C85A90">
        <w:rPr>
          <w:rFonts w:asciiTheme="minorHAnsi" w:hAnsiTheme="minorHAnsi" w:cstheme="minorHAnsi"/>
        </w:rPr>
        <w:t xml:space="preserve"> between the WBG and </w:t>
      </w:r>
      <w:proofErr w:type="spellStart"/>
      <w:r w:rsidR="00C85A90">
        <w:rPr>
          <w:rFonts w:asciiTheme="minorHAnsi" w:hAnsiTheme="minorHAnsi" w:cstheme="minorHAnsi"/>
        </w:rPr>
        <w:t>GoA</w:t>
      </w:r>
      <w:proofErr w:type="spellEnd"/>
      <w:r w:rsidR="00ED3E1B">
        <w:rPr>
          <w:rFonts w:asciiTheme="minorHAnsi" w:hAnsiTheme="minorHAnsi" w:cstheme="minorHAnsi"/>
        </w:rPr>
        <w:t xml:space="preserve"> in the short term</w:t>
      </w:r>
      <w:r w:rsidR="00C85A90">
        <w:rPr>
          <w:rFonts w:asciiTheme="minorHAnsi" w:hAnsiTheme="minorHAnsi" w:cstheme="minorHAnsi"/>
        </w:rPr>
        <w:t>.</w:t>
      </w:r>
      <w:r w:rsidR="00ED3E1B">
        <w:rPr>
          <w:rFonts w:asciiTheme="minorHAnsi" w:hAnsiTheme="minorHAnsi" w:cstheme="minorHAnsi"/>
        </w:rPr>
        <w:t xml:space="preserve"> A summary of this conference and the action plan are included </w:t>
      </w:r>
      <w:r w:rsidR="00B75334">
        <w:rPr>
          <w:rFonts w:asciiTheme="minorHAnsi" w:hAnsiTheme="minorHAnsi" w:cstheme="minorHAnsi"/>
        </w:rPr>
        <w:t>in a supplementary note delivered under this ASA.</w:t>
      </w:r>
    </w:p>
    <w:p w14:paraId="1F569D12" w14:textId="77777777" w:rsidR="00851A07" w:rsidRPr="00246D05" w:rsidRDefault="00851A07" w:rsidP="00246D05">
      <w:pPr>
        <w:jc w:val="both"/>
        <w:rPr>
          <w:b/>
          <w:highlight w:val="yellow"/>
        </w:rPr>
      </w:pPr>
    </w:p>
    <w:p w14:paraId="1E5CCCF8" w14:textId="0E1AB4F9" w:rsidR="002C6C2E" w:rsidRPr="005C7E91" w:rsidRDefault="002C6C2E" w:rsidP="005C7E91">
      <w:pPr>
        <w:pStyle w:val="ListParagraph"/>
        <w:numPr>
          <w:ilvl w:val="0"/>
          <w:numId w:val="34"/>
        </w:numPr>
        <w:ind w:left="0" w:firstLine="0"/>
        <w:jc w:val="both"/>
        <w:rPr>
          <w:b/>
        </w:rPr>
      </w:pPr>
      <w:r w:rsidRPr="005C7E91">
        <w:rPr>
          <w:b/>
        </w:rPr>
        <w:t>The</w:t>
      </w:r>
      <w:r w:rsidR="00C85A90">
        <w:rPr>
          <w:b/>
        </w:rPr>
        <w:t xml:space="preserve"> program of the</w:t>
      </w:r>
      <w:r w:rsidRPr="005C7E91">
        <w:rPr>
          <w:b/>
        </w:rPr>
        <w:t xml:space="preserve"> new</w:t>
      </w:r>
      <w:r w:rsidR="00C85A90">
        <w:rPr>
          <w:b/>
        </w:rPr>
        <w:t xml:space="preserve"> </w:t>
      </w:r>
      <w:proofErr w:type="spellStart"/>
      <w:r w:rsidR="00C85A90">
        <w:rPr>
          <w:b/>
        </w:rPr>
        <w:t>GoA</w:t>
      </w:r>
      <w:proofErr w:type="spellEnd"/>
      <w:r w:rsidRPr="004631D9">
        <w:rPr>
          <w:b/>
        </w:rPr>
        <w:t xml:space="preserve"> </w:t>
      </w:r>
      <w:r w:rsidR="00C85A90" w:rsidRPr="00246D05">
        <w:rPr>
          <w:rFonts w:cstheme="minorHAnsi"/>
          <w:b/>
          <w:bCs/>
        </w:rPr>
        <w:t>puts great emphasis on the need for opening markets and promoting competition on the merits within the private sector, recognizing that in the past market capture and the lack of market contestability have stood in the way of Armenia’s private sector development.</w:t>
      </w:r>
      <w:r w:rsidR="00B6141E" w:rsidRPr="005C7E91">
        <w:rPr>
          <w:b/>
        </w:rPr>
        <w:t xml:space="preserve"> </w:t>
      </w:r>
      <w:r w:rsidR="00B6141E">
        <w:t xml:space="preserve">The </w:t>
      </w:r>
      <w:proofErr w:type="spellStart"/>
      <w:r w:rsidR="00B6141E">
        <w:t>GoA</w:t>
      </w:r>
      <w:proofErr w:type="spellEnd"/>
      <w:r w:rsidRPr="00246D05">
        <w:t xml:space="preserve"> </w:t>
      </w:r>
      <w:r w:rsidRPr="00246D05">
        <w:rPr>
          <w:iCs/>
        </w:rPr>
        <w:t xml:space="preserve">understands the importance of improving </w:t>
      </w:r>
      <w:r w:rsidR="00343BA7" w:rsidRPr="00246D05">
        <w:rPr>
          <w:iCs/>
        </w:rPr>
        <w:t>competition</w:t>
      </w:r>
      <w:r w:rsidRPr="00246D05">
        <w:rPr>
          <w:iCs/>
        </w:rPr>
        <w:t xml:space="preserve"> policies </w:t>
      </w:r>
      <w:r w:rsidRPr="00246D05">
        <w:t xml:space="preserve">and has pledged to </w:t>
      </w:r>
      <w:r w:rsidR="00B6141E" w:rsidRPr="00246D05">
        <w:t>implement reforms to make markets more contestable</w:t>
      </w:r>
      <w:r w:rsidR="00B6141E" w:rsidRPr="00246D05">
        <w:rPr>
          <w:iCs/>
        </w:rPr>
        <w:t xml:space="preserve"> and </w:t>
      </w:r>
      <w:r w:rsidR="00B6141E" w:rsidRPr="00246D05">
        <w:t>level the playing field.</w:t>
      </w:r>
      <w:r w:rsidR="00B6141E">
        <w:rPr>
          <w:b/>
        </w:rPr>
        <w:t xml:space="preserve"> </w:t>
      </w:r>
      <w:r w:rsidRPr="009D2835">
        <w:t>Competition in</w:t>
      </w:r>
      <w:r>
        <w:t xml:space="preserve"> </w:t>
      </w:r>
      <w:proofErr w:type="gramStart"/>
      <w:r>
        <w:t>a number of</w:t>
      </w:r>
      <w:proofErr w:type="gramEnd"/>
      <w:r>
        <w:t xml:space="preserve"> sectors in</w:t>
      </w:r>
      <w:r w:rsidRPr="009D2835">
        <w:t xml:space="preserve"> Armenia </w:t>
      </w:r>
      <w:r>
        <w:t xml:space="preserve">had traditionally been </w:t>
      </w:r>
      <w:r w:rsidRPr="009D2835">
        <w:t>shaped</w:t>
      </w:r>
      <w:r>
        <w:t xml:space="preserve"> to a significant</w:t>
      </w:r>
      <w:r w:rsidRPr="009D2835">
        <w:t xml:space="preserve"> </w:t>
      </w:r>
      <w:r>
        <w:t xml:space="preserve">extent </w:t>
      </w:r>
      <w:r w:rsidRPr="009D2835">
        <w:t xml:space="preserve">by </w:t>
      </w:r>
      <w:r w:rsidRPr="005B0D5A">
        <w:rPr>
          <w:i/>
        </w:rPr>
        <w:t>de facto</w:t>
      </w:r>
      <w:r w:rsidRPr="009D2835">
        <w:t xml:space="preserve"> </w:t>
      </w:r>
      <w:r>
        <w:t>advantages provided to certain players, including informal advantages for some importers in customs administration, an ability of some firms to consistently under-report on activities, and discriminatory tax audits of some unconnected players</w:t>
      </w:r>
      <w:r w:rsidRPr="009D2835">
        <w:t>.</w:t>
      </w:r>
      <w:r>
        <w:t xml:space="preserve"> </w:t>
      </w:r>
      <w:r w:rsidRPr="005C7E91">
        <w:rPr>
          <w:iCs/>
        </w:rPr>
        <w:t xml:space="preserve">Prior reforms have focused primarily on anticorruption actions.  While these actions are important, going forward, creating competitive and efficient markets, would require further efforts to improve market rules and regulations to </w:t>
      </w:r>
      <w:proofErr w:type="gramStart"/>
      <w:r w:rsidRPr="005C7E91">
        <w:rPr>
          <w:iCs/>
        </w:rPr>
        <w:t>open up</w:t>
      </w:r>
      <w:proofErr w:type="gramEnd"/>
      <w:r w:rsidRPr="005C7E91">
        <w:rPr>
          <w:iCs/>
        </w:rPr>
        <w:t xml:space="preserve"> markets, create a level playing field and ensure effective enforcement of the </w:t>
      </w:r>
      <w:r w:rsidR="005E3F6C">
        <w:rPr>
          <w:iCs/>
        </w:rPr>
        <w:t xml:space="preserve">Law on the </w:t>
      </w:r>
      <w:r w:rsidRPr="005C7E91">
        <w:rPr>
          <w:iCs/>
        </w:rPr>
        <w:t>Protection of Economic Competition</w:t>
      </w:r>
      <w:r w:rsidR="005E3F6C">
        <w:rPr>
          <w:iCs/>
        </w:rPr>
        <w:t xml:space="preserve"> </w:t>
      </w:r>
      <w:r w:rsidR="00CE4F85">
        <w:rPr>
          <w:iCs/>
        </w:rPr>
        <w:t>(the Competition Law)</w:t>
      </w:r>
      <w:r w:rsidRPr="005C7E91">
        <w:rPr>
          <w:iCs/>
        </w:rPr>
        <w:t xml:space="preserve">. </w:t>
      </w:r>
    </w:p>
    <w:p w14:paraId="69300F72" w14:textId="77777777" w:rsidR="00D36650" w:rsidRDefault="00D36650" w:rsidP="00D819B9">
      <w:pPr>
        <w:jc w:val="both"/>
        <w:rPr>
          <w:b/>
        </w:rPr>
      </w:pPr>
    </w:p>
    <w:p w14:paraId="2E62EF4D" w14:textId="7645ED7C" w:rsidR="009A310E" w:rsidRDefault="009A310E" w:rsidP="00246D05">
      <w:pPr>
        <w:pStyle w:val="ListParagraph"/>
        <w:numPr>
          <w:ilvl w:val="0"/>
          <w:numId w:val="34"/>
        </w:numPr>
        <w:ind w:left="0" w:firstLine="0"/>
        <w:jc w:val="both"/>
        <w:rPr>
          <w:lang w:val="en"/>
        </w:rPr>
      </w:pPr>
      <w:r w:rsidRPr="00246D05">
        <w:rPr>
          <w:b/>
        </w:rPr>
        <w:t>Market competition</w:t>
      </w:r>
      <w:r w:rsidRPr="00F216D5">
        <w:rPr>
          <w:b/>
          <w:lang w:val="en"/>
        </w:rPr>
        <w:t xml:space="preserve"> drives productivity and ultimately growth.</w:t>
      </w:r>
      <w:r w:rsidRPr="00AD6554">
        <w:rPr>
          <w:lang w:val="en"/>
        </w:rPr>
        <w:t xml:space="preserve"> Productivity growth is a key to economic growth </w:t>
      </w:r>
      <w:r w:rsidRPr="00B23C08">
        <w:rPr>
          <w:lang w:val="en"/>
        </w:rPr>
        <w:t>and competition has been shown to enhance productivity through three channels.</w:t>
      </w:r>
      <w:r w:rsidRPr="004651DE">
        <w:rPr>
          <w:lang w:val="en"/>
        </w:rPr>
        <w:t xml:space="preserve"> First, in a well-functioning economy, competition leads to a reallocation of resources from low to high productive firms (Arnold et al., 2011), where less productive firms either shrink or exit the market. Second, competition induces existing firms to become more efficient to survive (Aghion and Howitt, 2006; Blundell et al., 1999; Conway et al., 2006; Nickel, 1996). Greater competition incentivizes firms to make more efficient use of resources and to dynamically improve efficiency by adapting production processes or upgrading quality to achieve higher markups</w:t>
      </w:r>
      <w:r>
        <w:rPr>
          <w:lang w:val="en"/>
        </w:rPr>
        <w:t>.</w:t>
      </w:r>
      <w:r>
        <w:rPr>
          <w:rStyle w:val="FootnoteReference"/>
          <w:lang w:val="en"/>
        </w:rPr>
        <w:footnoteReference w:id="2"/>
      </w:r>
      <w:r>
        <w:rPr>
          <w:lang w:val="en"/>
        </w:rPr>
        <w:t xml:space="preserve"> </w:t>
      </w:r>
      <w:r w:rsidRPr="004651DE">
        <w:rPr>
          <w:lang w:val="en"/>
        </w:rPr>
        <w:t xml:space="preserve">In addition to increasing incentives for process innovation, promoting competition encourages product innovation aimed at “escaping competition”. </w:t>
      </w:r>
      <w:r>
        <w:rPr>
          <w:lang w:val="en"/>
        </w:rPr>
        <w:t xml:space="preserve"> </w:t>
      </w:r>
      <w:r w:rsidRPr="008125AC">
        <w:rPr>
          <w:lang w:val="en"/>
        </w:rPr>
        <w:t xml:space="preserve">On the contrary, </w:t>
      </w:r>
      <w:r w:rsidRPr="004D1154">
        <w:t>i</w:t>
      </w:r>
      <w:r w:rsidRPr="008125AC">
        <w:t>n an environment where policies are not designed to encourage competition, firms often seek to leverage political dynamics and connections to gain market share through regulatory advantage, instead of seeking profits through innovation and efficiency.</w:t>
      </w:r>
      <w:r w:rsidRPr="008125AC">
        <w:rPr>
          <w:b/>
        </w:rPr>
        <w:t xml:space="preserve"> </w:t>
      </w:r>
      <w:r w:rsidRPr="004651DE">
        <w:rPr>
          <w:lang w:val="en"/>
        </w:rPr>
        <w:t xml:space="preserve">Third, </w:t>
      </w:r>
      <w:r w:rsidR="00A732BE" w:rsidRPr="008245E4">
        <w:t>competition in input (upstream) markets, such as transportation, energy, telecommunications</w:t>
      </w:r>
      <w:r w:rsidR="00A732BE">
        <w:t xml:space="preserve"> </w:t>
      </w:r>
      <w:proofErr w:type="gramStart"/>
      <w:r w:rsidR="00A732BE" w:rsidRPr="008245E4">
        <w:t>is</w:t>
      </w:r>
      <w:proofErr w:type="gramEnd"/>
      <w:r w:rsidR="00A732BE" w:rsidRPr="008245E4">
        <w:t xml:space="preserve"> a key driver of </w:t>
      </w:r>
      <w:r w:rsidR="00A732BE">
        <w:t>competitiveness and growth</w:t>
      </w:r>
      <w:r w:rsidR="00A732BE" w:rsidRPr="008245E4">
        <w:t xml:space="preserve"> in downstream sectors—the users of these inputs. </w:t>
      </w:r>
      <w:r>
        <w:rPr>
          <w:lang w:val="en"/>
        </w:rPr>
        <w:t>(</w:t>
      </w:r>
      <w:r w:rsidRPr="004651DE">
        <w:rPr>
          <w:lang w:val="en"/>
        </w:rPr>
        <w:t xml:space="preserve">Barone and </w:t>
      </w:r>
      <w:proofErr w:type="spellStart"/>
      <w:r w:rsidRPr="004651DE">
        <w:rPr>
          <w:lang w:val="en"/>
        </w:rPr>
        <w:t>Cingano</w:t>
      </w:r>
      <w:proofErr w:type="spellEnd"/>
      <w:r>
        <w:rPr>
          <w:lang w:val="en"/>
        </w:rPr>
        <w:t xml:space="preserve">, </w:t>
      </w:r>
      <w:r w:rsidRPr="004651DE">
        <w:rPr>
          <w:lang w:val="en"/>
        </w:rPr>
        <w:t>2011)</w:t>
      </w:r>
      <w:r>
        <w:rPr>
          <w:lang w:val="en"/>
        </w:rPr>
        <w:t>.</w:t>
      </w:r>
      <w:r>
        <w:rPr>
          <w:rStyle w:val="FootnoteReference"/>
          <w:lang w:val="en"/>
        </w:rPr>
        <w:footnoteReference w:id="3"/>
      </w:r>
      <w:r w:rsidR="00E93055">
        <w:rPr>
          <w:lang w:val="en"/>
        </w:rPr>
        <w:t xml:space="preserve"> </w:t>
      </w:r>
      <w:r w:rsidR="00E93055" w:rsidRPr="008245E4">
        <w:t>Sustainable growth through expansion of markets and productivity cascades into increased prosperity and opportunities, allowing consumers to access a wide variety of well-priced quality products increasing welfare and providing sustainable opportunities for job creation.</w:t>
      </w:r>
      <w:r w:rsidR="00E93055" w:rsidRPr="008245E4">
        <w:rPr>
          <w:rStyle w:val="FootnoteReference"/>
          <w:sz w:val="24"/>
          <w:szCs w:val="24"/>
        </w:rPr>
        <w:footnoteReference w:id="4"/>
      </w:r>
    </w:p>
    <w:p w14:paraId="08A15484" w14:textId="77777777" w:rsidR="005C7E91" w:rsidRPr="004440AE" w:rsidRDefault="005C7E91" w:rsidP="005C7E91">
      <w:pPr>
        <w:pStyle w:val="ListParagraph"/>
        <w:ind w:left="0"/>
        <w:jc w:val="both"/>
        <w:rPr>
          <w:bCs/>
          <w:iCs/>
          <w:sz w:val="20"/>
          <w:szCs w:val="20"/>
        </w:rPr>
      </w:pPr>
    </w:p>
    <w:p w14:paraId="3033F3BE" w14:textId="28CDCF18" w:rsidR="00D819B9" w:rsidRDefault="00D819B9" w:rsidP="005C7E91">
      <w:pPr>
        <w:pStyle w:val="ListParagraph"/>
        <w:numPr>
          <w:ilvl w:val="0"/>
          <w:numId w:val="34"/>
        </w:numPr>
        <w:ind w:left="0" w:firstLine="0"/>
        <w:jc w:val="both"/>
      </w:pPr>
      <w:r w:rsidRPr="008245E4">
        <w:rPr>
          <w:b/>
        </w:rPr>
        <w:t>Well-functioning and competitive markets are enabled through a comprehensive competition policy framework that includes a set of policies and laws ensuring that competition in the marketplace is not restricted in a way that reduces economic welfare</w:t>
      </w:r>
      <w:r w:rsidRPr="008245E4">
        <w:t>.</w:t>
      </w:r>
      <w:r w:rsidRPr="008245E4">
        <w:rPr>
          <w:vertAlign w:val="superscript"/>
        </w:rPr>
        <w:footnoteReference w:id="5"/>
      </w:r>
      <w:r w:rsidRPr="008245E4">
        <w:t xml:space="preserve"> </w:t>
      </w:r>
      <w:r w:rsidR="00187EEE" w:rsidRPr="00187EEE">
        <w:t>In general, a holistic competition policy framework encompasses three pillars that aim to address both anticompetitive firm behavior and anticompetitive</w:t>
      </w:r>
      <w:r w:rsidR="00187EEE" w:rsidRPr="00E801AA">
        <w:t xml:space="preserve"> government interventions that can contribute to a lack of competition.</w:t>
      </w:r>
      <w:r w:rsidR="00187EEE">
        <w:t xml:space="preserve"> These pillars comprise: (i) opening markets through pro-competition sectoral regulation; (ii) promoting a level playing field; and (iii) ensuring the effective enforcement of the competition law </w:t>
      </w:r>
      <w:r w:rsidR="00187EEE" w:rsidRPr="004631D9">
        <w:t>(see</w:t>
      </w:r>
      <w:r w:rsidR="00B728ED" w:rsidRPr="00E67EB7">
        <w:t xml:space="preserve"> </w:t>
      </w:r>
      <w:r w:rsidR="00B728ED" w:rsidRPr="00E67EB7">
        <w:fldChar w:fldCharType="begin"/>
      </w:r>
      <w:r w:rsidR="00B728ED" w:rsidRPr="00E67EB7">
        <w:instrText xml:space="preserve"> REF _Ref11834896 \h </w:instrText>
      </w:r>
      <w:r w:rsidR="00B728ED" w:rsidRPr="00246D05">
        <w:instrText xml:space="preserve"> \* MERGEFORMAT </w:instrText>
      </w:r>
      <w:r w:rsidR="00B728ED" w:rsidRPr="00E67EB7">
        <w:fldChar w:fldCharType="separate"/>
      </w:r>
      <w:r w:rsidR="00A31FAC" w:rsidRPr="00383CD1">
        <w:rPr>
          <w:rFonts w:cstheme="minorHAnsi"/>
        </w:rPr>
        <w:t>Figure 1</w:t>
      </w:r>
      <w:r w:rsidR="00B728ED" w:rsidRPr="00E67EB7">
        <w:fldChar w:fldCharType="end"/>
      </w:r>
      <w:r w:rsidR="00187EEE" w:rsidRPr="00E67EB7">
        <w:t>).</w:t>
      </w:r>
      <w:r w:rsidR="00187EEE">
        <w:t xml:space="preserve"> </w:t>
      </w:r>
    </w:p>
    <w:p w14:paraId="44B35AB7" w14:textId="77777777" w:rsidR="00B728ED" w:rsidRDefault="00B728ED" w:rsidP="00B728ED">
      <w:pPr>
        <w:pStyle w:val="Caption"/>
      </w:pPr>
    </w:p>
    <w:p w14:paraId="541A84CF" w14:textId="47431A55" w:rsidR="00187EEE" w:rsidRPr="00246D05" w:rsidRDefault="00B728ED" w:rsidP="00246D05">
      <w:pPr>
        <w:pStyle w:val="Caption"/>
        <w:rPr>
          <w:rFonts w:cstheme="minorHAnsi"/>
          <w:b/>
          <w:i w:val="0"/>
          <w:color w:val="auto"/>
          <w:sz w:val="22"/>
          <w:szCs w:val="22"/>
        </w:rPr>
      </w:pPr>
      <w:bookmarkStart w:id="4" w:name="_Ref11834896"/>
      <w:r w:rsidRPr="00D11FD9">
        <w:rPr>
          <w:rFonts w:cstheme="minorHAnsi"/>
          <w:b/>
          <w:i w:val="0"/>
          <w:color w:val="auto"/>
          <w:sz w:val="22"/>
          <w:szCs w:val="22"/>
        </w:rPr>
        <w:t xml:space="preserve">Figure </w:t>
      </w:r>
      <w:r>
        <w:rPr>
          <w:rFonts w:cstheme="minorHAnsi"/>
          <w:b/>
          <w:i w:val="0"/>
          <w:color w:val="auto"/>
          <w:sz w:val="22"/>
          <w:szCs w:val="22"/>
        </w:rPr>
        <w:fldChar w:fldCharType="begin"/>
      </w:r>
      <w:r>
        <w:rPr>
          <w:rFonts w:cstheme="minorHAnsi"/>
          <w:b/>
          <w:i w:val="0"/>
          <w:color w:val="auto"/>
          <w:sz w:val="22"/>
          <w:szCs w:val="22"/>
        </w:rPr>
        <w:instrText xml:space="preserve"> SEQ Figure \* ARABIC </w:instrText>
      </w:r>
      <w:r>
        <w:rPr>
          <w:rFonts w:cstheme="minorHAnsi"/>
          <w:b/>
          <w:i w:val="0"/>
          <w:color w:val="auto"/>
          <w:sz w:val="22"/>
          <w:szCs w:val="22"/>
        </w:rPr>
        <w:fldChar w:fldCharType="separate"/>
      </w:r>
      <w:r w:rsidR="00A31FAC">
        <w:rPr>
          <w:rFonts w:cstheme="minorHAnsi"/>
          <w:b/>
          <w:i w:val="0"/>
          <w:noProof/>
          <w:color w:val="auto"/>
          <w:sz w:val="22"/>
          <w:szCs w:val="22"/>
        </w:rPr>
        <w:t>1</w:t>
      </w:r>
      <w:r>
        <w:rPr>
          <w:rFonts w:cstheme="minorHAnsi"/>
          <w:b/>
          <w:i w:val="0"/>
          <w:color w:val="auto"/>
          <w:sz w:val="22"/>
          <w:szCs w:val="22"/>
        </w:rPr>
        <w:fldChar w:fldCharType="end"/>
      </w:r>
      <w:bookmarkEnd w:id="4"/>
      <w:r w:rsidR="00187EEE" w:rsidRPr="00246D05">
        <w:rPr>
          <w:rFonts w:cstheme="minorHAnsi"/>
          <w:b/>
          <w:i w:val="0"/>
          <w:color w:val="auto"/>
          <w:sz w:val="22"/>
          <w:szCs w:val="22"/>
        </w:rPr>
        <w:t xml:space="preserve">. Three pillars of a comprehensive competition policy </w:t>
      </w:r>
    </w:p>
    <w:p w14:paraId="1865C94D" w14:textId="16B3CE69" w:rsidR="00187EEE" w:rsidRDefault="00187EEE" w:rsidP="00187EEE">
      <w:pPr>
        <w:spacing w:before="200" w:after="200"/>
        <w:jc w:val="both"/>
      </w:pPr>
      <w:r w:rsidRPr="00791FD8">
        <w:rPr>
          <w:noProof/>
        </w:rPr>
        <w:drawing>
          <wp:inline distT="0" distB="0" distL="0" distR="0" wp14:anchorId="3E951BAC" wp14:editId="79537324">
            <wp:extent cx="5943600" cy="3639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39473"/>
                    </a:xfrm>
                    <a:prstGeom prst="rect">
                      <a:avLst/>
                    </a:prstGeom>
                    <a:noFill/>
                    <a:ln>
                      <a:noFill/>
                    </a:ln>
                  </pic:spPr>
                </pic:pic>
              </a:graphicData>
            </a:graphic>
          </wp:inline>
        </w:drawing>
      </w:r>
    </w:p>
    <w:p w14:paraId="0B026000" w14:textId="008838D5" w:rsidR="00FB0B0F" w:rsidRPr="00EA4A5D" w:rsidRDefault="00FB0B0F" w:rsidP="00187EEE">
      <w:pPr>
        <w:spacing w:before="200" w:after="200"/>
        <w:jc w:val="both"/>
        <w:rPr>
          <w:sz w:val="18"/>
        </w:rPr>
      </w:pPr>
      <w:r w:rsidRPr="00EA4A5D">
        <w:rPr>
          <w:sz w:val="18"/>
        </w:rPr>
        <w:t>Source:</w:t>
      </w:r>
      <w:r>
        <w:rPr>
          <w:sz w:val="18"/>
        </w:rPr>
        <w:t xml:space="preserve"> World Bank Group Markets and </w:t>
      </w:r>
      <w:r w:rsidR="00DA7CF1">
        <w:rPr>
          <w:sz w:val="18"/>
        </w:rPr>
        <w:t>Competition</w:t>
      </w:r>
      <w:r>
        <w:rPr>
          <w:sz w:val="18"/>
        </w:rPr>
        <w:t xml:space="preserve"> Policy Team</w:t>
      </w:r>
    </w:p>
    <w:p w14:paraId="5149DBF0" w14:textId="77777777" w:rsidR="00D819B9" w:rsidRDefault="00D819B9" w:rsidP="00343BA7">
      <w:pPr>
        <w:pStyle w:val="Heading2"/>
        <w:numPr>
          <w:ilvl w:val="0"/>
          <w:numId w:val="1"/>
        </w:numPr>
      </w:pPr>
      <w:bookmarkStart w:id="5" w:name="_Toc11855831"/>
      <w:r>
        <w:t xml:space="preserve">Perceptions on competition in </w:t>
      </w:r>
      <w:r w:rsidR="00343BA7">
        <w:t>Armenian</w:t>
      </w:r>
      <w:r>
        <w:t xml:space="preserve"> markets</w:t>
      </w:r>
      <w:bookmarkEnd w:id="5"/>
      <w:r>
        <w:tab/>
      </w:r>
    </w:p>
    <w:p w14:paraId="19877070" w14:textId="77777777" w:rsidR="00D819B9" w:rsidRDefault="00D819B9" w:rsidP="00D819B9">
      <w:pPr>
        <w:jc w:val="both"/>
        <w:rPr>
          <w:b/>
        </w:rPr>
      </w:pPr>
    </w:p>
    <w:p w14:paraId="4CF62746" w14:textId="46CA0B97" w:rsidR="000A54BB" w:rsidRPr="000A54BB" w:rsidRDefault="000A54BB" w:rsidP="00246D05">
      <w:pPr>
        <w:pStyle w:val="ListParagraph"/>
        <w:numPr>
          <w:ilvl w:val="0"/>
          <w:numId w:val="34"/>
        </w:numPr>
        <w:ind w:left="0" w:firstLine="0"/>
        <w:jc w:val="both"/>
        <w:rPr>
          <w:rFonts w:ascii="Times New Roman" w:hAnsi="Times New Roman" w:cs="Times New Roman"/>
          <w:sz w:val="24"/>
          <w:szCs w:val="24"/>
        </w:rPr>
      </w:pPr>
      <w:r w:rsidRPr="004631D9">
        <w:rPr>
          <w:b/>
        </w:rPr>
        <w:t xml:space="preserve">In the last few years, there have been advances in </w:t>
      </w:r>
      <w:r w:rsidRPr="00E67EB7">
        <w:rPr>
          <w:rFonts w:cstheme="minorHAnsi"/>
          <w:b/>
        </w:rPr>
        <w:t>reforms to improve conditions for private sector entry, expansion and competition - albeit at a relatively slow pace.</w:t>
      </w:r>
      <w:r w:rsidRPr="00E67EB7">
        <w:rPr>
          <w:rFonts w:cstheme="minorHAnsi"/>
        </w:rPr>
        <w:t xml:space="preserve"> </w:t>
      </w:r>
      <w:r>
        <w:t xml:space="preserve">Various improvements in tax and customs administration have been implemented, in part with the support of the WBG, </w:t>
      </w:r>
      <w:proofErr w:type="gramStart"/>
      <w:r>
        <w:t>in an attempt to</w:t>
      </w:r>
      <w:proofErr w:type="gramEnd"/>
      <w:r>
        <w:t xml:space="preserve"> tackle corruption which can create an unlevel playing field between firms (e.g. through the new Tax Code published in late 2016).</w:t>
      </w:r>
      <w:r w:rsidRPr="004631D9">
        <w:rPr>
          <w:rFonts w:cstheme="minorHAnsi"/>
        </w:rPr>
        <w:t xml:space="preserve"> </w:t>
      </w:r>
      <w:r w:rsidRPr="00E67EB7">
        <w:rPr>
          <w:rFonts w:cstheme="minorHAnsi"/>
          <w:color w:val="000000"/>
        </w:rPr>
        <w:t xml:space="preserve">The WBG has also supported investment climate reforms aimed at removing regulatory obstacles for the private sector in Armenia, including </w:t>
      </w:r>
      <w:r w:rsidRPr="00E67EB7">
        <w:rPr>
          <w:rFonts w:cs="Times New Roman"/>
          <w:color w:val="000000"/>
        </w:rPr>
        <w:t xml:space="preserve">a comprehensive review of the regulatory stock (regulatory guillotine), business inspection reforms, developing one-stop centers for regulatory </w:t>
      </w:r>
      <w:r>
        <w:t>procedures</w:t>
      </w:r>
      <w:r w:rsidRPr="004631D9">
        <w:rPr>
          <w:rFonts w:cs="Times New Roman"/>
          <w:color w:val="000000"/>
        </w:rPr>
        <w:t>, as wel</w:t>
      </w:r>
      <w:r w:rsidRPr="00E67EB7">
        <w:rPr>
          <w:rFonts w:cs="Times New Roman"/>
          <w:color w:val="000000"/>
        </w:rPr>
        <w:t>l as assessments of the impact of new regulations.</w:t>
      </w:r>
      <w:r>
        <w:rPr>
          <w:rStyle w:val="FootnoteReference"/>
          <w:rFonts w:cs="Times New Roman"/>
          <w:color w:val="000000"/>
        </w:rPr>
        <w:footnoteReference w:id="6"/>
      </w:r>
      <w:r w:rsidRPr="004631D9">
        <w:rPr>
          <w:rFonts w:cstheme="minorHAnsi"/>
          <w:color w:val="000000"/>
        </w:rPr>
        <w:t xml:space="preserve"> In addition, competition issues have been incorporated into the Regulatory Impact Assessment process (in place since 2015). The law on centralized procurement was strengthened (in 2015 and 2017) t</w:t>
      </w:r>
      <w:r w:rsidRPr="00E67EB7">
        <w:rPr>
          <w:rFonts w:cstheme="minorHAnsi"/>
          <w:color w:val="000000"/>
        </w:rPr>
        <w:t xml:space="preserve">o ensure a more competitive and </w:t>
      </w:r>
      <w:r w:rsidRPr="00E67EB7">
        <w:rPr>
          <w:rFonts w:cstheme="minorHAnsi"/>
          <w:color w:val="000000" w:themeColor="text1"/>
        </w:rPr>
        <w:t>transparent</w:t>
      </w:r>
      <w:r w:rsidRPr="00E67EB7">
        <w:rPr>
          <w:rFonts w:cstheme="minorHAnsi"/>
          <w:color w:val="000000"/>
        </w:rPr>
        <w:t xml:space="preserve"> procurement process. </w:t>
      </w:r>
      <w:r w:rsidRPr="00E67EB7">
        <w:rPr>
          <w:rFonts w:eastAsia="Times New Roman" w:cs="Times New Roman"/>
          <w:color w:val="000000"/>
        </w:rPr>
        <w:t xml:space="preserve">Some progress has been made in </w:t>
      </w:r>
      <w:proofErr w:type="gramStart"/>
      <w:r w:rsidRPr="00E67EB7">
        <w:rPr>
          <w:rFonts w:eastAsia="Times New Roman" w:cs="Times New Roman"/>
          <w:color w:val="000000"/>
        </w:rPr>
        <w:t>opening up</w:t>
      </w:r>
      <w:proofErr w:type="gramEnd"/>
      <w:r w:rsidRPr="00E67EB7">
        <w:rPr>
          <w:rFonts w:eastAsia="Times New Roman" w:cs="Times New Roman"/>
          <w:color w:val="000000"/>
        </w:rPr>
        <w:t xml:space="preserve"> the telecommunications and civil aviation to greater entry competition. And </w:t>
      </w:r>
      <w:r w:rsidRPr="00E67EB7">
        <w:rPr>
          <w:rFonts w:cstheme="minorHAnsi"/>
          <w:color w:val="000000"/>
        </w:rPr>
        <w:t xml:space="preserve">amendments to the competition law </w:t>
      </w:r>
      <w:r w:rsidRPr="00E67EB7">
        <w:rPr>
          <w:rFonts w:cstheme="minorHAnsi"/>
          <w:noProof/>
          <w:color w:val="000000"/>
        </w:rPr>
        <w:t>were approved in 2018 after several years</w:t>
      </w:r>
      <w:r w:rsidRPr="00E67EB7">
        <w:rPr>
          <w:rFonts w:cstheme="minorHAnsi"/>
          <w:color w:val="000000"/>
        </w:rPr>
        <w:t xml:space="preserve">. </w:t>
      </w:r>
    </w:p>
    <w:p w14:paraId="263AA5E0" w14:textId="77777777" w:rsidR="00E52AB5" w:rsidRPr="00246D05" w:rsidRDefault="00E52AB5" w:rsidP="00246D05">
      <w:pPr>
        <w:pStyle w:val="ListParagraph"/>
        <w:ind w:left="0"/>
        <w:jc w:val="both"/>
      </w:pPr>
    </w:p>
    <w:p w14:paraId="7179B36C" w14:textId="4CDCB758" w:rsidR="0084610E" w:rsidRDefault="00CB665B" w:rsidP="00246D05">
      <w:pPr>
        <w:pStyle w:val="ListParagraph"/>
        <w:numPr>
          <w:ilvl w:val="0"/>
          <w:numId w:val="34"/>
        </w:numPr>
        <w:ind w:left="0" w:firstLine="0"/>
        <w:jc w:val="both"/>
      </w:pPr>
      <w:bookmarkStart w:id="6" w:name="_Hlk514751482"/>
      <w:r w:rsidRPr="004631D9">
        <w:rPr>
          <w:b/>
        </w:rPr>
        <w:t>Nevertheless, it appears that investors still consider there to be significant risks relating to the competition</w:t>
      </w:r>
      <w:r w:rsidR="00915108">
        <w:rPr>
          <w:b/>
        </w:rPr>
        <w:t xml:space="preserve"> </w:t>
      </w:r>
      <w:r w:rsidRPr="004631D9">
        <w:rPr>
          <w:b/>
        </w:rPr>
        <w:t>environment</w:t>
      </w:r>
      <w:r w:rsidR="00915108">
        <w:rPr>
          <w:b/>
        </w:rPr>
        <w:t xml:space="preserve"> which may partially explain Armenia’s declining FDI</w:t>
      </w:r>
      <w:r w:rsidR="002E1578">
        <w:rPr>
          <w:b/>
        </w:rPr>
        <w:t xml:space="preserve"> inflows</w:t>
      </w:r>
      <w:r w:rsidRPr="004631D9">
        <w:rPr>
          <w:b/>
        </w:rPr>
        <w:t>.</w:t>
      </w:r>
      <w:r>
        <w:t xml:space="preserve"> </w:t>
      </w:r>
      <w:bookmarkEnd w:id="6"/>
      <w:r w:rsidRPr="004631D9">
        <w:rPr>
          <w:rFonts w:cstheme="minorHAnsi"/>
        </w:rPr>
        <w:t>Economist Intelligence Unit (EIU) indicators capture market player</w:t>
      </w:r>
      <w:r w:rsidRPr="00E67EB7">
        <w:rPr>
          <w:rFonts w:cstheme="minorHAnsi"/>
        </w:rPr>
        <w:t>s’ perceptions of risks posed by government rules and practices that increase business risks and affect competition based on merit.</w:t>
      </w:r>
      <w:r w:rsidRPr="00E67EB7">
        <w:rPr>
          <w:rFonts w:cstheme="minorHAnsi"/>
          <w:b/>
        </w:rPr>
        <w:t xml:space="preserve"> </w:t>
      </w:r>
      <w:r w:rsidRPr="00E67EB7">
        <w:rPr>
          <w:rFonts w:cstheme="minorHAnsi"/>
        </w:rPr>
        <w:t xml:space="preserve"> </w:t>
      </w:r>
      <w:r>
        <w:t xml:space="preserve">Investors in Armenia face one of the highest risks in conducting business among other European and Central Asian (ECA). Indeed, </w:t>
      </w:r>
      <w:bookmarkStart w:id="7" w:name="_Hlk514751508"/>
      <w:r>
        <w:t xml:space="preserve">according to the EIU’s Risk Tracker, business risks related to weak competition policies are the second-highest in the region, just after Ukraine </w:t>
      </w:r>
      <w:r w:rsidRPr="004631D9">
        <w:t>(</w:t>
      </w:r>
      <w:r w:rsidR="00B728ED" w:rsidRPr="00E67EB7">
        <w:fldChar w:fldCharType="begin"/>
      </w:r>
      <w:r w:rsidR="00B728ED" w:rsidRPr="00E67EB7">
        <w:instrText xml:space="preserve"> REF _Ref11834930 \h </w:instrText>
      </w:r>
      <w:r w:rsidR="00B728ED" w:rsidRPr="00246D05">
        <w:instrText xml:space="preserve"> \* MERGEFORMAT </w:instrText>
      </w:r>
      <w:r w:rsidR="00B728ED" w:rsidRPr="00E67EB7">
        <w:fldChar w:fldCharType="separate"/>
      </w:r>
      <w:r w:rsidR="00A31FAC" w:rsidRPr="00383CD1">
        <w:rPr>
          <w:rFonts w:cstheme="minorHAnsi"/>
        </w:rPr>
        <w:t xml:space="preserve">Figure </w:t>
      </w:r>
      <w:r w:rsidR="00A31FAC" w:rsidRPr="00383CD1">
        <w:rPr>
          <w:rFonts w:cstheme="minorHAnsi"/>
          <w:noProof/>
        </w:rPr>
        <w:t>2</w:t>
      </w:r>
      <w:r w:rsidR="00B728ED" w:rsidRPr="00E67EB7">
        <w:fldChar w:fldCharType="end"/>
      </w:r>
      <w:r w:rsidRPr="004631D9">
        <w:t>).</w:t>
      </w:r>
      <w:r>
        <w:t xml:space="preserve"> These perceived risks are mainly related to vested interests and cronyism, and unfair competitive practices that hinder the creation of a level playing field for firms in the market</w:t>
      </w:r>
      <w:bookmarkEnd w:id="7"/>
      <w:r>
        <w:t>.</w:t>
      </w:r>
      <w:r>
        <w:rPr>
          <w:rStyle w:val="FootnoteReference"/>
        </w:rPr>
        <w:footnoteReference w:id="7"/>
      </w:r>
      <w:r>
        <w:t xml:space="preserve"> These indicators are mirrored by the analysis of the Bertelsmann Stiftung’s Transformation Index (BTI), which is derived based on experts’ assessments. According to 2016 BTI data, </w:t>
      </w:r>
      <w:r w:rsidR="004F4313" w:rsidRPr="004F4313">
        <w:t xml:space="preserve">Armenia scored 5 out of 10 on the extent to which the fundamentals of market-based competition are in place; and 6 out of 10 on the extent to which rules prevent the development of economic monopolies and cartels, below the regional average of 6.5 and 7.1 respectively.  These risks (along with external conditions) may partially explain </w:t>
      </w:r>
      <w:r w:rsidR="00502E7B">
        <w:t xml:space="preserve">the declines in FDI to Armenia seen </w:t>
      </w:r>
      <w:r w:rsidR="004F4313" w:rsidRPr="004F4313">
        <w:t>since investment flows peaked in 2009</w:t>
      </w:r>
      <w:r w:rsidR="00C16D06">
        <w:t>, leaving Armenia’s FDI</w:t>
      </w:r>
      <w:r w:rsidR="00C16D06">
        <w:rPr>
          <w:i/>
        </w:rPr>
        <w:t xml:space="preserve"> </w:t>
      </w:r>
      <w:r w:rsidR="00C16D06">
        <w:t>flows (as a share of GDP) currently amongst the lowest in its comparator group</w:t>
      </w:r>
      <w:r w:rsidR="004F431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4610E" w:rsidRPr="00343BA7" w14:paraId="4774C34C" w14:textId="77777777" w:rsidTr="000F4553">
        <w:trPr>
          <w:jc w:val="center"/>
        </w:trPr>
        <w:tc>
          <w:tcPr>
            <w:tcW w:w="9360" w:type="dxa"/>
          </w:tcPr>
          <w:p w14:paraId="64E53024" w14:textId="5226ABB9" w:rsidR="0084610E" w:rsidRPr="00246D05" w:rsidRDefault="00343BA7" w:rsidP="000F4553">
            <w:pPr>
              <w:pStyle w:val="Caption"/>
              <w:keepNext/>
              <w:rPr>
                <w:rFonts w:cstheme="minorHAnsi"/>
                <w:b/>
                <w:bCs/>
                <w:i w:val="0"/>
                <w:color w:val="auto"/>
                <w:sz w:val="22"/>
                <w:szCs w:val="22"/>
              </w:rPr>
            </w:pPr>
            <w:bookmarkStart w:id="8" w:name="_Ref11834930"/>
            <w:bookmarkStart w:id="9" w:name="_Toc191535"/>
            <w:r w:rsidRPr="00246D05">
              <w:rPr>
                <w:rFonts w:cstheme="minorHAnsi"/>
                <w:b/>
                <w:i w:val="0"/>
                <w:color w:val="auto"/>
                <w:sz w:val="22"/>
                <w:szCs w:val="22"/>
              </w:rPr>
              <w:t xml:space="preserve">Figure </w:t>
            </w:r>
            <w:r w:rsidR="00B728ED">
              <w:rPr>
                <w:rFonts w:cstheme="minorHAnsi"/>
                <w:b/>
                <w:i w:val="0"/>
                <w:color w:val="auto"/>
                <w:sz w:val="22"/>
                <w:szCs w:val="22"/>
              </w:rPr>
              <w:fldChar w:fldCharType="begin"/>
            </w:r>
            <w:r w:rsidR="00B728ED">
              <w:rPr>
                <w:rFonts w:cstheme="minorHAnsi"/>
                <w:b/>
                <w:i w:val="0"/>
                <w:color w:val="auto"/>
                <w:sz w:val="22"/>
                <w:szCs w:val="22"/>
              </w:rPr>
              <w:instrText xml:space="preserve"> SEQ Figure \* ARABIC </w:instrText>
            </w:r>
            <w:r w:rsidR="00B728ED">
              <w:rPr>
                <w:rFonts w:cstheme="minorHAnsi"/>
                <w:b/>
                <w:i w:val="0"/>
                <w:color w:val="auto"/>
                <w:sz w:val="22"/>
                <w:szCs w:val="22"/>
              </w:rPr>
              <w:fldChar w:fldCharType="separate"/>
            </w:r>
            <w:r w:rsidR="00A31FAC">
              <w:rPr>
                <w:rFonts w:cstheme="minorHAnsi"/>
                <w:b/>
                <w:i w:val="0"/>
                <w:noProof/>
                <w:color w:val="auto"/>
                <w:sz w:val="22"/>
                <w:szCs w:val="22"/>
              </w:rPr>
              <w:t>2</w:t>
            </w:r>
            <w:r w:rsidR="00B728ED">
              <w:rPr>
                <w:rFonts w:cstheme="minorHAnsi"/>
                <w:b/>
                <w:i w:val="0"/>
                <w:color w:val="auto"/>
                <w:sz w:val="22"/>
                <w:szCs w:val="22"/>
              </w:rPr>
              <w:fldChar w:fldCharType="end"/>
            </w:r>
            <w:bookmarkEnd w:id="8"/>
            <w:r w:rsidRPr="00246D05">
              <w:rPr>
                <w:rFonts w:cstheme="minorHAnsi"/>
                <w:b/>
                <w:i w:val="0"/>
                <w:color w:val="auto"/>
                <w:sz w:val="22"/>
                <w:szCs w:val="22"/>
              </w:rPr>
              <w:t xml:space="preserve">. </w:t>
            </w:r>
            <w:r w:rsidR="00621285" w:rsidRPr="00246D05">
              <w:rPr>
                <w:b/>
                <w:i w:val="0"/>
                <w:color w:val="auto"/>
                <w:sz w:val="22"/>
                <w:szCs w:val="22"/>
              </w:rPr>
              <w:t>Business risks related to weak competition policies remain high compared to peers</w:t>
            </w:r>
            <w:bookmarkEnd w:id="9"/>
          </w:p>
        </w:tc>
      </w:tr>
      <w:tr w:rsidR="00116769" w:rsidRPr="00D138D7" w14:paraId="14E27558" w14:textId="77777777" w:rsidTr="000F4553">
        <w:trPr>
          <w:jc w:val="center"/>
        </w:trPr>
        <w:tc>
          <w:tcPr>
            <w:tcW w:w="9360" w:type="dxa"/>
            <w:tcBorders>
              <w:bottom w:val="single" w:sz="12" w:space="0" w:color="8EAADB" w:themeColor="accent1" w:themeTint="99"/>
            </w:tcBorders>
          </w:tcPr>
          <w:p w14:paraId="58BAE4A5" w14:textId="65544FA1" w:rsidR="00116769" w:rsidRPr="00D138D7" w:rsidRDefault="00116769" w:rsidP="00246D05">
            <w:pPr>
              <w:pStyle w:val="Caption"/>
              <w:keepNext/>
              <w:rPr>
                <w:rFonts w:cstheme="minorHAnsi"/>
                <w:b/>
              </w:rPr>
            </w:pPr>
            <w:r w:rsidRPr="00C55F7B">
              <w:rPr>
                <w:rFonts w:cstheme="minorHAnsi"/>
              </w:rPr>
              <w:t>(</w:t>
            </w:r>
            <w:r w:rsidR="004816BF">
              <w:rPr>
                <w:rFonts w:cstheme="minorHAnsi"/>
              </w:rPr>
              <w:t>R</w:t>
            </w:r>
            <w:r>
              <w:rPr>
                <w:rFonts w:cstheme="minorHAnsi"/>
              </w:rPr>
              <w:t>isks from various components, higher score implies greater perceived risk)</w:t>
            </w:r>
          </w:p>
        </w:tc>
      </w:tr>
      <w:tr w:rsidR="0084610E" w:rsidRPr="00DD5944" w14:paraId="30378F1E" w14:textId="77777777" w:rsidTr="000F4553">
        <w:trPr>
          <w:jc w:val="center"/>
        </w:trPr>
        <w:tc>
          <w:tcPr>
            <w:tcW w:w="9360" w:type="dxa"/>
            <w:tcBorders>
              <w:top w:val="single" w:sz="12" w:space="0" w:color="8EAADB" w:themeColor="accent1" w:themeTint="99"/>
              <w:bottom w:val="single" w:sz="12" w:space="0" w:color="8EAADB" w:themeColor="accent1" w:themeTint="99"/>
            </w:tcBorders>
          </w:tcPr>
          <w:p w14:paraId="4EBC7DEB" w14:textId="5C75FB3D" w:rsidR="0084610E" w:rsidRPr="00DD5944" w:rsidRDefault="007073D1" w:rsidP="00427688">
            <w:pPr>
              <w:keepNext/>
              <w:spacing w:after="20"/>
              <w:jc w:val="center"/>
              <w:rPr>
                <w:rFonts w:asciiTheme="minorHAnsi" w:hAnsiTheme="minorHAnsi" w:cstheme="minorHAnsi"/>
                <w:bCs/>
              </w:rPr>
            </w:pPr>
            <w:r>
              <w:rPr>
                <w:noProof/>
              </w:rPr>
              <mc:AlternateContent>
                <mc:Choice Requires="wps">
                  <w:drawing>
                    <wp:anchor distT="0" distB="0" distL="114300" distR="114300" simplePos="0" relativeHeight="251658752" behindDoc="0" locked="0" layoutInCell="1" allowOverlap="1" wp14:anchorId="205BBF42" wp14:editId="72BB48A3">
                      <wp:simplePos x="0" y="0"/>
                      <wp:positionH relativeFrom="column">
                        <wp:posOffset>2063750</wp:posOffset>
                      </wp:positionH>
                      <wp:positionV relativeFrom="paragraph">
                        <wp:posOffset>676910</wp:posOffset>
                      </wp:positionV>
                      <wp:extent cx="133350" cy="762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76200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90928" id="Rectangle 6" o:spid="_x0000_s1026" style="position:absolute;margin-left:162.5pt;margin-top:53.3pt;width:10.5pt;height:60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" filled="f" strokecolor="#ed7d31 [3205]" strokeweight="1pt"/>
                  </w:pict>
                </mc:Fallback>
              </mc:AlternateContent>
            </w:r>
            <w:r w:rsidR="00AC2612" w:rsidRPr="00AC2612">
              <w:rPr>
                <w:rFonts w:asciiTheme="minorHAnsi" w:hAnsiTheme="minorHAnsi" w:cstheme="minorHAnsi"/>
                <w:bCs/>
                <w:noProof/>
              </w:rPr>
              <w:drawing>
                <wp:inline distT="0" distB="0" distL="0" distR="0" wp14:anchorId="41C27681" wp14:editId="06A126D5">
                  <wp:extent cx="4464050" cy="252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0" cy="2527300"/>
                          </a:xfrm>
                          <a:prstGeom prst="rect">
                            <a:avLst/>
                          </a:prstGeom>
                          <a:noFill/>
                          <a:ln>
                            <a:noFill/>
                          </a:ln>
                        </pic:spPr>
                      </pic:pic>
                    </a:graphicData>
                  </a:graphic>
                </wp:inline>
              </w:drawing>
            </w:r>
          </w:p>
        </w:tc>
      </w:tr>
      <w:tr w:rsidR="0084610E" w:rsidRPr="002170A7" w14:paraId="11A4C6C5" w14:textId="77777777" w:rsidTr="000F4553">
        <w:trPr>
          <w:jc w:val="center"/>
        </w:trPr>
        <w:tc>
          <w:tcPr>
            <w:tcW w:w="9360" w:type="dxa"/>
            <w:tcBorders>
              <w:top w:val="single" w:sz="12" w:space="0" w:color="8EAADB" w:themeColor="accent1" w:themeTint="99"/>
            </w:tcBorders>
          </w:tcPr>
          <w:p w14:paraId="5E7A3735" w14:textId="1A46FBBD" w:rsidR="0084610E" w:rsidRPr="002170A7" w:rsidRDefault="0084610E" w:rsidP="00246D05">
            <w:pPr>
              <w:keepNext/>
              <w:spacing w:after="40"/>
              <w:jc w:val="both"/>
              <w:rPr>
                <w:rFonts w:asciiTheme="minorHAnsi" w:hAnsiTheme="minorHAnsi" w:cstheme="minorHAnsi"/>
                <w:bCs/>
                <w:sz w:val="18"/>
                <w:szCs w:val="18"/>
              </w:rPr>
            </w:pPr>
            <w:r w:rsidRPr="002170A7">
              <w:rPr>
                <w:rFonts w:asciiTheme="minorHAnsi" w:hAnsiTheme="minorHAnsi" w:cstheme="minorHAnsi"/>
                <w:bCs/>
                <w:i/>
                <w:sz w:val="18"/>
                <w:szCs w:val="18"/>
              </w:rPr>
              <w:t xml:space="preserve">Source: </w:t>
            </w:r>
            <w:r>
              <w:rPr>
                <w:rFonts w:asciiTheme="minorHAnsi" w:hAnsiTheme="minorHAnsi" w:cstheme="minorHAnsi"/>
                <w:bCs/>
                <w:sz w:val="18"/>
                <w:szCs w:val="18"/>
              </w:rPr>
              <w:t>The Economist Intelligence Unit</w:t>
            </w:r>
            <w:r w:rsidR="006573BA">
              <w:rPr>
                <w:rFonts w:asciiTheme="minorHAnsi" w:hAnsiTheme="minorHAnsi" w:cstheme="minorHAnsi"/>
                <w:bCs/>
                <w:sz w:val="18"/>
                <w:szCs w:val="18"/>
              </w:rPr>
              <w:t>, 2017</w:t>
            </w:r>
            <w:r w:rsidRPr="002170A7">
              <w:rPr>
                <w:rFonts w:asciiTheme="minorHAnsi" w:hAnsiTheme="minorHAnsi" w:cstheme="minorHAnsi"/>
                <w:bCs/>
                <w:sz w:val="18"/>
                <w:szCs w:val="18"/>
              </w:rPr>
              <w:t>.</w:t>
            </w:r>
          </w:p>
        </w:tc>
      </w:tr>
    </w:tbl>
    <w:p w14:paraId="796A3739" w14:textId="77777777" w:rsidR="0084610E" w:rsidRDefault="0084610E" w:rsidP="00D819B9">
      <w:pPr>
        <w:jc w:val="both"/>
      </w:pPr>
    </w:p>
    <w:p w14:paraId="1F6B030D" w14:textId="49CABC96" w:rsidR="006D3217" w:rsidRPr="00246D05" w:rsidRDefault="006D3217" w:rsidP="00F172F5">
      <w:pPr>
        <w:pStyle w:val="ListParagraph"/>
        <w:numPr>
          <w:ilvl w:val="0"/>
          <w:numId w:val="34"/>
        </w:numPr>
        <w:ind w:left="0" w:firstLine="0"/>
        <w:jc w:val="both"/>
      </w:pPr>
      <w:r>
        <w:rPr>
          <w:b/>
        </w:rPr>
        <w:t>Many Armenian markets have few participants and are highly concentrated, which could raise the risk of non-competitive market outcomes.</w:t>
      </w:r>
      <w:r>
        <w:t xml:space="preserve"> </w:t>
      </w:r>
      <w:r>
        <w:rPr>
          <w:rFonts w:cstheme="minorHAnsi"/>
        </w:rPr>
        <w:t>Data from the Enterprise Survey indicates that 83 percent of all manufacturing markets in Armenia are monopolies, duopolies or oligopolies</w:t>
      </w:r>
      <w:r>
        <w:t xml:space="preserve"> - the highest share among peers in the ECA region (</w:t>
      </w:r>
      <w:r>
        <w:fldChar w:fldCharType="begin"/>
      </w:r>
      <w:r>
        <w:instrText xml:space="preserve"> REF _Ref514972061 \h  \* MERGEFORMAT </w:instrText>
      </w:r>
      <w:r>
        <w:fldChar w:fldCharType="separate"/>
      </w:r>
      <w:r w:rsidR="00A31FAC" w:rsidRPr="00383CD1">
        <w:rPr>
          <w:noProof/>
        </w:rPr>
        <w:t>Figure</w:t>
      </w:r>
      <w:r w:rsidR="00A31FAC" w:rsidRPr="00383CD1">
        <w:t xml:space="preserve"> </w:t>
      </w:r>
      <w:r w:rsidR="00A31FAC" w:rsidRPr="00F172F5">
        <w:rPr>
          <w:rFonts w:cstheme="minorHAnsi"/>
          <w:b/>
          <w:i/>
          <w:noProof/>
        </w:rPr>
        <w:t>3</w:t>
      </w:r>
      <w:r>
        <w:fldChar w:fldCharType="end"/>
      </w:r>
      <w:r>
        <w:t>). Using data from the tax authorities, it appears that subsectors in manufacturing and services have become increasingly concentrated over time based on an assessment of the Herfindahl-Hirschman Index</w:t>
      </w:r>
      <w:r>
        <w:rPr>
          <w:rStyle w:val="FootnoteReference"/>
        </w:rPr>
        <w:footnoteReference w:id="8"/>
      </w:r>
      <w:r>
        <w:t xml:space="preserve"> (HHI) as a measure of concentration (</w:t>
      </w:r>
      <w:r w:rsidR="00B728ED">
        <w:fldChar w:fldCharType="begin"/>
      </w:r>
      <w:r w:rsidR="00B728ED">
        <w:instrText xml:space="preserve"> REF _Ref11834988 \h </w:instrText>
      </w:r>
      <w:r w:rsidR="00B728ED">
        <w:fldChar w:fldCharType="separate"/>
      </w:r>
      <w:r w:rsidR="00A31FAC" w:rsidRPr="00F172F5">
        <w:rPr>
          <w:rFonts w:cstheme="minorHAnsi"/>
          <w:b/>
        </w:rPr>
        <w:t xml:space="preserve">Figure </w:t>
      </w:r>
      <w:r w:rsidR="00A31FAC" w:rsidRPr="00F172F5">
        <w:rPr>
          <w:rFonts w:cstheme="minorHAnsi"/>
          <w:b/>
          <w:i/>
          <w:noProof/>
        </w:rPr>
        <w:t>4</w:t>
      </w:r>
      <w:r w:rsidR="00B728ED">
        <w:fldChar w:fldCharType="end"/>
      </w:r>
      <w:r>
        <w:t>). In 2015, highly concentrated subsectors</w:t>
      </w:r>
      <w:r>
        <w:rPr>
          <w:rStyle w:val="FootnoteReference"/>
        </w:rPr>
        <w:footnoteReference w:id="9"/>
      </w:r>
      <w:r>
        <w:t xml:space="preserve"> in manufacturing and services accounted for 66 and 42 percent of revenues, respectively; although they only employ 42 and 30 percent of workers in these sectors.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3217" w14:paraId="07CB023C" w14:textId="77777777" w:rsidTr="00246D05">
        <w:trPr>
          <w:jc w:val="center"/>
        </w:trPr>
        <w:tc>
          <w:tcPr>
            <w:tcW w:w="9010" w:type="dxa"/>
            <w:hideMark/>
          </w:tcPr>
          <w:p w14:paraId="32627690" w14:textId="77777777" w:rsidR="000F4553" w:rsidRDefault="000F4553" w:rsidP="00246D05">
            <w:pPr>
              <w:pStyle w:val="Caption"/>
              <w:keepNext/>
            </w:pPr>
            <w:bookmarkStart w:id="10" w:name="_Ref514972061"/>
          </w:p>
          <w:p w14:paraId="6760CDFB" w14:textId="16D45597" w:rsidR="006D3217" w:rsidRDefault="006D3217" w:rsidP="00246D05">
            <w:pPr>
              <w:pStyle w:val="Caption"/>
              <w:keepNext/>
              <w:jc w:val="both"/>
            </w:pPr>
            <w:r w:rsidRPr="00B728ED">
              <w:rPr>
                <w:rFonts w:cstheme="minorHAnsi"/>
                <w:b/>
                <w:i w:val="0"/>
                <w:color w:val="auto"/>
                <w:sz w:val="22"/>
                <w:szCs w:val="22"/>
              </w:rPr>
              <w:t xml:space="preserve">Figure </w:t>
            </w:r>
            <w:r w:rsidR="00B728ED">
              <w:rPr>
                <w:rFonts w:cstheme="minorHAnsi"/>
                <w:b/>
                <w:i w:val="0"/>
                <w:color w:val="auto"/>
                <w:sz w:val="22"/>
                <w:szCs w:val="22"/>
              </w:rPr>
              <w:fldChar w:fldCharType="begin"/>
            </w:r>
            <w:r w:rsidR="00B728ED">
              <w:rPr>
                <w:rFonts w:cstheme="minorHAnsi"/>
                <w:b/>
                <w:i w:val="0"/>
                <w:color w:val="auto"/>
                <w:sz w:val="22"/>
                <w:szCs w:val="22"/>
              </w:rPr>
              <w:instrText xml:space="preserve"> SEQ Figure \* ARABIC </w:instrText>
            </w:r>
            <w:r w:rsidR="00B728ED">
              <w:rPr>
                <w:rFonts w:cstheme="minorHAnsi"/>
                <w:b/>
                <w:i w:val="0"/>
                <w:color w:val="auto"/>
                <w:sz w:val="22"/>
                <w:szCs w:val="22"/>
              </w:rPr>
              <w:fldChar w:fldCharType="separate"/>
            </w:r>
            <w:r w:rsidR="00A31FAC">
              <w:rPr>
                <w:rFonts w:cstheme="minorHAnsi"/>
                <w:b/>
                <w:i w:val="0"/>
                <w:noProof/>
                <w:color w:val="auto"/>
                <w:sz w:val="22"/>
                <w:szCs w:val="22"/>
              </w:rPr>
              <w:t>3</w:t>
            </w:r>
            <w:r w:rsidR="00B728ED">
              <w:rPr>
                <w:rFonts w:cstheme="minorHAnsi"/>
                <w:b/>
                <w:i w:val="0"/>
                <w:color w:val="auto"/>
                <w:sz w:val="22"/>
                <w:szCs w:val="22"/>
              </w:rPr>
              <w:fldChar w:fldCharType="end"/>
            </w:r>
            <w:bookmarkEnd w:id="10"/>
            <w:r w:rsidRPr="00B728ED">
              <w:rPr>
                <w:rFonts w:cstheme="minorHAnsi"/>
                <w:b/>
                <w:i w:val="0"/>
                <w:color w:val="auto"/>
                <w:sz w:val="22"/>
                <w:szCs w:val="22"/>
              </w:rPr>
              <w:t>: Ar</w:t>
            </w:r>
            <w:r w:rsidRPr="00246D05">
              <w:rPr>
                <w:rFonts w:cstheme="minorHAnsi"/>
                <w:b/>
                <w:i w:val="0"/>
                <w:color w:val="auto"/>
                <w:sz w:val="22"/>
                <w:szCs w:val="22"/>
              </w:rPr>
              <w:t>menia has a higher proportion than regional comparators of manufacturing subsectors that are monopolies, duopolies or oligopolies</w:t>
            </w:r>
            <w:r>
              <w:t xml:space="preserve"> </w:t>
            </w:r>
          </w:p>
        </w:tc>
      </w:tr>
      <w:tr w:rsidR="006D3217" w14:paraId="26AFF305" w14:textId="77777777" w:rsidTr="00246D05">
        <w:trPr>
          <w:jc w:val="center"/>
        </w:trPr>
        <w:tc>
          <w:tcPr>
            <w:tcW w:w="9010" w:type="dxa"/>
            <w:hideMark/>
          </w:tcPr>
          <w:p w14:paraId="1221686E" w14:textId="0CA01813" w:rsidR="006D3217" w:rsidRDefault="006D3217" w:rsidP="00246D05">
            <w:pPr>
              <w:keepNext/>
              <w:jc w:val="center"/>
            </w:pPr>
            <w:r>
              <w:rPr>
                <w:noProof/>
              </w:rPr>
              <mc:AlternateContent>
                <mc:Choice Requires="wps">
                  <w:drawing>
                    <wp:anchor distT="0" distB="0" distL="114300" distR="114300" simplePos="0" relativeHeight="251662336" behindDoc="0" locked="0" layoutInCell="1" allowOverlap="1" wp14:anchorId="51C2D464" wp14:editId="36301FA9">
                      <wp:simplePos x="0" y="0"/>
                      <wp:positionH relativeFrom="column">
                        <wp:posOffset>5316058</wp:posOffset>
                      </wp:positionH>
                      <wp:positionV relativeFrom="paragraph">
                        <wp:posOffset>520065</wp:posOffset>
                      </wp:positionV>
                      <wp:extent cx="41148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1480" cy="323850"/>
                              </a:xfrm>
                              <a:prstGeom prst="rect">
                                <a:avLst/>
                              </a:prstGeom>
                              <a:noFill/>
                              <a:ln w="6350">
                                <a:noFill/>
                              </a:ln>
                            </wps:spPr>
                            <wps:txbx>
                              <w:txbxContent>
                                <w:p w14:paraId="4CE8D8D7" w14:textId="77777777" w:rsidR="006D3217" w:rsidRDefault="006D3217" w:rsidP="006D3217">
                                  <w:pPr>
                                    <w:rPr>
                                      <w:sz w:val="20"/>
                                    </w:rPr>
                                  </w:pPr>
                                  <w:r>
                                    <w:rPr>
                                      <w:sz w:val="16"/>
                                      <w:szCs w:val="16"/>
                                    </w:rPr>
                                    <w:t>83</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2D464" id="_x0000_t202" coordsize="21600,21600" o:spt="202" path="m,l,21600r21600,l21600,xe">
                      <v:stroke joinstyle="miter"/>
                      <v:path gradientshapeok="t" o:connecttype="rect"/>
                    </v:shapetype>
                    <v:shape id="Text Box 8" o:spid="_x0000_s1026" type="#_x0000_t202" style="position:absolute;left:0;text-align:left;margin-left:418.6pt;margin-top:40.95pt;width:32.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" filled="f" stroked="f" strokeweight=".5pt">
                      <v:textbox>
                        <w:txbxContent>
                          <w:p w14:paraId="4CE8D8D7" w14:textId="77777777" w:rsidR="006D3217" w:rsidRDefault="006D3217" w:rsidP="006D3217">
                            <w:pPr>
                              <w:rPr>
                                <w:sz w:val="20"/>
                              </w:rPr>
                            </w:pPr>
                            <w:r>
                              <w:rPr>
                                <w:sz w:val="16"/>
                                <w:szCs w:val="16"/>
                              </w:rPr>
                              <w:t>83</w:t>
                            </w:r>
                            <w:r>
                              <w:rPr>
                                <w:sz w:val="20"/>
                              </w:rPr>
                              <w:t>%</w:t>
                            </w:r>
                          </w:p>
                        </w:txbxContent>
                      </v:textbox>
                    </v:shape>
                  </w:pict>
                </mc:Fallback>
              </mc:AlternateContent>
            </w:r>
            <w:r w:rsidR="004816BF" w:rsidRPr="004816BF">
              <w:rPr>
                <w:noProof/>
              </w:rPr>
              <w:drawing>
                <wp:inline distT="0" distB="0" distL="0" distR="0" wp14:anchorId="6BE8C165" wp14:editId="69AAC737">
                  <wp:extent cx="5568950" cy="2273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2273300"/>
                          </a:xfrm>
                          <a:prstGeom prst="rect">
                            <a:avLst/>
                          </a:prstGeom>
                          <a:noFill/>
                          <a:ln>
                            <a:noFill/>
                          </a:ln>
                        </pic:spPr>
                      </pic:pic>
                    </a:graphicData>
                  </a:graphic>
                </wp:inline>
              </w:drawing>
            </w:r>
          </w:p>
        </w:tc>
      </w:tr>
      <w:tr w:rsidR="006D3217" w14:paraId="7FA614D2" w14:textId="77777777" w:rsidTr="00246D05">
        <w:trPr>
          <w:jc w:val="center"/>
        </w:trPr>
        <w:tc>
          <w:tcPr>
            <w:tcW w:w="9010" w:type="dxa"/>
            <w:hideMark/>
          </w:tcPr>
          <w:p w14:paraId="470ABCFD" w14:textId="3B67AB16" w:rsidR="006D3217" w:rsidRDefault="006D3217">
            <w:pPr>
              <w:rPr>
                <w:sz w:val="18"/>
                <w:szCs w:val="18"/>
              </w:rPr>
            </w:pPr>
            <w:r>
              <w:rPr>
                <w:i/>
                <w:iCs/>
                <w:sz w:val="18"/>
                <w:szCs w:val="18"/>
              </w:rPr>
              <w:t>Source:</w:t>
            </w:r>
            <w:r>
              <w:rPr>
                <w:iCs/>
                <w:sz w:val="18"/>
                <w:szCs w:val="18"/>
              </w:rPr>
              <w:t xml:space="preserve"> Authors' calculations based on Enterprise Survey data for 2013</w:t>
            </w:r>
            <w:r w:rsidR="00E22CC0">
              <w:rPr>
                <w:iCs/>
                <w:sz w:val="18"/>
                <w:szCs w:val="18"/>
              </w:rPr>
              <w:t xml:space="preserve"> for Armenia and latest available data for other countries</w:t>
            </w:r>
            <w:r>
              <w:rPr>
                <w:iCs/>
                <w:sz w:val="18"/>
                <w:szCs w:val="18"/>
              </w:rPr>
              <w:t>.</w:t>
            </w:r>
          </w:p>
          <w:p w14:paraId="02011C44" w14:textId="77777777" w:rsidR="006D3217" w:rsidRDefault="006D3217">
            <w:pPr>
              <w:rPr>
                <w:sz w:val="18"/>
              </w:rPr>
            </w:pPr>
            <w:r>
              <w:rPr>
                <w:iCs/>
                <w:sz w:val="18"/>
                <w:szCs w:val="18"/>
              </w:rPr>
              <w:t>Note: The shares reflect the percentage of establishments that answered “none”, “1”, “2-5” or “many” to the question “For fiscal year [indicated in parenthesis], for the main market in which this establishment sold its main product, how many competitors did this establishment’s main product/product line face?”, respectively. E.g. “None” was coded as “Monopoly”.</w:t>
            </w:r>
          </w:p>
        </w:tc>
      </w:tr>
    </w:tbl>
    <w:p w14:paraId="7AD586BB" w14:textId="7FEF4139" w:rsidR="0084610E" w:rsidRDefault="0084610E" w:rsidP="00D819B9">
      <w:pPr>
        <w:jc w:val="both"/>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F70694" w14:paraId="6F56250B" w14:textId="77777777" w:rsidTr="00F70694">
        <w:tc>
          <w:tcPr>
            <w:tcW w:w="9085" w:type="dxa"/>
            <w:hideMark/>
          </w:tcPr>
          <w:p w14:paraId="4706EA45" w14:textId="10E79A84" w:rsidR="00F70694" w:rsidRDefault="00F70694" w:rsidP="00246D05">
            <w:pPr>
              <w:pStyle w:val="Caption"/>
              <w:keepNext/>
              <w:jc w:val="both"/>
            </w:pPr>
            <w:bookmarkStart w:id="11" w:name="_Ref11834988"/>
            <w:r w:rsidRPr="00246D05">
              <w:rPr>
                <w:rFonts w:cstheme="minorHAnsi"/>
                <w:b/>
                <w:i w:val="0"/>
                <w:color w:val="auto"/>
                <w:sz w:val="22"/>
                <w:szCs w:val="22"/>
              </w:rPr>
              <w:t xml:space="preserve">Figure </w:t>
            </w:r>
            <w:r w:rsidR="00B728ED" w:rsidRPr="00246D05">
              <w:rPr>
                <w:rFonts w:cstheme="minorHAnsi"/>
                <w:b/>
                <w:i w:val="0"/>
                <w:color w:val="auto"/>
                <w:sz w:val="22"/>
                <w:szCs w:val="22"/>
              </w:rPr>
              <w:fldChar w:fldCharType="begin"/>
            </w:r>
            <w:r w:rsidR="00B728ED" w:rsidRPr="00246D05">
              <w:rPr>
                <w:rFonts w:cstheme="minorHAnsi"/>
                <w:b/>
                <w:i w:val="0"/>
                <w:color w:val="auto"/>
                <w:sz w:val="22"/>
                <w:szCs w:val="22"/>
              </w:rPr>
              <w:instrText xml:space="preserve"> SEQ Figure \* ARABIC </w:instrText>
            </w:r>
            <w:r w:rsidR="00B728ED" w:rsidRPr="00246D05">
              <w:rPr>
                <w:rFonts w:cstheme="minorHAnsi"/>
                <w:b/>
                <w:i w:val="0"/>
                <w:color w:val="auto"/>
                <w:sz w:val="22"/>
                <w:szCs w:val="22"/>
              </w:rPr>
              <w:fldChar w:fldCharType="separate"/>
            </w:r>
            <w:r w:rsidR="00A31FAC">
              <w:rPr>
                <w:rFonts w:cstheme="minorHAnsi"/>
                <w:b/>
                <w:i w:val="0"/>
                <w:noProof/>
                <w:color w:val="auto"/>
                <w:sz w:val="22"/>
                <w:szCs w:val="22"/>
              </w:rPr>
              <w:t>4</w:t>
            </w:r>
            <w:r w:rsidR="00B728ED" w:rsidRPr="00246D05">
              <w:rPr>
                <w:rFonts w:cstheme="minorHAnsi"/>
                <w:b/>
                <w:i w:val="0"/>
                <w:color w:val="auto"/>
                <w:sz w:val="22"/>
                <w:szCs w:val="22"/>
              </w:rPr>
              <w:fldChar w:fldCharType="end"/>
            </w:r>
            <w:bookmarkEnd w:id="11"/>
            <w:r w:rsidRPr="00246D05">
              <w:rPr>
                <w:rFonts w:cstheme="minorHAnsi"/>
                <w:b/>
                <w:i w:val="0"/>
                <w:color w:val="auto"/>
                <w:sz w:val="22"/>
                <w:szCs w:val="22"/>
              </w:rPr>
              <w:t>: The distribution of HHIs for manufacturing and services subsectors has tended to shift to the right over time, indicating that these subsectors have generally become increasingly concentrated over time</w:t>
            </w:r>
          </w:p>
        </w:tc>
      </w:tr>
      <w:tr w:rsidR="00F70694" w14:paraId="364D4755" w14:textId="77777777" w:rsidTr="00F70694">
        <w:tc>
          <w:tcPr>
            <w:tcW w:w="9085" w:type="dxa"/>
            <w:hideMark/>
          </w:tcPr>
          <w:p w14:paraId="56D7F7E1" w14:textId="083D96E7" w:rsidR="00F70694" w:rsidRDefault="00F70694">
            <w:r>
              <w:rPr>
                <w:noProof/>
              </w:rPr>
              <mc:AlternateContent>
                <mc:Choice Requires="wps">
                  <w:drawing>
                    <wp:anchor distT="0" distB="0" distL="114300" distR="114300" simplePos="0" relativeHeight="251666432" behindDoc="0" locked="0" layoutInCell="1" allowOverlap="1" wp14:anchorId="6F9C48EF" wp14:editId="55110019">
                      <wp:simplePos x="0" y="0"/>
                      <wp:positionH relativeFrom="column">
                        <wp:posOffset>3965575</wp:posOffset>
                      </wp:positionH>
                      <wp:positionV relativeFrom="paragraph">
                        <wp:posOffset>71755</wp:posOffset>
                      </wp:positionV>
                      <wp:extent cx="1047750" cy="2387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047750" cy="238125"/>
                              </a:xfrm>
                              <a:prstGeom prst="rect">
                                <a:avLst/>
                              </a:prstGeom>
                              <a:solidFill>
                                <a:schemeClr val="lt1"/>
                              </a:solidFill>
                              <a:ln w="6350">
                                <a:noFill/>
                              </a:ln>
                            </wps:spPr>
                            <wps:txbx>
                              <w:txbxContent>
                                <w:p w14:paraId="2169BD23" w14:textId="77777777" w:rsidR="00F70694" w:rsidRDefault="00F70694" w:rsidP="00F70694">
                                  <w:pPr>
                                    <w:rPr>
                                      <w:sz w:val="12"/>
                                    </w:rPr>
                                  </w:pPr>
                                  <w:r>
                                    <w:rPr>
                                      <w:sz w:val="18"/>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9C48EF" id="Text Box 14" o:spid="_x0000_s1027" type="#_x0000_t202" style="position:absolute;margin-left:312.25pt;margin-top:5.65pt;width:82.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" fillcolor="white [3201]" stroked="f" strokeweight=".5pt">
                      <v:textbox>
                        <w:txbxContent>
                          <w:p w14:paraId="2169BD23" w14:textId="77777777" w:rsidR="00F70694" w:rsidRDefault="00F70694" w:rsidP="00F70694">
                            <w:pPr>
                              <w:rPr>
                                <w:sz w:val="12"/>
                              </w:rPr>
                            </w:pPr>
                            <w:r>
                              <w:rPr>
                                <w:sz w:val="18"/>
                              </w:rPr>
                              <w:t>Services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A6E23F" wp14:editId="7AF26329">
                      <wp:simplePos x="0" y="0"/>
                      <wp:positionH relativeFrom="column">
                        <wp:posOffset>982980</wp:posOffset>
                      </wp:positionH>
                      <wp:positionV relativeFrom="paragraph">
                        <wp:posOffset>65405</wp:posOffset>
                      </wp:positionV>
                      <wp:extent cx="1047750" cy="2451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047750" cy="244475"/>
                              </a:xfrm>
                              <a:prstGeom prst="rect">
                                <a:avLst/>
                              </a:prstGeom>
                              <a:solidFill>
                                <a:schemeClr val="lt1"/>
                              </a:solidFill>
                              <a:ln w="6350">
                                <a:noFill/>
                              </a:ln>
                            </wps:spPr>
                            <wps:txbx>
                              <w:txbxContent>
                                <w:p w14:paraId="6F54BBF2" w14:textId="77777777" w:rsidR="00F70694" w:rsidRDefault="00F70694" w:rsidP="00F70694">
                                  <w:pPr>
                                    <w:rPr>
                                      <w:sz w:val="12"/>
                                    </w:rPr>
                                  </w:pPr>
                                  <w:r>
                                    <w:rPr>
                                      <w:sz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A6E23F" id="Text Box 11" o:spid="_x0000_s1028" type="#_x0000_t202" style="position:absolute;margin-left:77.4pt;margin-top:5.15pt;width:82.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" fillcolor="white [3201]" stroked="f" strokeweight=".5pt">
                      <v:textbox>
                        <w:txbxContent>
                          <w:p w14:paraId="6F54BBF2" w14:textId="77777777" w:rsidR="00F70694" w:rsidRDefault="00F70694" w:rsidP="00F70694">
                            <w:pPr>
                              <w:rPr>
                                <w:sz w:val="12"/>
                              </w:rPr>
                            </w:pPr>
                            <w:r>
                              <w:rPr>
                                <w:sz w:val="18"/>
                              </w:rPr>
                              <w:t>Manufacturing</w:t>
                            </w:r>
                          </w:p>
                        </w:txbxContent>
                      </v:textbox>
                    </v:shape>
                  </w:pict>
                </mc:Fallback>
              </mc:AlternateContent>
            </w:r>
            <w:r>
              <w:rPr>
                <w:noProof/>
              </w:rPr>
              <w:drawing>
                <wp:inline distT="0" distB="0" distL="0" distR="0" wp14:anchorId="72427A9A" wp14:editId="5659E798">
                  <wp:extent cx="2689860" cy="2211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t="7040"/>
                          <a:stretch>
                            <a:fillRect/>
                          </a:stretch>
                        </pic:blipFill>
                        <pic:spPr bwMode="auto">
                          <a:xfrm>
                            <a:off x="0" y="0"/>
                            <a:ext cx="2689860" cy="2211705"/>
                          </a:xfrm>
                          <a:prstGeom prst="rect">
                            <a:avLst/>
                          </a:prstGeom>
                          <a:noFill/>
                          <a:ln>
                            <a:noFill/>
                          </a:ln>
                        </pic:spPr>
                      </pic:pic>
                    </a:graphicData>
                  </a:graphic>
                </wp:inline>
              </w:drawing>
            </w:r>
            <w:r>
              <w:rPr>
                <w:noProof/>
              </w:rPr>
              <w:drawing>
                <wp:inline distT="0" distB="0" distL="0" distR="0" wp14:anchorId="7B665F7A" wp14:editId="58D217D5">
                  <wp:extent cx="2881630" cy="223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5476"/>
                          <a:stretch>
                            <a:fillRect/>
                          </a:stretch>
                        </pic:blipFill>
                        <pic:spPr bwMode="auto">
                          <a:xfrm>
                            <a:off x="0" y="0"/>
                            <a:ext cx="2881630" cy="2232660"/>
                          </a:xfrm>
                          <a:prstGeom prst="rect">
                            <a:avLst/>
                          </a:prstGeom>
                          <a:noFill/>
                          <a:ln>
                            <a:noFill/>
                          </a:ln>
                        </pic:spPr>
                      </pic:pic>
                    </a:graphicData>
                  </a:graphic>
                </wp:inline>
              </w:drawing>
            </w:r>
            <w:r>
              <w:rPr>
                <w:noProof/>
              </w:rPr>
              <w:t xml:space="preserve"> </w:t>
            </w:r>
          </w:p>
        </w:tc>
      </w:tr>
      <w:tr w:rsidR="00F70694" w14:paraId="6939FCBA" w14:textId="77777777" w:rsidTr="00F70694">
        <w:tc>
          <w:tcPr>
            <w:tcW w:w="9085" w:type="dxa"/>
            <w:hideMark/>
          </w:tcPr>
          <w:p w14:paraId="4DB6647D" w14:textId="2EF7F392" w:rsidR="00F70694" w:rsidRDefault="00F70694">
            <w:pPr>
              <w:spacing w:before="40"/>
              <w:rPr>
                <w:noProof/>
                <w:sz w:val="16"/>
              </w:rPr>
            </w:pPr>
            <w:r>
              <w:rPr>
                <w:rFonts w:cs="Times New Roman"/>
                <w:i/>
                <w:color w:val="000000"/>
                <w:sz w:val="16"/>
              </w:rPr>
              <w:t>Source:</w:t>
            </w:r>
            <w:r>
              <w:rPr>
                <w:rFonts w:cs="Times New Roman"/>
                <w:color w:val="000000"/>
                <w:sz w:val="16"/>
              </w:rPr>
              <w:t xml:space="preserve"> 2011-2015 data from Armenia State Revenue Committe</w:t>
            </w:r>
            <w:r>
              <w:rPr>
                <w:color w:val="000000"/>
                <w:sz w:val="16"/>
              </w:rPr>
              <w:t>e.</w:t>
            </w:r>
            <w:r w:rsidR="00E950A0">
              <w:rPr>
                <w:color w:val="000000"/>
                <w:sz w:val="16"/>
              </w:rPr>
              <w:t xml:space="preserve"> Analysis produce for the Armenia SCD.</w:t>
            </w:r>
          </w:p>
        </w:tc>
      </w:tr>
    </w:tbl>
    <w:p w14:paraId="18A6133B" w14:textId="77777777" w:rsidR="00F70694" w:rsidRDefault="00F70694" w:rsidP="00D819B9">
      <w:pPr>
        <w:jc w:val="both"/>
      </w:pPr>
    </w:p>
    <w:p w14:paraId="18F28C26" w14:textId="77777777" w:rsidR="002F67D1" w:rsidRDefault="002F67D1" w:rsidP="002F67D1">
      <w:pPr>
        <w:pStyle w:val="ListParagraph"/>
      </w:pPr>
    </w:p>
    <w:p w14:paraId="01E9D0A6" w14:textId="77777777" w:rsidR="002C6C2E" w:rsidRDefault="002C6C2E" w:rsidP="00246D05"/>
    <w:p w14:paraId="01F6115A" w14:textId="12EA94BC" w:rsidR="00EC0228" w:rsidRDefault="00EC0228" w:rsidP="00EB5885">
      <w:pPr>
        <w:pStyle w:val="Heading2"/>
        <w:numPr>
          <w:ilvl w:val="0"/>
          <w:numId w:val="1"/>
        </w:numPr>
      </w:pPr>
      <w:bookmarkStart w:id="12" w:name="_Toc11855832"/>
      <w:r w:rsidRPr="00EB5885">
        <w:t xml:space="preserve">Summary of key </w:t>
      </w:r>
      <w:r w:rsidR="00CB437F">
        <w:t>findings across the three pillars of a holistic competition policy</w:t>
      </w:r>
      <w:bookmarkEnd w:id="12"/>
    </w:p>
    <w:p w14:paraId="58046125" w14:textId="77777777" w:rsidR="005518CB" w:rsidRDefault="005518CB" w:rsidP="005518CB"/>
    <w:p w14:paraId="61E566EA" w14:textId="42F063C5" w:rsidR="005C7E91" w:rsidRDefault="00475525" w:rsidP="004631D9">
      <w:pPr>
        <w:pStyle w:val="ListParagraph"/>
        <w:numPr>
          <w:ilvl w:val="0"/>
          <w:numId w:val="34"/>
        </w:numPr>
        <w:ind w:left="0" w:firstLine="0"/>
        <w:jc w:val="both"/>
      </w:pPr>
      <w:r>
        <w:rPr>
          <w:b/>
        </w:rPr>
        <w:t>Holistically a</w:t>
      </w:r>
      <w:r w:rsidR="004D0B74">
        <w:rPr>
          <w:b/>
        </w:rPr>
        <w:t>ssessing the</w:t>
      </w:r>
      <w:r>
        <w:rPr>
          <w:b/>
        </w:rPr>
        <w:t xml:space="preserve"> </w:t>
      </w:r>
      <w:r w:rsidR="004D0B74">
        <w:rPr>
          <w:b/>
        </w:rPr>
        <w:t>ecosystem of policies that affect competition in Armenia</w:t>
      </w:r>
      <w:r w:rsidR="00BA7E05" w:rsidRPr="00D73B09">
        <w:rPr>
          <w:b/>
        </w:rPr>
        <w:t xml:space="preserve"> </w:t>
      </w:r>
      <w:r w:rsidR="00BA7E05">
        <w:rPr>
          <w:b/>
        </w:rPr>
        <w:t xml:space="preserve">is important </w:t>
      </w:r>
      <w:r w:rsidR="00BA7E05" w:rsidRPr="00D73B09">
        <w:rPr>
          <w:b/>
        </w:rPr>
        <w:t xml:space="preserve">to ensure that </w:t>
      </w:r>
      <w:r w:rsidR="00BA7E05">
        <w:rPr>
          <w:b/>
        </w:rPr>
        <w:t>pro-competition reforms</w:t>
      </w:r>
      <w:r w:rsidR="00BA7E05" w:rsidRPr="00D73B09">
        <w:rPr>
          <w:b/>
        </w:rPr>
        <w:t xml:space="preserve"> are sustainable</w:t>
      </w:r>
      <w:r w:rsidR="00BA7E05">
        <w:rPr>
          <w:b/>
        </w:rPr>
        <w:t xml:space="preserve"> and systematized in</w:t>
      </w:r>
      <w:r>
        <w:rPr>
          <w:b/>
        </w:rPr>
        <w:t>to</w:t>
      </w:r>
      <w:r w:rsidR="00BA7E05">
        <w:rPr>
          <w:b/>
        </w:rPr>
        <w:t xml:space="preserve"> policy-making.</w:t>
      </w:r>
      <w:r w:rsidR="007B386F">
        <w:rPr>
          <w:b/>
        </w:rPr>
        <w:t xml:space="preserve"> </w:t>
      </w:r>
      <w:r w:rsidR="007B386F" w:rsidRPr="0000726F">
        <w:t>Governments can impact market outcomes either through direct participation (as a buyer or supplier of goods and services), or through indirect participation (for example, through regulation, taxation, subsidy or other influence using various policy and regulatory instruments).</w:t>
      </w:r>
      <w:r w:rsidR="000D57EA">
        <w:rPr>
          <w:rStyle w:val="FootnoteReference"/>
        </w:rPr>
        <w:footnoteReference w:id="10"/>
      </w:r>
      <w:r w:rsidR="007B386F" w:rsidRPr="0000726F">
        <w:t xml:space="preserve"> Both types of interventions </w:t>
      </w:r>
      <w:proofErr w:type="gramStart"/>
      <w:r w:rsidR="007B386F" w:rsidRPr="0000726F">
        <w:t>have an effect on</w:t>
      </w:r>
      <w:proofErr w:type="gramEnd"/>
      <w:r w:rsidR="007B386F" w:rsidRPr="0000726F">
        <w:t xml:space="preserve"> competition dynamics. </w:t>
      </w:r>
      <w:r w:rsidR="007B386F" w:rsidRPr="00FF235E">
        <w:t>Lack of political will, institutional capacity constraints and limited regulatory powers can also affect the design and impact of competition policy reforms. The type of competition policy intervention required will depend on the specific market (or policy) failure.</w:t>
      </w:r>
      <w:r w:rsidR="007B386F">
        <w:rPr>
          <w:b/>
        </w:rPr>
        <w:t xml:space="preserve"> </w:t>
      </w:r>
      <w:r w:rsidR="00BA7E05" w:rsidRPr="004631D9">
        <w:rPr>
          <w:b/>
        </w:rPr>
        <w:t xml:space="preserve"> </w:t>
      </w:r>
      <w:r w:rsidR="007D6D0B">
        <w:t>Taking a</w:t>
      </w:r>
      <w:r w:rsidR="007D6D0B" w:rsidRPr="00EB5885">
        <w:t xml:space="preserve"> </w:t>
      </w:r>
      <w:r w:rsidR="00BA7E05" w:rsidRPr="00EB5885">
        <w:t>systematic approach</w:t>
      </w:r>
      <w:r w:rsidR="00F10DCE">
        <w:t xml:space="preserve"> across the three pillars of </w:t>
      </w:r>
      <w:r w:rsidR="007D144D">
        <w:t xml:space="preserve">a holistic </w:t>
      </w:r>
      <w:r w:rsidR="00F10DCE">
        <w:t>competition policy</w:t>
      </w:r>
      <w:r w:rsidR="007D144D">
        <w:t xml:space="preserve"> </w:t>
      </w:r>
      <w:r w:rsidR="007D144D" w:rsidRPr="004631D9">
        <w:t>(</w:t>
      </w:r>
      <w:r w:rsidR="007D144D" w:rsidRPr="004631D9">
        <w:fldChar w:fldCharType="begin"/>
      </w:r>
      <w:r w:rsidR="007D144D" w:rsidRPr="00E67EB7">
        <w:instrText xml:space="preserve"> REF _Ref11834896 \h </w:instrText>
      </w:r>
      <w:r w:rsidR="007D144D" w:rsidRPr="00246D05">
        <w:instrText xml:space="preserve"> \* MERGEFORMAT </w:instrText>
      </w:r>
      <w:r w:rsidR="007D144D" w:rsidRPr="004631D9">
        <w:fldChar w:fldCharType="separate"/>
      </w:r>
      <w:r w:rsidR="00A31FAC" w:rsidRPr="00383CD1">
        <w:rPr>
          <w:rFonts w:cstheme="minorHAnsi"/>
        </w:rPr>
        <w:t>Figure 1</w:t>
      </w:r>
      <w:r w:rsidR="007D144D" w:rsidRPr="004631D9">
        <w:fldChar w:fldCharType="end"/>
      </w:r>
      <w:r w:rsidR="007D144D" w:rsidRPr="004631D9">
        <w:t>)</w:t>
      </w:r>
      <w:r w:rsidR="004D0B74">
        <w:t xml:space="preserve"> -</w:t>
      </w:r>
      <w:r w:rsidR="007D6D0B">
        <w:t xml:space="preserve"> to address </w:t>
      </w:r>
      <w:r w:rsidR="00F10DCE" w:rsidRPr="00B9152C">
        <w:t>both anticompetitive firm behavior and anticompetitive government interventions</w:t>
      </w:r>
      <w:r w:rsidR="004D0B74">
        <w:t xml:space="preserve"> -</w:t>
      </w:r>
      <w:r w:rsidR="00F10DCE" w:rsidRPr="00B9152C">
        <w:t xml:space="preserve"> </w:t>
      </w:r>
      <w:r w:rsidR="00BA7E05" w:rsidRPr="00EB5885">
        <w:t>can ultimately encourage a productive and innovative private sector to enter and expand</w:t>
      </w:r>
      <w:r w:rsidR="00AE3DE7" w:rsidRPr="00EB5885">
        <w:t xml:space="preserve">, </w:t>
      </w:r>
      <w:r w:rsidR="00BA7E05" w:rsidRPr="00EB5885">
        <w:t xml:space="preserve">and thus boost Armenia’s competitiveness and </w:t>
      </w:r>
      <w:r w:rsidR="00AE3DE7" w:rsidRPr="00EB5885">
        <w:t>growth in an inclusive way</w:t>
      </w:r>
      <w:r w:rsidR="00BA7E05" w:rsidRPr="00EB5885">
        <w:t>.</w:t>
      </w:r>
    </w:p>
    <w:p w14:paraId="37CD656A" w14:textId="25CA070E" w:rsidR="00005D86" w:rsidRDefault="00005D86" w:rsidP="00005D86">
      <w:pPr>
        <w:jc w:val="both"/>
      </w:pPr>
    </w:p>
    <w:p w14:paraId="38AA140C" w14:textId="77777777" w:rsidR="00BA7E05" w:rsidRPr="00EB5885" w:rsidRDefault="00BA7E05" w:rsidP="005C7E91">
      <w:pPr>
        <w:pStyle w:val="ListParagraph"/>
        <w:ind w:left="0"/>
        <w:jc w:val="both"/>
      </w:pPr>
      <w:r w:rsidRPr="00EB5885">
        <w:t xml:space="preserve"> </w:t>
      </w:r>
    </w:p>
    <w:p w14:paraId="6FCFDF8E" w14:textId="77777777" w:rsidR="00371B47" w:rsidRDefault="000F4C6B" w:rsidP="005C7E91">
      <w:pPr>
        <w:pStyle w:val="ListParagraph"/>
        <w:numPr>
          <w:ilvl w:val="0"/>
          <w:numId w:val="34"/>
        </w:numPr>
        <w:ind w:left="0" w:firstLine="0"/>
        <w:jc w:val="both"/>
      </w:pPr>
      <w:r>
        <w:rPr>
          <w:b/>
        </w:rPr>
        <w:t>T</w:t>
      </w:r>
      <w:r w:rsidR="00BA7E05">
        <w:rPr>
          <w:b/>
        </w:rPr>
        <w:t xml:space="preserve">here are opportunities for </w:t>
      </w:r>
      <w:proofErr w:type="spellStart"/>
      <w:r w:rsidR="00BA7E05">
        <w:rPr>
          <w:b/>
        </w:rPr>
        <w:t>GoA</w:t>
      </w:r>
      <w:proofErr w:type="spellEnd"/>
      <w:r w:rsidR="00BA7E05">
        <w:rPr>
          <w:b/>
        </w:rPr>
        <w:t xml:space="preserve"> to boost competition and market contestability </w:t>
      </w:r>
      <w:r w:rsidR="00371B47">
        <w:rPr>
          <w:b/>
        </w:rPr>
        <w:t>by strengthening market rules and their implementation</w:t>
      </w:r>
      <w:r w:rsidR="00AE3DE7">
        <w:rPr>
          <w:b/>
        </w:rPr>
        <w:t xml:space="preserve"> </w:t>
      </w:r>
      <w:r w:rsidR="00B9152C">
        <w:rPr>
          <w:b/>
        </w:rPr>
        <w:t xml:space="preserve">in </w:t>
      </w:r>
      <w:r w:rsidR="00AE3DE7">
        <w:rPr>
          <w:b/>
        </w:rPr>
        <w:t>three key areas</w:t>
      </w:r>
      <w:r w:rsidR="00BA7E05">
        <w:t xml:space="preserve">: </w:t>
      </w:r>
    </w:p>
    <w:p w14:paraId="2FF95972" w14:textId="77777777" w:rsidR="008A1AF3" w:rsidRDefault="008A1AF3" w:rsidP="008A1AF3">
      <w:pPr>
        <w:pStyle w:val="ListParagraph"/>
        <w:ind w:left="0"/>
        <w:jc w:val="both"/>
      </w:pPr>
    </w:p>
    <w:p w14:paraId="0BE929CF" w14:textId="77777777" w:rsidR="00371B47" w:rsidRDefault="00371B47" w:rsidP="00EB5885">
      <w:pPr>
        <w:pStyle w:val="ListParagraph"/>
        <w:numPr>
          <w:ilvl w:val="0"/>
          <w:numId w:val="30"/>
        </w:numPr>
        <w:spacing w:before="200" w:after="200"/>
        <w:jc w:val="both"/>
      </w:pPr>
      <w:r w:rsidRPr="00EB5885">
        <w:rPr>
          <w:b/>
        </w:rPr>
        <w:t>O</w:t>
      </w:r>
      <w:r w:rsidR="00BA7E05" w:rsidRPr="00EB5885">
        <w:rPr>
          <w:b/>
        </w:rPr>
        <w:t>pening markets through pro-competition sectoral regul</w:t>
      </w:r>
      <w:r w:rsidRPr="00EB5885">
        <w:rPr>
          <w:b/>
        </w:rPr>
        <w:t xml:space="preserve">ation: </w:t>
      </w:r>
      <w:r>
        <w:t xml:space="preserve">including by strengthening the capacity of the Public Services Regulatory Commission </w:t>
      </w:r>
      <w:r w:rsidR="005518CB">
        <w:t xml:space="preserve">(PSRC) </w:t>
      </w:r>
      <w:r>
        <w:t xml:space="preserve">(and bodies that set sector regulations) </w:t>
      </w:r>
      <w:r w:rsidRPr="00EB5885">
        <w:t>to analyze market dynamics and competition</w:t>
      </w:r>
      <w:r>
        <w:t xml:space="preserve"> in the sectors on which they have a mandate and by </w:t>
      </w:r>
      <w:r w:rsidR="00DE6927">
        <w:t xml:space="preserve">strengthening the ability of the National Centre for Legislative Reform to effectively implement the competition checklist that is currently part of their Regulatory Impact Assessment procedure. </w:t>
      </w:r>
    </w:p>
    <w:p w14:paraId="0AF590F1" w14:textId="77777777" w:rsidR="008A1AF3" w:rsidRDefault="008A1AF3" w:rsidP="008A1AF3">
      <w:pPr>
        <w:pStyle w:val="ListParagraph"/>
        <w:spacing w:before="200" w:after="200"/>
        <w:ind w:left="1080"/>
        <w:jc w:val="both"/>
      </w:pPr>
    </w:p>
    <w:p w14:paraId="09C61D82" w14:textId="77777777" w:rsidR="00371B47" w:rsidRDefault="00DE6927" w:rsidP="00EB5885">
      <w:pPr>
        <w:pStyle w:val="ListParagraph"/>
        <w:numPr>
          <w:ilvl w:val="0"/>
          <w:numId w:val="30"/>
        </w:numPr>
        <w:spacing w:before="200" w:after="200"/>
        <w:jc w:val="both"/>
      </w:pPr>
      <w:r w:rsidRPr="00EB5885">
        <w:rPr>
          <w:b/>
        </w:rPr>
        <w:t>P</w:t>
      </w:r>
      <w:r w:rsidR="00BA7E05" w:rsidRPr="00EB5885">
        <w:rPr>
          <w:b/>
        </w:rPr>
        <w:t>romoting a level playing fie</w:t>
      </w:r>
      <w:r w:rsidRPr="00EB5885">
        <w:rPr>
          <w:b/>
        </w:rPr>
        <w:t>ld:</w:t>
      </w:r>
      <w:r>
        <w:t xml:space="preserve"> by</w:t>
      </w:r>
      <w:r w:rsidR="00EF1EDA">
        <w:t xml:space="preserve"> </w:t>
      </w:r>
      <w:r w:rsidR="00EF1EDA">
        <w:rPr>
          <w:rFonts w:asciiTheme="minorHAnsi" w:hAnsiTheme="minorHAnsi" w:cstheme="minorHAnsi"/>
        </w:rPr>
        <w:t>review</w:t>
      </w:r>
      <w:r w:rsidR="00AA6158">
        <w:rPr>
          <w:rFonts w:asciiTheme="minorHAnsi" w:hAnsiTheme="minorHAnsi" w:cstheme="minorHAnsi"/>
        </w:rPr>
        <w:t>ing</w:t>
      </w:r>
      <w:r w:rsidR="00EF1EDA">
        <w:rPr>
          <w:rFonts w:asciiTheme="minorHAnsi" w:hAnsiTheme="minorHAnsi" w:cstheme="minorHAnsi"/>
        </w:rPr>
        <w:t xml:space="preserve"> Armenia’s</w:t>
      </w:r>
      <w:r w:rsidR="00EF1EDA" w:rsidRPr="00EB5885">
        <w:rPr>
          <w:rFonts w:asciiTheme="minorHAnsi" w:hAnsiTheme="minorHAnsi" w:cstheme="minorHAnsi"/>
        </w:rPr>
        <w:t xml:space="preserve"> </w:t>
      </w:r>
      <w:r w:rsidR="001C381A">
        <w:rPr>
          <w:rFonts w:asciiTheme="minorHAnsi" w:hAnsiTheme="minorHAnsi" w:cstheme="minorHAnsi"/>
        </w:rPr>
        <w:t>economic strategy</w:t>
      </w:r>
      <w:r w:rsidR="00EF1EDA" w:rsidRPr="00EB5885">
        <w:rPr>
          <w:rFonts w:asciiTheme="minorHAnsi" w:hAnsiTheme="minorHAnsi" w:cstheme="minorHAnsi"/>
        </w:rPr>
        <w:t xml:space="preserve"> from the perspective of competition and a level playing field</w:t>
      </w:r>
      <w:r w:rsidR="00EF1EDA">
        <w:rPr>
          <w:rFonts w:asciiTheme="minorHAnsi" w:hAnsiTheme="minorHAnsi" w:cstheme="minorHAnsi"/>
        </w:rPr>
        <w:t>, by</w:t>
      </w:r>
      <w:r>
        <w:t xml:space="preserve"> building a state aid inventory which could inform a strategy for implementing a framework for state aid control</w:t>
      </w:r>
      <w:r w:rsidR="00EF1EDA">
        <w:t xml:space="preserve">, </w:t>
      </w:r>
      <w:r w:rsidR="00BA7E05">
        <w:t>and</w:t>
      </w:r>
      <w:r w:rsidR="00EF1EDA">
        <w:t xml:space="preserve"> by developing g</w:t>
      </w:r>
      <w:r w:rsidR="00EF1EDA" w:rsidRPr="00701C1E">
        <w:t>uidelines to embed competition in public procurement</w:t>
      </w:r>
      <w:r w:rsidR="00EF1EDA" w:rsidRPr="0042527B">
        <w:rPr>
          <w:rFonts w:asciiTheme="minorHAnsi" w:hAnsiTheme="minorHAnsi" w:cstheme="minorHAnsi"/>
          <w:b/>
        </w:rPr>
        <w:t xml:space="preserve">. </w:t>
      </w:r>
      <w:r w:rsidR="00BA7E05">
        <w:t xml:space="preserve"> </w:t>
      </w:r>
    </w:p>
    <w:p w14:paraId="1066C14C" w14:textId="77777777" w:rsidR="008A1AF3" w:rsidRDefault="008A1AF3" w:rsidP="008A1AF3">
      <w:pPr>
        <w:pStyle w:val="ListParagraph"/>
      </w:pPr>
    </w:p>
    <w:p w14:paraId="429B9F35" w14:textId="534E3809" w:rsidR="00BA7E05" w:rsidRPr="00EB5885" w:rsidRDefault="00F44B78" w:rsidP="00EB5885">
      <w:pPr>
        <w:pStyle w:val="ListParagraph"/>
        <w:numPr>
          <w:ilvl w:val="0"/>
          <w:numId w:val="30"/>
        </w:numPr>
        <w:spacing w:before="200" w:after="200"/>
        <w:jc w:val="both"/>
        <w:rPr>
          <w:b/>
        </w:rPr>
      </w:pPr>
      <w:r>
        <w:rPr>
          <w:b/>
        </w:rPr>
        <w:t>Strengthening the competition law and its</w:t>
      </w:r>
      <w:r w:rsidR="00BA7E05" w:rsidRPr="00EB5885">
        <w:rPr>
          <w:b/>
        </w:rPr>
        <w:t xml:space="preserve"> enforcement</w:t>
      </w:r>
      <w:r w:rsidR="00AA6158">
        <w:rPr>
          <w:b/>
        </w:rPr>
        <w:t xml:space="preserve">: </w:t>
      </w:r>
      <w:r w:rsidR="00AA6158">
        <w:t xml:space="preserve">by developing a methodology to identify </w:t>
      </w:r>
      <w:r w:rsidR="00B9152C">
        <w:t>a</w:t>
      </w:r>
      <w:r w:rsidR="00AA6158">
        <w:t xml:space="preserve">nticompetitive </w:t>
      </w:r>
      <w:r w:rsidR="00B9152C">
        <w:t>a</w:t>
      </w:r>
      <w:r w:rsidR="00AA6158">
        <w:t xml:space="preserve">ctions of </w:t>
      </w:r>
      <w:r w:rsidR="00B9152C">
        <w:t>p</w:t>
      </w:r>
      <w:r w:rsidR="00AA6158">
        <w:t>u</w:t>
      </w:r>
      <w:r w:rsidR="00A96714">
        <w:t xml:space="preserve">blic </w:t>
      </w:r>
      <w:r w:rsidR="00B9152C">
        <w:t>b</w:t>
      </w:r>
      <w:r w:rsidR="00AA6158">
        <w:t>odies</w:t>
      </w:r>
      <w:r w:rsidR="00A96714">
        <w:t xml:space="preserve"> as per the amended Competition Law</w:t>
      </w:r>
      <w:r w:rsidR="00AA6158">
        <w:t xml:space="preserve">, reviewing implementation of provisions for establishing dominance and abuse of dominance, and developing a methodology to determine </w:t>
      </w:r>
      <w:r w:rsidR="006A1CFA">
        <w:t xml:space="preserve">penalties </w:t>
      </w:r>
      <w:r w:rsidR="00AA6158">
        <w:t>that allow for better deterrence.</w:t>
      </w:r>
    </w:p>
    <w:p w14:paraId="67378C11" w14:textId="77777777" w:rsidR="00B9152C" w:rsidRDefault="0031195E" w:rsidP="00B9152C">
      <w:pPr>
        <w:jc w:val="both"/>
      </w:pPr>
      <w:r w:rsidRPr="00EB5885">
        <w:t xml:space="preserve">These three areas could be complemented by developing a National Competition Policy </w:t>
      </w:r>
      <w:r w:rsidR="00AB17DD">
        <w:t xml:space="preserve">(NCP) </w:t>
      </w:r>
      <w:r w:rsidRPr="00EB5885">
        <w:t xml:space="preserve">to </w:t>
      </w:r>
      <w:r w:rsidRPr="00FB409D">
        <w:t>implement a coordinated approach to fo</w:t>
      </w:r>
      <w:r w:rsidRPr="00A96714">
        <w:t>ster competition across sectors/markets.</w:t>
      </w:r>
      <w:r w:rsidR="00B9152C">
        <w:t xml:space="preserve"> </w:t>
      </w:r>
    </w:p>
    <w:p w14:paraId="590563E2" w14:textId="77777777" w:rsidR="00B9152C" w:rsidRDefault="00B9152C" w:rsidP="00B9152C">
      <w:pPr>
        <w:jc w:val="both"/>
        <w:rPr>
          <w:b/>
        </w:rPr>
      </w:pPr>
    </w:p>
    <w:p w14:paraId="3ED5AAAC" w14:textId="1ECFD78A" w:rsidR="00C50D1E" w:rsidRDefault="000F4C6B" w:rsidP="00B9152C">
      <w:pPr>
        <w:pStyle w:val="ListParagraph"/>
        <w:numPr>
          <w:ilvl w:val="0"/>
          <w:numId w:val="34"/>
        </w:numPr>
        <w:ind w:left="0" w:firstLine="0"/>
        <w:jc w:val="both"/>
      </w:pPr>
      <w:r w:rsidRPr="00B9152C">
        <w:t>T</w:t>
      </w:r>
      <w:r w:rsidR="006E193B" w:rsidRPr="00B9152C">
        <w:t xml:space="preserve">his </w:t>
      </w:r>
      <w:r w:rsidR="00F10DCE">
        <w:t>p</w:t>
      </w:r>
      <w:r w:rsidRPr="00B9152C">
        <w:t xml:space="preserve">olicy </w:t>
      </w:r>
      <w:r w:rsidR="00F10DCE">
        <w:t>n</w:t>
      </w:r>
      <w:r w:rsidRPr="00B9152C">
        <w:t xml:space="preserve">ote </w:t>
      </w:r>
      <w:r w:rsidR="006E193B" w:rsidRPr="00B9152C">
        <w:t xml:space="preserve">will provide key findings on the bottlenecks to effective competition in Armenia as they relate to each of these three pillars. It will then provide a proposal for technical support </w:t>
      </w:r>
      <w:r w:rsidR="00E76F47" w:rsidRPr="00B9152C">
        <w:t>to address these areas.</w:t>
      </w:r>
    </w:p>
    <w:p w14:paraId="26014C99" w14:textId="77777777" w:rsidR="005B2F17" w:rsidRDefault="005B2F17" w:rsidP="005B2F17">
      <w:pPr>
        <w:pStyle w:val="ListParagraph"/>
      </w:pPr>
    </w:p>
    <w:p w14:paraId="1AE44155" w14:textId="77777777" w:rsidR="00D4261B" w:rsidRDefault="00D53A9E" w:rsidP="00246D05">
      <w:pPr>
        <w:pStyle w:val="Heading3"/>
        <w:rPr>
          <w:rFonts w:eastAsia="Times New Roman"/>
        </w:rPr>
      </w:pPr>
      <w:bookmarkStart w:id="13" w:name="_Toc11855833"/>
      <w:r>
        <w:rPr>
          <w:rFonts w:eastAsia="Times New Roman"/>
        </w:rPr>
        <w:t xml:space="preserve">Pillar 1. </w:t>
      </w:r>
      <w:r w:rsidR="00D4261B">
        <w:rPr>
          <w:rFonts w:eastAsia="Times New Roman"/>
        </w:rPr>
        <w:t>Opening markets through pro-competition sector regulation</w:t>
      </w:r>
      <w:bookmarkEnd w:id="13"/>
    </w:p>
    <w:p w14:paraId="41AB12C0" w14:textId="268C8394" w:rsidR="00F83553" w:rsidRDefault="00791919" w:rsidP="000451C6">
      <w:pPr>
        <w:spacing w:before="240" w:after="240"/>
        <w:jc w:val="both"/>
        <w:rPr>
          <w:rFonts w:asciiTheme="minorHAnsi" w:eastAsia="Times New Roman" w:hAnsiTheme="minorHAnsi" w:cstheme="minorHAnsi"/>
        </w:rPr>
      </w:pPr>
      <w:r>
        <w:rPr>
          <w:rFonts w:asciiTheme="minorHAnsi" w:eastAsia="Times New Roman" w:hAnsiTheme="minorHAnsi" w:cstheme="minorHAnsi"/>
        </w:rPr>
        <w:t>The following section outlines k</w:t>
      </w:r>
      <w:r w:rsidR="00D4261B">
        <w:rPr>
          <w:rFonts w:asciiTheme="minorHAnsi" w:eastAsia="Times New Roman" w:hAnsiTheme="minorHAnsi" w:cstheme="minorHAnsi"/>
        </w:rPr>
        <w:t>ey f</w:t>
      </w:r>
      <w:r w:rsidR="00F83553" w:rsidRPr="00D4261B">
        <w:rPr>
          <w:rFonts w:asciiTheme="minorHAnsi" w:eastAsia="Times New Roman" w:hAnsiTheme="minorHAnsi" w:cstheme="minorHAnsi"/>
        </w:rPr>
        <w:t>indings concerning</w:t>
      </w:r>
      <w:r w:rsidR="00D4261B">
        <w:rPr>
          <w:rFonts w:asciiTheme="minorHAnsi" w:eastAsia="Times New Roman" w:hAnsiTheme="minorHAnsi" w:cstheme="minorHAnsi"/>
        </w:rPr>
        <w:t xml:space="preserve"> market dynamics </w:t>
      </w:r>
      <w:r w:rsidR="00D4261B" w:rsidRPr="00D4261B">
        <w:rPr>
          <w:rFonts w:asciiTheme="minorHAnsi" w:eastAsia="Times New Roman" w:hAnsiTheme="minorHAnsi" w:cstheme="minorHAnsi"/>
        </w:rPr>
        <w:t>in key sectors</w:t>
      </w:r>
      <w:r w:rsidR="00D4261B">
        <w:rPr>
          <w:rFonts w:asciiTheme="minorHAnsi" w:eastAsia="Times New Roman" w:hAnsiTheme="minorHAnsi" w:cstheme="minorHAnsi"/>
        </w:rPr>
        <w:t xml:space="preserve"> and</w:t>
      </w:r>
      <w:r w:rsidR="00D4261B" w:rsidRPr="00D4261B">
        <w:rPr>
          <w:rFonts w:asciiTheme="minorHAnsi" w:eastAsia="Times New Roman" w:hAnsiTheme="minorHAnsi" w:cstheme="minorHAnsi"/>
        </w:rPr>
        <w:t xml:space="preserve"> constraints to competition</w:t>
      </w:r>
      <w:r w:rsidR="00D4261B">
        <w:rPr>
          <w:rFonts w:asciiTheme="minorHAnsi" w:eastAsia="Times New Roman" w:hAnsiTheme="minorHAnsi" w:cstheme="minorHAnsi"/>
        </w:rPr>
        <w:t xml:space="preserve"> in those sectors</w:t>
      </w:r>
      <w:r>
        <w:rPr>
          <w:rFonts w:asciiTheme="minorHAnsi" w:eastAsia="Times New Roman" w:hAnsiTheme="minorHAnsi" w:cstheme="minorHAnsi"/>
        </w:rPr>
        <w:t xml:space="preserve">. The sectors covered </w:t>
      </w:r>
      <w:r w:rsidR="00FF65B8">
        <w:rPr>
          <w:rFonts w:asciiTheme="minorHAnsi" w:eastAsia="Times New Roman" w:hAnsiTheme="minorHAnsi" w:cstheme="minorHAnsi"/>
        </w:rPr>
        <w:t xml:space="preserve">have been </w:t>
      </w:r>
      <w:r w:rsidR="00B2251F">
        <w:rPr>
          <w:rFonts w:asciiTheme="minorHAnsi" w:eastAsia="Times New Roman" w:hAnsiTheme="minorHAnsi" w:cstheme="minorHAnsi"/>
        </w:rPr>
        <w:t>identified as</w:t>
      </w:r>
      <w:r w:rsidR="005D0BBE">
        <w:rPr>
          <w:rFonts w:asciiTheme="minorHAnsi" w:eastAsia="Times New Roman" w:hAnsiTheme="minorHAnsi" w:cstheme="minorHAnsi"/>
        </w:rPr>
        <w:t xml:space="preserve"> potential</w:t>
      </w:r>
      <w:r w:rsidR="00B2251F">
        <w:rPr>
          <w:rFonts w:asciiTheme="minorHAnsi" w:eastAsia="Times New Roman" w:hAnsiTheme="minorHAnsi" w:cstheme="minorHAnsi"/>
        </w:rPr>
        <w:t xml:space="preserve"> </w:t>
      </w:r>
      <w:r w:rsidR="00B67433">
        <w:rPr>
          <w:rFonts w:asciiTheme="minorHAnsi" w:eastAsia="Times New Roman" w:hAnsiTheme="minorHAnsi" w:cstheme="minorHAnsi"/>
        </w:rPr>
        <w:t>priorities</w:t>
      </w:r>
      <w:r w:rsidR="00B2251F">
        <w:rPr>
          <w:rFonts w:asciiTheme="minorHAnsi" w:eastAsia="Times New Roman" w:hAnsiTheme="minorHAnsi" w:cstheme="minorHAnsi"/>
        </w:rPr>
        <w:t xml:space="preserve"> due to their importance for Armenia’s connectivity (transport and telecoms) or due to their status as promising sectors for export diversification (agribusiness).</w:t>
      </w:r>
      <w:r w:rsidR="005B2F17">
        <w:rPr>
          <w:rFonts w:asciiTheme="minorHAnsi" w:eastAsia="Times New Roman" w:hAnsiTheme="minorHAnsi" w:cstheme="minorHAnsi"/>
        </w:rPr>
        <w:t xml:space="preserve"> It also briefly looks at regulation that limit the possibility of firms to enter markets and compete.  </w:t>
      </w:r>
    </w:p>
    <w:p w14:paraId="5222F797" w14:textId="77777777" w:rsidR="00D4261B" w:rsidRDefault="00D82506" w:rsidP="00246D05">
      <w:pPr>
        <w:pStyle w:val="Heading5"/>
      </w:pPr>
      <w:r>
        <w:t xml:space="preserve">Land transport </w:t>
      </w:r>
      <w:r w:rsidR="00C041FC">
        <w:t>(Rail</w:t>
      </w:r>
      <w:r w:rsidR="008814D1">
        <w:t>)</w:t>
      </w:r>
    </w:p>
    <w:p w14:paraId="22813120" w14:textId="77777777" w:rsidR="00187EEE" w:rsidRDefault="00187EEE" w:rsidP="00FF65B8">
      <w:pPr>
        <w:pStyle w:val="ListBullet"/>
        <w:numPr>
          <w:ilvl w:val="0"/>
          <w:numId w:val="0"/>
        </w:numPr>
        <w:ind w:left="360" w:hanging="360"/>
        <w:jc w:val="both"/>
        <w:rPr>
          <w:b/>
        </w:rPr>
      </w:pPr>
    </w:p>
    <w:p w14:paraId="51466739" w14:textId="109B5316" w:rsidR="00DD6041" w:rsidRDefault="00FE0251" w:rsidP="005C7E91">
      <w:pPr>
        <w:pStyle w:val="ListParagraph"/>
        <w:numPr>
          <w:ilvl w:val="0"/>
          <w:numId w:val="34"/>
        </w:numPr>
        <w:ind w:left="0" w:firstLine="0"/>
        <w:jc w:val="both"/>
      </w:pPr>
      <w:r w:rsidRPr="003301E5">
        <w:rPr>
          <w:b/>
        </w:rPr>
        <w:t xml:space="preserve">The Russian-owned </w:t>
      </w:r>
      <w:r w:rsidR="002624B8" w:rsidRPr="003301E5">
        <w:rPr>
          <w:b/>
        </w:rPr>
        <w:t>South Caucasus Railways (</w:t>
      </w:r>
      <w:r w:rsidRPr="003301E5">
        <w:rPr>
          <w:b/>
        </w:rPr>
        <w:t xml:space="preserve">SCR) is the monopoly </w:t>
      </w:r>
      <w:proofErr w:type="spellStart"/>
      <w:r w:rsidRPr="003301E5">
        <w:rPr>
          <w:b/>
        </w:rPr>
        <w:t>concessionist</w:t>
      </w:r>
      <w:proofErr w:type="spellEnd"/>
      <w:r w:rsidRPr="003301E5">
        <w:rPr>
          <w:b/>
        </w:rPr>
        <w:t xml:space="preserve"> in the operation of</w:t>
      </w:r>
      <w:r w:rsidR="00187EEE">
        <w:rPr>
          <w:b/>
        </w:rPr>
        <w:t xml:space="preserve"> </w:t>
      </w:r>
      <w:r w:rsidRPr="003301E5">
        <w:rPr>
          <w:b/>
        </w:rPr>
        <w:t xml:space="preserve">Armenia’s rail infrastructure </w:t>
      </w:r>
      <w:r>
        <w:t xml:space="preserve">– with a </w:t>
      </w:r>
      <w:r w:rsidR="00287C38" w:rsidRPr="006A3E3A">
        <w:t>concession for a period of 30 years until 2038</w:t>
      </w:r>
      <w:r>
        <w:t>, with the option of extension for another 10 years</w:t>
      </w:r>
      <w:r w:rsidR="00287C38">
        <w:t>.</w:t>
      </w:r>
      <w:r w:rsidR="00287C38" w:rsidRPr="006A3E3A">
        <w:t xml:space="preserve"> </w:t>
      </w:r>
      <w:r>
        <w:t xml:space="preserve">SCR is </w:t>
      </w:r>
      <w:r w:rsidR="00287C38" w:rsidRPr="006A3E3A">
        <w:t xml:space="preserve">responsible for the maintenance of fixed and mobile infrastructure assets, and for the operation of </w:t>
      </w:r>
      <w:r>
        <w:t>both passenger and cargo services</w:t>
      </w:r>
      <w:r w:rsidR="00FF1EAC">
        <w:t xml:space="preserve">. </w:t>
      </w:r>
      <w:bookmarkStart w:id="14" w:name="_Hlk526113233"/>
      <w:r w:rsidR="004A42D3" w:rsidRPr="004A42D3">
        <w:rPr>
          <w:rFonts w:cs="Times New Roman"/>
        </w:rPr>
        <w:t>While in principle provisions for open access to rail infrastructure exists</w:t>
      </w:r>
      <w:r w:rsidR="00487688">
        <w:rPr>
          <w:rStyle w:val="FootnoteReference"/>
          <w:rFonts w:cs="Times New Roman"/>
        </w:rPr>
        <w:footnoteReference w:id="11"/>
      </w:r>
      <w:r w:rsidR="004A42D3" w:rsidRPr="004A42D3">
        <w:rPr>
          <w:rFonts w:cs="Times New Roman"/>
        </w:rPr>
        <w:t xml:space="preserve">, methods for calculation of access charges and the actual charges have not yet been </w:t>
      </w:r>
      <w:r w:rsidR="004A42D3" w:rsidRPr="0072412C">
        <w:t>published</w:t>
      </w:r>
      <w:r w:rsidR="004A42D3" w:rsidRPr="004A42D3">
        <w:rPr>
          <w:rFonts w:cs="Times New Roman"/>
        </w:rPr>
        <w:t xml:space="preserve"> </w:t>
      </w:r>
      <w:r w:rsidR="00D75947">
        <w:rPr>
          <w:rFonts w:cs="Times New Roman"/>
        </w:rPr>
        <w:t xml:space="preserve">by </w:t>
      </w:r>
      <w:r w:rsidR="004A42D3" w:rsidRPr="004A42D3">
        <w:rPr>
          <w:rFonts w:cs="Times New Roman"/>
        </w:rPr>
        <w:t>the regulator (</w:t>
      </w:r>
      <w:r w:rsidR="004A42D3">
        <w:t>Public Services Regulatory Commission, PSRC)</w:t>
      </w:r>
      <w:r w:rsidR="001641B1" w:rsidRPr="001641B1">
        <w:t xml:space="preserve"> </w:t>
      </w:r>
      <w:r w:rsidR="001641B1" w:rsidRPr="00C733E5">
        <w:t xml:space="preserve">and this could be done </w:t>
      </w:r>
      <w:r w:rsidR="001641B1" w:rsidRPr="00C733E5">
        <w:rPr>
          <w:rFonts w:asciiTheme="minorHAnsi" w:hAnsiTheme="minorHAnsi" w:cstheme="minorHAnsi"/>
        </w:rPr>
        <w:t>only on a request of the infrastructure operator</w:t>
      </w:r>
      <w:r w:rsidR="001641B1">
        <w:rPr>
          <w:rFonts w:asciiTheme="minorHAnsi" w:hAnsiTheme="minorHAnsi" w:cstheme="minorHAnsi"/>
        </w:rPr>
        <w:t xml:space="preserve">. </w:t>
      </w:r>
      <w:r w:rsidR="00472914">
        <w:rPr>
          <w:rFonts w:asciiTheme="minorHAnsi" w:hAnsiTheme="minorHAnsi" w:cstheme="minorHAnsi"/>
        </w:rPr>
        <w:t>In addition,</w:t>
      </w:r>
      <w:r w:rsidR="004A42D3" w:rsidRPr="004A42D3">
        <w:rPr>
          <w:rFonts w:cs="Times New Roman"/>
        </w:rPr>
        <w:t xml:space="preserve"> no competitor has been</w:t>
      </w:r>
      <w:bookmarkEnd w:id="14"/>
      <w:r w:rsidR="004A42D3">
        <w:rPr>
          <w:rFonts w:cs="Times New Roman"/>
        </w:rPr>
        <w:t xml:space="preserve"> </w:t>
      </w:r>
      <w:r w:rsidR="001641B1">
        <w:rPr>
          <w:rFonts w:cs="Times New Roman"/>
        </w:rPr>
        <w:t xml:space="preserve">yet </w:t>
      </w:r>
      <w:r w:rsidR="004A42D3">
        <w:rPr>
          <w:rFonts w:cs="Times New Roman"/>
        </w:rPr>
        <w:t>licensed</w:t>
      </w:r>
      <w:r w:rsidR="002C75ED">
        <w:rPr>
          <w:rFonts w:cs="Times New Roman"/>
        </w:rPr>
        <w:t>.</w:t>
      </w:r>
      <w:r w:rsidR="001641B1">
        <w:rPr>
          <w:rStyle w:val="FootnoteReference"/>
          <w:rFonts w:cs="Times New Roman"/>
        </w:rPr>
        <w:footnoteReference w:id="12"/>
      </w:r>
      <w:r w:rsidR="00C51921">
        <w:t xml:space="preserve"> </w:t>
      </w:r>
    </w:p>
    <w:p w14:paraId="73587182" w14:textId="77777777" w:rsidR="005C7E91" w:rsidRPr="005C7E91" w:rsidRDefault="005C7E91" w:rsidP="005C7E91">
      <w:pPr>
        <w:pStyle w:val="ListParagraph"/>
        <w:rPr>
          <w:b/>
        </w:rPr>
      </w:pPr>
    </w:p>
    <w:p w14:paraId="23077181" w14:textId="4A8ACCEC" w:rsidR="005C7E91" w:rsidRDefault="00FE0251" w:rsidP="005C7E91">
      <w:pPr>
        <w:pStyle w:val="ListParagraph"/>
        <w:numPr>
          <w:ilvl w:val="0"/>
          <w:numId w:val="34"/>
        </w:numPr>
        <w:ind w:left="0" w:firstLine="0"/>
        <w:jc w:val="both"/>
      </w:pPr>
      <w:r w:rsidRPr="005C7E91">
        <w:rPr>
          <w:b/>
        </w:rPr>
        <w:t xml:space="preserve">SCR’s pricing structure </w:t>
      </w:r>
      <w:r w:rsidR="00DB609E" w:rsidRPr="005C7E91">
        <w:rPr>
          <w:b/>
        </w:rPr>
        <w:t xml:space="preserve">does </w:t>
      </w:r>
      <w:r w:rsidRPr="005C7E91">
        <w:rPr>
          <w:b/>
        </w:rPr>
        <w:t xml:space="preserve">not meet the requirements of Armenia industry since SCR sets its charges </w:t>
      </w:r>
      <w:proofErr w:type="gramStart"/>
      <w:r w:rsidRPr="005C7E91">
        <w:rPr>
          <w:b/>
        </w:rPr>
        <w:t>on the basis of</w:t>
      </w:r>
      <w:proofErr w:type="gramEnd"/>
      <w:r w:rsidRPr="005C7E91">
        <w:rPr>
          <w:b/>
        </w:rPr>
        <w:t xml:space="preserve"> space only rather than based on weight. </w:t>
      </w:r>
      <w:r w:rsidR="00694953">
        <w:t xml:space="preserve">This </w:t>
      </w:r>
      <w:r w:rsidR="00187EEE">
        <w:t xml:space="preserve">price model </w:t>
      </w:r>
      <w:r w:rsidR="00694953">
        <w:t>is not well suited to Armenia’s demands, g</w:t>
      </w:r>
      <w:r>
        <w:t>iven the make-up of Armenia</w:t>
      </w:r>
      <w:r w:rsidR="00694953">
        <w:t>n</w:t>
      </w:r>
      <w:r>
        <w:t xml:space="preserve"> trade (with Armenia importing low val</w:t>
      </w:r>
      <w:r w:rsidR="00694953">
        <w:t>ue/</w:t>
      </w:r>
      <w:r>
        <w:t>high volume goods and</w:t>
      </w:r>
      <w:r w:rsidR="004E2DA6">
        <w:t xml:space="preserve"> aspiring to grow its</w:t>
      </w:r>
      <w:r>
        <w:t xml:space="preserve"> </w:t>
      </w:r>
      <w:r w:rsidR="004E2DA6">
        <w:t xml:space="preserve">exports of </w:t>
      </w:r>
      <w:r>
        <w:t>high v</w:t>
      </w:r>
      <w:r w:rsidR="00694953">
        <w:t>alue/</w:t>
      </w:r>
      <w:r>
        <w:t>low volume goods</w:t>
      </w:r>
      <w:r w:rsidR="004E2DA6">
        <w:t xml:space="preserve">, such </w:t>
      </w:r>
      <w:r w:rsidR="00083742">
        <w:t>as wine, brandy,</w:t>
      </w:r>
      <w:r w:rsidR="004E2DA6">
        <w:t xml:space="preserve"> and other </w:t>
      </w:r>
      <w:proofErr w:type="spellStart"/>
      <w:r w:rsidR="004E2DA6">
        <w:t>agroprocessing</w:t>
      </w:r>
      <w:proofErr w:type="spellEnd"/>
      <w:r w:rsidR="004E2DA6">
        <w:t xml:space="preserve"> products</w:t>
      </w:r>
      <w:r>
        <w:t xml:space="preserve">), </w:t>
      </w:r>
      <w:r w:rsidR="00694953">
        <w:t xml:space="preserve">where </w:t>
      </w:r>
      <w:r>
        <w:t xml:space="preserve">transport in 40ft containers is required for imports, while the country’s exports are better suited to 20ft containers. </w:t>
      </w:r>
      <w:r w:rsidR="00694953">
        <w:t>Thus</w:t>
      </w:r>
      <w:r w:rsidR="004535C5">
        <w:t>,</w:t>
      </w:r>
      <w:r w:rsidR="00694953">
        <w:t xml:space="preserve"> Armenian importers</w:t>
      </w:r>
      <w:r w:rsidR="00D32310">
        <w:t xml:space="preserve"> using rail </w:t>
      </w:r>
      <w:r w:rsidR="00694953">
        <w:t>must pay double the price for transport of the same weight.</w:t>
      </w:r>
      <w:r w:rsidR="004535C5">
        <w:t xml:space="preserve"> The cost implication of this is compounded by the fact that shipping company rules do not allow containers to stay in Armenia for more than 28 days. </w:t>
      </w:r>
      <w:r w:rsidR="009F58C6">
        <w:t>Given</w:t>
      </w:r>
      <w:r w:rsidR="004535C5">
        <w:t xml:space="preserve"> difficult</w:t>
      </w:r>
      <w:r w:rsidR="009F58C6">
        <w:t>ies in</w:t>
      </w:r>
      <w:r w:rsidR="004535C5">
        <w:t xml:space="preserve"> fill</w:t>
      </w:r>
      <w:r w:rsidR="009F58C6">
        <w:t>ing</w:t>
      </w:r>
      <w:r w:rsidR="004535C5">
        <w:t xml:space="preserve"> a </w:t>
      </w:r>
      <w:r w:rsidR="009F58C6">
        <w:t>40ft container, these containers often return partially filled.</w:t>
      </w:r>
      <w:r w:rsidR="00797892">
        <w:t xml:space="preserve"> Market players reported that </w:t>
      </w:r>
      <w:r w:rsidR="00797892" w:rsidRPr="00246D05">
        <w:t>there is scope in the market for a second rail operator that could differentiate itself on its service and pricing model to fit Armenian needs.</w:t>
      </w:r>
    </w:p>
    <w:p w14:paraId="6F9A1D47" w14:textId="77777777" w:rsidR="005C7E91" w:rsidRPr="005C7E91" w:rsidRDefault="005C7E91" w:rsidP="005C7E91">
      <w:pPr>
        <w:pStyle w:val="ListParagraph"/>
        <w:rPr>
          <w:b/>
        </w:rPr>
      </w:pPr>
    </w:p>
    <w:p w14:paraId="06622E93" w14:textId="42F4BDFC" w:rsidR="005C7E91" w:rsidRDefault="000F3EBB" w:rsidP="004631D9">
      <w:pPr>
        <w:pStyle w:val="ListParagraph"/>
        <w:numPr>
          <w:ilvl w:val="0"/>
          <w:numId w:val="34"/>
        </w:numPr>
        <w:ind w:left="0" w:firstLine="0"/>
        <w:jc w:val="both"/>
      </w:pPr>
      <w:r>
        <w:rPr>
          <w:b/>
        </w:rPr>
        <w:t>U</w:t>
      </w:r>
      <w:r w:rsidRPr="008455AF">
        <w:rPr>
          <w:b/>
        </w:rPr>
        <w:t xml:space="preserve">sage of rail </w:t>
      </w:r>
      <w:r>
        <w:rPr>
          <w:b/>
        </w:rPr>
        <w:t>in Armenia has been</w:t>
      </w:r>
      <w:r w:rsidRPr="008455AF">
        <w:rPr>
          <w:b/>
        </w:rPr>
        <w:t xml:space="preserve"> declining in favor of road freight.</w:t>
      </w:r>
      <w:r>
        <w:t xml:space="preserve"> The SCR-operated railway connects Armenia to </w:t>
      </w:r>
      <w:proofErr w:type="spellStart"/>
      <w:r w:rsidRPr="003301E5">
        <w:t>Poti</w:t>
      </w:r>
      <w:proofErr w:type="spellEnd"/>
      <w:r w:rsidRPr="003301E5">
        <w:t xml:space="preserve"> Port</w:t>
      </w:r>
      <w:r>
        <w:t xml:space="preserve"> in Georgia which then allows for a route to Russia. In this sense, SCR does face some competitive pressure from trucks on the route from Armenia to Georgia. Stakeholders in the logistic sector report that rail tariffs in Armenia increased by three times in the past year and private sector players expressed concerns over the quality of service, in terms of delays, reliability and safety, with trucking becoming relatively more competitive compared to rail in terms of quality, price and cost structure. </w:t>
      </w:r>
      <w:r w:rsidR="00F2315D">
        <w:t>Logistics</w:t>
      </w:r>
      <w:r w:rsidR="00DB609E">
        <w:t xml:space="preserve"> sector </w:t>
      </w:r>
      <w:r w:rsidR="00F2315D">
        <w:t xml:space="preserve">market players </w:t>
      </w:r>
      <w:r w:rsidR="00DB609E">
        <w:t xml:space="preserve">report that </w:t>
      </w:r>
      <w:r w:rsidR="008455AF" w:rsidRPr="008455AF">
        <w:t>SCR is now considering reducing prices for 40ft containers only after Georgian truckers recently offered a better deal on these containers.</w:t>
      </w:r>
      <w:r w:rsidR="004A723C">
        <w:t xml:space="preserve"> </w:t>
      </w:r>
      <w:r w:rsidR="00BF65C9">
        <w:t xml:space="preserve">However, these </w:t>
      </w:r>
      <w:r w:rsidR="00287C38">
        <w:t>negotiation</w:t>
      </w:r>
      <w:r w:rsidR="008455AF">
        <w:t>s on price appear</w:t>
      </w:r>
      <w:r w:rsidR="00287C38">
        <w:t xml:space="preserve"> to occur through associations –</w:t>
      </w:r>
      <w:r w:rsidR="004A42D3">
        <w:t xml:space="preserve"> </w:t>
      </w:r>
      <w:r w:rsidR="00287C38">
        <w:t xml:space="preserve">e.g. through the Association of </w:t>
      </w:r>
      <w:r w:rsidR="004A42D3">
        <w:t>Freight</w:t>
      </w:r>
      <w:r w:rsidR="00287C38">
        <w:t xml:space="preserve"> Forwarders and the </w:t>
      </w:r>
      <w:r w:rsidR="004A42D3">
        <w:t>Union</w:t>
      </w:r>
      <w:r w:rsidR="00287C38">
        <w:t xml:space="preserve"> </w:t>
      </w:r>
      <w:r w:rsidR="004A42D3">
        <w:t xml:space="preserve">of Business and Manufacturers of </w:t>
      </w:r>
      <w:r w:rsidR="004A42D3" w:rsidRPr="00DF14B7">
        <w:t>Armenia</w:t>
      </w:r>
      <w:r w:rsidR="005C7E91">
        <w:t xml:space="preserve">. </w:t>
      </w:r>
    </w:p>
    <w:p w14:paraId="7FA16197" w14:textId="77777777" w:rsidR="005C7E91" w:rsidRPr="005C7E91" w:rsidRDefault="005C7E91" w:rsidP="005C7E91">
      <w:pPr>
        <w:pStyle w:val="ListParagraph"/>
        <w:rPr>
          <w:b/>
        </w:rPr>
      </w:pPr>
    </w:p>
    <w:p w14:paraId="6D29D3CA" w14:textId="77777777" w:rsidR="005C7E91" w:rsidRDefault="00800DB7" w:rsidP="005C7E91">
      <w:pPr>
        <w:pStyle w:val="ListParagraph"/>
        <w:numPr>
          <w:ilvl w:val="0"/>
          <w:numId w:val="34"/>
        </w:numPr>
        <w:ind w:left="0" w:firstLine="0"/>
        <w:jc w:val="both"/>
      </w:pPr>
      <w:r w:rsidRPr="005C7E91">
        <w:rPr>
          <w:b/>
        </w:rPr>
        <w:t>SCR appears</w:t>
      </w:r>
      <w:r w:rsidR="004A723C" w:rsidRPr="005C7E91">
        <w:rPr>
          <w:b/>
        </w:rPr>
        <w:t xml:space="preserve"> to have broad </w:t>
      </w:r>
      <w:r w:rsidR="0006416D" w:rsidRPr="005C7E91">
        <w:rPr>
          <w:b/>
        </w:rPr>
        <w:t>discretion</w:t>
      </w:r>
      <w:r w:rsidR="004A723C" w:rsidRPr="005C7E91">
        <w:rPr>
          <w:b/>
        </w:rPr>
        <w:t xml:space="preserve"> to set its tariffs</w:t>
      </w:r>
      <w:r w:rsidR="00912A8C">
        <w:rPr>
          <w:rStyle w:val="FootnoteReference"/>
          <w:b/>
        </w:rPr>
        <w:footnoteReference w:id="13"/>
      </w:r>
      <w:r w:rsidR="004A723C" w:rsidRPr="00DF14B7">
        <w:t xml:space="preserve">. </w:t>
      </w:r>
      <w:r w:rsidR="008A00FA">
        <w:t>The P</w:t>
      </w:r>
      <w:r w:rsidR="004A723C" w:rsidRPr="00DF14B7">
        <w:t>SRC indicated that it views its role in the rail sector as being focused</w:t>
      </w:r>
      <w:r w:rsidR="0006416D" w:rsidRPr="00DF14B7">
        <w:t xml:space="preserve"> almost exclusively</w:t>
      </w:r>
      <w:r w:rsidR="004A723C" w:rsidRPr="00DF14B7">
        <w:t xml:space="preserve"> on regulating adherence to investment commitments under the concession agreement</w:t>
      </w:r>
      <w:r w:rsidR="00DF14B7">
        <w:t>, rather than on tariff regulation</w:t>
      </w:r>
      <w:r w:rsidR="004A723C" w:rsidRPr="00DF14B7">
        <w:t>.</w:t>
      </w:r>
      <w:r w:rsidR="00AD6520">
        <w:t xml:space="preserve"> There also appears to be a lack of </w:t>
      </w:r>
      <w:r w:rsidR="00AD6520" w:rsidRPr="000451C6">
        <w:t>regulation of standards</w:t>
      </w:r>
      <w:r w:rsidR="00C8621C" w:rsidRPr="000451C6">
        <w:t xml:space="preserve"> and performance, with no</w:t>
      </w:r>
      <w:r w:rsidR="00AD6520" w:rsidRPr="000451C6">
        <w:t xml:space="preserve"> penalties for non-performance</w:t>
      </w:r>
      <w:r w:rsidR="00C8621C" w:rsidRPr="000451C6">
        <w:t>.</w:t>
      </w:r>
      <w:r w:rsidR="00C8621C">
        <w:rPr>
          <w:rStyle w:val="FootnoteReference"/>
        </w:rPr>
        <w:footnoteReference w:id="14"/>
      </w:r>
    </w:p>
    <w:p w14:paraId="78AEE8FC" w14:textId="77777777" w:rsidR="005C7E91" w:rsidRPr="005C7E91" w:rsidRDefault="005C7E91" w:rsidP="005C7E91">
      <w:pPr>
        <w:pStyle w:val="ListParagraph"/>
        <w:rPr>
          <w:b/>
        </w:rPr>
      </w:pPr>
    </w:p>
    <w:p w14:paraId="009011D8" w14:textId="77777777" w:rsidR="008814D1" w:rsidRDefault="008814D1" w:rsidP="00F2315D">
      <w:pPr>
        <w:pStyle w:val="ListBullet"/>
        <w:numPr>
          <w:ilvl w:val="0"/>
          <w:numId w:val="0"/>
        </w:numPr>
        <w:ind w:left="360"/>
        <w:jc w:val="both"/>
      </w:pPr>
    </w:p>
    <w:p w14:paraId="67BFCB6F" w14:textId="1B3063F8" w:rsidR="00752941" w:rsidRDefault="00806FA4" w:rsidP="005C7E91">
      <w:pPr>
        <w:pStyle w:val="ListParagraph"/>
        <w:numPr>
          <w:ilvl w:val="0"/>
          <w:numId w:val="34"/>
        </w:numPr>
        <w:ind w:left="0" w:firstLine="0"/>
        <w:jc w:val="both"/>
      </w:pPr>
      <w:r>
        <w:rPr>
          <w:b/>
        </w:rPr>
        <w:t>Providing for</w:t>
      </w:r>
      <w:r w:rsidR="007A15E9">
        <w:rPr>
          <w:b/>
        </w:rPr>
        <w:t xml:space="preserve"> </w:t>
      </w:r>
      <w:r w:rsidR="003659F6">
        <w:rPr>
          <w:b/>
        </w:rPr>
        <w:t>a</w:t>
      </w:r>
      <w:r w:rsidR="00BD51EB" w:rsidRPr="00E243AD">
        <w:rPr>
          <w:b/>
        </w:rPr>
        <w:t xml:space="preserve">ccess to </w:t>
      </w:r>
      <w:r w:rsidR="00752941">
        <w:rPr>
          <w:b/>
        </w:rPr>
        <w:t>infrastructure</w:t>
      </w:r>
      <w:r w:rsidR="0071243C">
        <w:rPr>
          <w:b/>
        </w:rPr>
        <w:t xml:space="preserve"> </w:t>
      </w:r>
      <w:r w:rsidR="008A247A">
        <w:rPr>
          <w:b/>
        </w:rPr>
        <w:t>by</w:t>
      </w:r>
      <w:r>
        <w:rPr>
          <w:b/>
        </w:rPr>
        <w:t xml:space="preserve"> new </w:t>
      </w:r>
      <w:r w:rsidR="006D31DD">
        <w:rPr>
          <w:b/>
        </w:rPr>
        <w:t xml:space="preserve">cargo and passenger </w:t>
      </w:r>
      <w:r w:rsidR="003659F6">
        <w:rPr>
          <w:b/>
        </w:rPr>
        <w:t xml:space="preserve">rail </w:t>
      </w:r>
      <w:r w:rsidR="0071243C">
        <w:rPr>
          <w:b/>
        </w:rPr>
        <w:t>operators</w:t>
      </w:r>
      <w:r w:rsidR="003659F6">
        <w:rPr>
          <w:b/>
        </w:rPr>
        <w:t xml:space="preserve"> under clear terms </w:t>
      </w:r>
      <w:r>
        <w:rPr>
          <w:b/>
        </w:rPr>
        <w:t>can improve competition dynamics</w:t>
      </w:r>
      <w:r w:rsidR="00BD51EB" w:rsidRPr="00E243AD">
        <w:rPr>
          <w:b/>
        </w:rPr>
        <w:t>.</w:t>
      </w:r>
      <w:r w:rsidR="00E243AD" w:rsidRPr="00752941">
        <w:t xml:space="preserve"> </w:t>
      </w:r>
      <w:r w:rsidR="00E243AD" w:rsidRPr="00E243AD">
        <w:t>There are three different modes of competition in the rail sector</w:t>
      </w:r>
      <w:r w:rsidR="00752941">
        <w:t>: (i)</w:t>
      </w:r>
      <w:r w:rsidR="00E243AD" w:rsidRPr="00E243AD">
        <w:t xml:space="preserve"> </w:t>
      </w:r>
      <w:r w:rsidR="00752941" w:rsidRPr="003659F6">
        <w:rPr>
          <w:i/>
        </w:rPr>
        <w:t>c</w:t>
      </w:r>
      <w:r w:rsidR="00E243AD" w:rsidRPr="003659F6">
        <w:rPr>
          <w:i/>
        </w:rPr>
        <w:t>ompetition in-the-market</w:t>
      </w:r>
      <w:r w:rsidR="00E243AD" w:rsidRPr="00E243AD">
        <w:t xml:space="preserve"> between vertically-integrated rail companies</w:t>
      </w:r>
      <w:r w:rsidR="00E243AD">
        <w:t xml:space="preserve"> </w:t>
      </w:r>
      <w:r w:rsidR="003659F6">
        <w:t>(</w:t>
      </w:r>
      <w:r w:rsidR="00E243AD" w:rsidRPr="00E243AD">
        <w:t>In North America</w:t>
      </w:r>
      <w:r w:rsidR="00E243AD">
        <w:t xml:space="preserve"> </w:t>
      </w:r>
      <w:r w:rsidR="003659F6">
        <w:t xml:space="preserve">- </w:t>
      </w:r>
      <w:r w:rsidR="00E243AD">
        <w:t>US, Canada</w:t>
      </w:r>
      <w:r w:rsidR="003659F6">
        <w:t xml:space="preserve"> -</w:t>
      </w:r>
      <w:r w:rsidR="00E243AD" w:rsidRPr="00E243AD">
        <w:t xml:space="preserve"> it has been possible to sustain </w:t>
      </w:r>
      <w:r w:rsidR="00E243AD">
        <w:t xml:space="preserve">such type of competition </w:t>
      </w:r>
      <w:r w:rsidR="00E243AD" w:rsidRPr="00E243AD">
        <w:t>between vertically-integrated railroads</w:t>
      </w:r>
      <w:r w:rsidR="003659F6">
        <w:t>);</w:t>
      </w:r>
      <w:r w:rsidR="00E243AD">
        <w:t xml:space="preserve"> </w:t>
      </w:r>
      <w:r w:rsidR="00752941">
        <w:t xml:space="preserve">(ii) </w:t>
      </w:r>
      <w:r w:rsidR="003659F6" w:rsidRPr="003659F6">
        <w:rPr>
          <w:i/>
        </w:rPr>
        <w:t>c</w:t>
      </w:r>
      <w:r w:rsidR="00E243AD" w:rsidRPr="003659F6">
        <w:rPr>
          <w:i/>
        </w:rPr>
        <w:t>ompetition in-the-market</w:t>
      </w:r>
      <w:r w:rsidR="00E243AD" w:rsidRPr="00E243AD">
        <w:t xml:space="preserve"> between train operating companies with mandated access to track infrastructure</w:t>
      </w:r>
      <w:r w:rsidR="003659F6">
        <w:t xml:space="preserve"> (</w:t>
      </w:r>
      <w:r w:rsidR="00E243AD">
        <w:t xml:space="preserve">in use in Europe and </w:t>
      </w:r>
      <w:r w:rsidR="003659F6">
        <w:t>Australia);</w:t>
      </w:r>
      <w:r w:rsidR="00E243AD">
        <w:t xml:space="preserve"> </w:t>
      </w:r>
      <w:r w:rsidR="003659F6">
        <w:t>a</w:t>
      </w:r>
      <w:r w:rsidR="00E243AD">
        <w:t xml:space="preserve">nd </w:t>
      </w:r>
      <w:r w:rsidR="00752941">
        <w:t xml:space="preserve">(iii) </w:t>
      </w:r>
      <w:r w:rsidR="003659F6" w:rsidRPr="003659F6">
        <w:rPr>
          <w:i/>
        </w:rPr>
        <w:t>c</w:t>
      </w:r>
      <w:r w:rsidR="00E243AD" w:rsidRPr="003659F6">
        <w:rPr>
          <w:i/>
        </w:rPr>
        <w:t>ompetition for-the-market</w:t>
      </w:r>
      <w:r w:rsidR="00E243AD" w:rsidRPr="00E243AD">
        <w:t xml:space="preserve"> </w:t>
      </w:r>
      <w:r w:rsidR="00AD31AB">
        <w:t>when providers of rail service</w:t>
      </w:r>
      <w:r w:rsidR="000B0120">
        <w:t xml:space="preserve"> providers to </w:t>
      </w:r>
      <w:r w:rsidR="00AD31AB">
        <w:t>bid to obtain an exclusive franchise on a specific destination pair (</w:t>
      </w:r>
      <w:r w:rsidR="0056660B">
        <w:t>commuter services in the Nethe</w:t>
      </w:r>
      <w:r w:rsidR="000B0120">
        <w:t>rland</w:t>
      </w:r>
      <w:r w:rsidR="0056660B">
        <w:t>, Germany and Sweden)</w:t>
      </w:r>
      <w:r w:rsidR="000F4C6B">
        <w:t>.</w:t>
      </w:r>
      <w:r w:rsidR="000B0120">
        <w:rPr>
          <w:rStyle w:val="FootnoteReference"/>
        </w:rPr>
        <w:footnoteReference w:id="15"/>
      </w:r>
      <w:r w:rsidR="00C246B1">
        <w:t xml:space="preserve"> </w:t>
      </w:r>
      <w:r w:rsidR="00C246B1">
        <w:fldChar w:fldCharType="begin"/>
      </w:r>
      <w:r w:rsidR="00C246B1">
        <w:instrText xml:space="preserve"> REF _Ref11842099 \h  \* MERGEFORMAT </w:instrText>
      </w:r>
      <w:r w:rsidR="00C246B1">
        <w:fldChar w:fldCharType="separate"/>
      </w:r>
      <w:r w:rsidR="00A31FAC" w:rsidRPr="00383CD1">
        <w:t>Table 1</w:t>
      </w:r>
      <w:r w:rsidR="00C246B1">
        <w:fldChar w:fldCharType="end"/>
      </w:r>
      <w:r w:rsidR="00C246B1">
        <w:t xml:space="preserve"> provides an overview of different modes and degree of market opening in comparator countries based on information available in the OECD Product Market Regulation Database</w:t>
      </w:r>
      <w:r w:rsidR="00C246B1">
        <w:rPr>
          <w:rStyle w:val="FootnoteReference"/>
        </w:rPr>
        <w:footnoteReference w:id="16"/>
      </w:r>
      <w:r w:rsidR="00C246B1">
        <w:t>.</w:t>
      </w:r>
      <w:r w:rsidR="000B0120">
        <w:t xml:space="preserve"> </w:t>
      </w:r>
      <w:r w:rsidR="00752941">
        <w:t xml:space="preserve">In Armenia there is no competing </w:t>
      </w:r>
      <w:r w:rsidR="001E15DA">
        <w:t>railroad</w:t>
      </w:r>
      <w:r w:rsidR="00752941">
        <w:t xml:space="preserve"> </w:t>
      </w:r>
      <w:r w:rsidR="001E15DA">
        <w:t>infrastructure</w:t>
      </w:r>
      <w:r w:rsidR="00752941">
        <w:t xml:space="preserve"> to allow for </w:t>
      </w:r>
      <w:r w:rsidR="0071243C">
        <w:t>competition between vertically integrated railroads</w:t>
      </w:r>
      <w:r w:rsidR="00752941">
        <w:t xml:space="preserve">. Further, there is </w:t>
      </w:r>
      <w:r w:rsidR="0071243C">
        <w:t>no</w:t>
      </w:r>
      <w:r w:rsidR="008F6C81">
        <w:t xml:space="preserve"> prospect of</w:t>
      </w:r>
      <w:r w:rsidR="00752941">
        <w:t xml:space="preserve"> competition for the market </w:t>
      </w:r>
      <w:r w:rsidR="008F6C81">
        <w:t xml:space="preserve">in the medium term </w:t>
      </w:r>
      <w:r w:rsidR="00752941">
        <w:t xml:space="preserve">as the concession agreement has been awarded to a </w:t>
      </w:r>
      <w:proofErr w:type="spellStart"/>
      <w:r w:rsidR="007A15E9">
        <w:t>concessionist</w:t>
      </w:r>
      <w:proofErr w:type="spellEnd"/>
      <w:r w:rsidR="007A15E9">
        <w:t xml:space="preserve"> </w:t>
      </w:r>
      <w:r w:rsidR="00752941">
        <w:t xml:space="preserve">for the period of 30 </w:t>
      </w:r>
      <w:r w:rsidR="001777D9">
        <w:t>years plus</w:t>
      </w:r>
      <w:r w:rsidR="00752941">
        <w:t xml:space="preserve"> </w:t>
      </w:r>
      <w:r w:rsidR="001777D9">
        <w:t xml:space="preserve">a </w:t>
      </w:r>
      <w:proofErr w:type="gramStart"/>
      <w:r w:rsidR="00752941">
        <w:t>10 year</w:t>
      </w:r>
      <w:proofErr w:type="gramEnd"/>
      <w:r w:rsidR="001777D9">
        <w:t xml:space="preserve"> extension</w:t>
      </w:r>
      <w:r w:rsidR="00752941">
        <w:t xml:space="preserve">. </w:t>
      </w:r>
      <w:r w:rsidR="006554C8">
        <w:t>And while, in theory</w:t>
      </w:r>
      <w:r w:rsidR="00A84256">
        <w:t xml:space="preserve">, the </w:t>
      </w:r>
      <w:r w:rsidR="00197644">
        <w:t>law</w:t>
      </w:r>
      <w:r w:rsidR="00A84256">
        <w:t xml:space="preserve"> allows for access by third party operators,</w:t>
      </w:r>
      <w:r w:rsidR="00197644">
        <w:t xml:space="preserve"> </w:t>
      </w:r>
      <w:r w:rsidR="00197644" w:rsidRPr="004A42D3">
        <w:rPr>
          <w:rFonts w:cs="Times New Roman"/>
        </w:rPr>
        <w:t xml:space="preserve">methods for calculation of access charges have not yet been </w:t>
      </w:r>
      <w:r w:rsidR="00197644" w:rsidRPr="0072412C">
        <w:t>published</w:t>
      </w:r>
      <w:r w:rsidR="00197644" w:rsidRPr="004A42D3">
        <w:rPr>
          <w:rFonts w:cs="Times New Roman"/>
        </w:rPr>
        <w:t xml:space="preserve"> </w:t>
      </w:r>
      <w:r w:rsidR="00197644">
        <w:rPr>
          <w:rFonts w:cs="Times New Roman"/>
        </w:rPr>
        <w:t xml:space="preserve">by </w:t>
      </w:r>
      <w:r w:rsidR="00197644" w:rsidRPr="004A42D3">
        <w:rPr>
          <w:rFonts w:cs="Times New Roman"/>
        </w:rPr>
        <w:t>the regulator</w:t>
      </w:r>
      <w:r w:rsidR="00F00F1C">
        <w:rPr>
          <w:rFonts w:cs="Times New Roman"/>
        </w:rPr>
        <w:t xml:space="preserve"> and this requires a request by the current </w:t>
      </w:r>
      <w:proofErr w:type="spellStart"/>
      <w:r w:rsidR="00F00F1C">
        <w:rPr>
          <w:rFonts w:cs="Times New Roman"/>
        </w:rPr>
        <w:t>concessionist</w:t>
      </w:r>
      <w:proofErr w:type="spellEnd"/>
      <w:r w:rsidR="00F00F1C">
        <w:rPr>
          <w:rFonts w:cs="Times New Roman"/>
        </w:rPr>
        <w:t>.</w:t>
      </w:r>
      <w:r w:rsidR="00A84256">
        <w:t xml:space="preserve"> </w:t>
      </w:r>
      <w:r w:rsidR="006554C8">
        <w:t xml:space="preserve"> </w:t>
      </w:r>
      <w:r w:rsidR="005D5067">
        <w:t>Thus</w:t>
      </w:r>
      <w:r w:rsidR="003659F6">
        <w:t>,</w:t>
      </w:r>
      <w:r w:rsidR="00752941">
        <w:t xml:space="preserve"> it is important</w:t>
      </w:r>
      <w:r w:rsidR="000D4C1E">
        <w:t xml:space="preserve"> for Armenia</w:t>
      </w:r>
      <w:r w:rsidR="00752941">
        <w:t xml:space="preserve"> to further focus on </w:t>
      </w:r>
      <w:r w:rsidR="0071243C">
        <w:t xml:space="preserve">regulating </w:t>
      </w:r>
      <w:r w:rsidR="00752941">
        <w:t>access</w:t>
      </w:r>
      <w:r w:rsidR="000B0120">
        <w:t xml:space="preserve"> to service providers</w:t>
      </w:r>
      <w:r w:rsidR="001E15DA">
        <w:t xml:space="preserve"> to </w:t>
      </w:r>
      <w:r w:rsidR="005D5067">
        <w:t xml:space="preserve">allow competition </w:t>
      </w:r>
      <w:r w:rsidR="000F4C6B">
        <w:t>to</w:t>
      </w:r>
      <w:r w:rsidR="0071243C">
        <w:t xml:space="preserve"> achieve </w:t>
      </w:r>
      <w:r w:rsidR="00752941" w:rsidRPr="00F93DBF">
        <w:t>optimal level of service and quality, higher level of productive efficiency and efficient pricing of rail services to end users.</w:t>
      </w:r>
      <w:r w:rsidR="0071243C">
        <w:t xml:space="preserve"> </w:t>
      </w:r>
    </w:p>
    <w:p w14:paraId="43EC51E7" w14:textId="77777777" w:rsidR="00752941" w:rsidRDefault="00752941" w:rsidP="00E243AD">
      <w:pPr>
        <w:pStyle w:val="ListBullet"/>
        <w:numPr>
          <w:ilvl w:val="0"/>
          <w:numId w:val="0"/>
        </w:numPr>
        <w:ind w:left="360"/>
        <w:jc w:val="both"/>
      </w:pPr>
    </w:p>
    <w:p w14:paraId="5C0EF4B7" w14:textId="73E00D93" w:rsidR="00752941" w:rsidRPr="00246D05" w:rsidRDefault="00AA6195" w:rsidP="00246D05">
      <w:pPr>
        <w:pStyle w:val="Caption"/>
        <w:rPr>
          <w:b/>
          <w:i w:val="0"/>
          <w:sz w:val="20"/>
          <w:szCs w:val="20"/>
        </w:rPr>
      </w:pPr>
      <w:bookmarkStart w:id="15" w:name="_Ref11842099"/>
      <w:r w:rsidRPr="00246D05">
        <w:rPr>
          <w:b/>
          <w:i w:val="0"/>
          <w:sz w:val="20"/>
          <w:szCs w:val="20"/>
        </w:rPr>
        <w:t xml:space="preserve">Table </w:t>
      </w:r>
      <w:r w:rsidRPr="00246D05">
        <w:rPr>
          <w:b/>
          <w:i w:val="0"/>
          <w:sz w:val="20"/>
          <w:szCs w:val="20"/>
        </w:rPr>
        <w:fldChar w:fldCharType="begin"/>
      </w:r>
      <w:r w:rsidRPr="00246D05">
        <w:rPr>
          <w:b/>
          <w:i w:val="0"/>
          <w:sz w:val="20"/>
          <w:szCs w:val="20"/>
        </w:rPr>
        <w:instrText xml:space="preserve"> SEQ Table \* ARABIC </w:instrText>
      </w:r>
      <w:r w:rsidRPr="00246D05">
        <w:rPr>
          <w:b/>
          <w:i w:val="0"/>
          <w:sz w:val="20"/>
          <w:szCs w:val="20"/>
        </w:rPr>
        <w:fldChar w:fldCharType="separate"/>
      </w:r>
      <w:r w:rsidR="00A31FAC">
        <w:rPr>
          <w:b/>
          <w:i w:val="0"/>
          <w:noProof/>
          <w:sz w:val="20"/>
          <w:szCs w:val="20"/>
        </w:rPr>
        <w:t>1</w:t>
      </w:r>
      <w:r w:rsidRPr="00246D05">
        <w:rPr>
          <w:b/>
          <w:i w:val="0"/>
          <w:sz w:val="20"/>
          <w:szCs w:val="20"/>
        </w:rPr>
        <w:fldChar w:fldCharType="end"/>
      </w:r>
      <w:bookmarkEnd w:id="15"/>
      <w:r w:rsidRPr="00246D05">
        <w:rPr>
          <w:b/>
          <w:i w:val="0"/>
          <w:sz w:val="20"/>
          <w:szCs w:val="20"/>
        </w:rPr>
        <w:t xml:space="preserve">. </w:t>
      </w:r>
      <w:r w:rsidR="00DF0578" w:rsidRPr="00246D05">
        <w:rPr>
          <w:rFonts w:cstheme="minorHAnsi"/>
          <w:b/>
          <w:i w:val="0"/>
          <w:color w:val="323E4F" w:themeColor="text2" w:themeShade="BF"/>
          <w:sz w:val="20"/>
          <w:szCs w:val="20"/>
        </w:rPr>
        <w:t>L</w:t>
      </w:r>
      <w:r w:rsidR="00C56014" w:rsidRPr="00246D05">
        <w:rPr>
          <w:rFonts w:cstheme="minorHAnsi"/>
          <w:b/>
          <w:i w:val="0"/>
          <w:color w:val="323E4F" w:themeColor="text2" w:themeShade="BF"/>
          <w:sz w:val="20"/>
          <w:szCs w:val="20"/>
        </w:rPr>
        <w:t xml:space="preserve">egal requirements for entry into the railway services sector (passenger and </w:t>
      </w:r>
      <w:r w:rsidR="000B0120" w:rsidRPr="00246D05">
        <w:rPr>
          <w:rFonts w:cstheme="minorHAnsi"/>
          <w:b/>
          <w:i w:val="0"/>
          <w:color w:val="323E4F" w:themeColor="text2" w:themeShade="BF"/>
          <w:sz w:val="20"/>
          <w:szCs w:val="20"/>
        </w:rPr>
        <w:t>freight</w:t>
      </w:r>
      <w:r w:rsidR="00C56014" w:rsidRPr="00246D05">
        <w:rPr>
          <w:rFonts w:cstheme="minorHAnsi"/>
          <w:b/>
          <w:i w:val="0"/>
          <w:color w:val="323E4F" w:themeColor="text2" w:themeShade="BF"/>
          <w:sz w:val="20"/>
          <w:szCs w:val="20"/>
        </w:rPr>
        <w:t xml:space="preserve"> transport)</w:t>
      </w:r>
    </w:p>
    <w:tbl>
      <w:tblPr>
        <w:tblW w:w="9360" w:type="dxa"/>
        <w:tblCellMar>
          <w:left w:w="0" w:type="dxa"/>
          <w:right w:w="0" w:type="dxa"/>
        </w:tblCellMar>
        <w:tblLook w:val="04A0" w:firstRow="1" w:lastRow="0" w:firstColumn="1" w:lastColumn="0" w:noHBand="0" w:noVBand="1"/>
      </w:tblPr>
      <w:tblGrid>
        <w:gridCol w:w="1800"/>
        <w:gridCol w:w="2430"/>
        <w:gridCol w:w="2790"/>
        <w:gridCol w:w="2340"/>
      </w:tblGrid>
      <w:tr w:rsidR="00752941" w:rsidRPr="00143BB4" w14:paraId="1D700644" w14:textId="77777777" w:rsidTr="005C7E91">
        <w:trPr>
          <w:trHeight w:val="244"/>
        </w:trPr>
        <w:tc>
          <w:tcPr>
            <w:tcW w:w="1800"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53BD7DE8" w14:textId="77777777" w:rsidR="00752941" w:rsidRPr="00B219A2" w:rsidRDefault="00752941" w:rsidP="00237704"/>
        </w:tc>
        <w:tc>
          <w:tcPr>
            <w:tcW w:w="2430"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2793FE95" w14:textId="53B77B63" w:rsidR="00752941" w:rsidRPr="00143BB4" w:rsidRDefault="00DF0578" w:rsidP="00237704">
            <w:pPr>
              <w:jc w:val="center"/>
              <w:rPr>
                <w:b/>
                <w:bCs/>
                <w:color w:val="000000"/>
                <w:sz w:val="18"/>
                <w:szCs w:val="18"/>
              </w:rPr>
            </w:pPr>
            <w:r>
              <w:rPr>
                <w:b/>
                <w:bCs/>
                <w:color w:val="000000"/>
                <w:sz w:val="18"/>
                <w:szCs w:val="18"/>
              </w:rPr>
              <w:t>E</w:t>
            </w:r>
            <w:r w:rsidR="00752941" w:rsidRPr="00143BB4">
              <w:rPr>
                <w:b/>
                <w:bCs/>
                <w:color w:val="000000"/>
                <w:sz w:val="18"/>
                <w:szCs w:val="18"/>
              </w:rPr>
              <w:t xml:space="preserve">ntry franchised to a single firm  </w:t>
            </w:r>
          </w:p>
          <w:p w14:paraId="739A50AD" w14:textId="77777777" w:rsidR="00752941" w:rsidRPr="00143BB4" w:rsidRDefault="00752941" w:rsidP="00237704">
            <w:pPr>
              <w:jc w:val="center"/>
              <w:rPr>
                <w:rFonts w:ascii="Times New Roman" w:hAnsi="Times New Roman" w:cs="Times New Roman"/>
                <w:b/>
                <w:bCs/>
                <w:color w:val="000000"/>
                <w:sz w:val="18"/>
                <w:szCs w:val="18"/>
              </w:rPr>
            </w:pPr>
          </w:p>
        </w:tc>
        <w:tc>
          <w:tcPr>
            <w:tcW w:w="2790" w:type="dxa"/>
            <w:tcBorders>
              <w:top w:val="single" w:sz="8" w:space="0" w:color="4472C4"/>
              <w:left w:val="nil"/>
              <w:bottom w:val="single" w:sz="8" w:space="0" w:color="4472C4"/>
              <w:right w:val="nil"/>
            </w:tcBorders>
          </w:tcPr>
          <w:p w14:paraId="0215DFAF" w14:textId="41055BCF" w:rsidR="00752941" w:rsidRPr="00143BB4" w:rsidRDefault="00DF0578" w:rsidP="00237704">
            <w:pPr>
              <w:jc w:val="center"/>
              <w:rPr>
                <w:b/>
                <w:bCs/>
                <w:color w:val="000000"/>
                <w:sz w:val="18"/>
                <w:szCs w:val="18"/>
              </w:rPr>
            </w:pPr>
            <w:r>
              <w:rPr>
                <w:b/>
                <w:bCs/>
                <w:color w:val="000000"/>
                <w:sz w:val="18"/>
                <w:szCs w:val="18"/>
              </w:rPr>
              <w:t>E</w:t>
            </w:r>
            <w:r w:rsidR="00752941" w:rsidRPr="00143BB4">
              <w:rPr>
                <w:b/>
                <w:bCs/>
                <w:color w:val="000000"/>
                <w:sz w:val="18"/>
                <w:szCs w:val="18"/>
              </w:rPr>
              <w:t xml:space="preserve">ntry franchised to several firms that compete in the same geographic area </w:t>
            </w:r>
          </w:p>
        </w:tc>
        <w:tc>
          <w:tcPr>
            <w:tcW w:w="2340" w:type="dxa"/>
            <w:tcBorders>
              <w:top w:val="single" w:sz="8" w:space="0" w:color="4472C4"/>
              <w:left w:val="nil"/>
              <w:bottom w:val="single" w:sz="8" w:space="0" w:color="4472C4"/>
              <w:right w:val="nil"/>
            </w:tcBorders>
          </w:tcPr>
          <w:p w14:paraId="1C32E02B" w14:textId="059FDBAF" w:rsidR="00752941" w:rsidRPr="00143BB4" w:rsidRDefault="00DF0578" w:rsidP="00237704">
            <w:pPr>
              <w:jc w:val="center"/>
              <w:rPr>
                <w:b/>
                <w:bCs/>
                <w:color w:val="000000"/>
                <w:sz w:val="18"/>
                <w:szCs w:val="18"/>
              </w:rPr>
            </w:pPr>
            <w:r>
              <w:rPr>
                <w:b/>
                <w:bCs/>
                <w:color w:val="000000"/>
                <w:sz w:val="18"/>
                <w:szCs w:val="18"/>
              </w:rPr>
              <w:t>F</w:t>
            </w:r>
            <w:r w:rsidR="00752941" w:rsidRPr="00143BB4">
              <w:rPr>
                <w:b/>
                <w:bCs/>
                <w:color w:val="000000"/>
                <w:sz w:val="18"/>
                <w:szCs w:val="18"/>
              </w:rPr>
              <w:t>ree entry</w:t>
            </w:r>
          </w:p>
          <w:p w14:paraId="66CE8FD0" w14:textId="77777777" w:rsidR="00752941" w:rsidRPr="00143BB4" w:rsidRDefault="00752941" w:rsidP="00237704">
            <w:pPr>
              <w:jc w:val="center"/>
              <w:rPr>
                <w:b/>
                <w:bCs/>
                <w:color w:val="000000"/>
                <w:sz w:val="18"/>
                <w:szCs w:val="18"/>
              </w:rPr>
            </w:pPr>
            <w:r w:rsidRPr="00143BB4">
              <w:rPr>
                <w:b/>
                <w:bCs/>
                <w:color w:val="000000"/>
                <w:sz w:val="18"/>
                <w:szCs w:val="18"/>
              </w:rPr>
              <w:t>(upon paying access fees)</w:t>
            </w:r>
          </w:p>
        </w:tc>
      </w:tr>
      <w:tr w:rsidR="00752941" w:rsidRPr="00143BB4" w14:paraId="03E5BDD6" w14:textId="77777777" w:rsidTr="00246D05">
        <w:trPr>
          <w:trHeight w:val="244"/>
        </w:trPr>
        <w:tc>
          <w:tcPr>
            <w:tcW w:w="1800" w:type="dxa"/>
            <w:shd w:val="clear" w:color="auto" w:fill="F7CAAC" w:themeFill="accent2" w:themeFillTint="66"/>
            <w:noWrap/>
            <w:tcMar>
              <w:top w:w="0" w:type="dxa"/>
              <w:left w:w="108" w:type="dxa"/>
              <w:bottom w:w="0" w:type="dxa"/>
              <w:right w:w="108" w:type="dxa"/>
            </w:tcMar>
            <w:hideMark/>
          </w:tcPr>
          <w:p w14:paraId="6DAD2129" w14:textId="77777777" w:rsidR="00752941" w:rsidRPr="00143BB4" w:rsidRDefault="00752941" w:rsidP="00237704">
            <w:pPr>
              <w:rPr>
                <w:color w:val="000000"/>
                <w:sz w:val="18"/>
                <w:szCs w:val="18"/>
              </w:rPr>
            </w:pPr>
            <w:r w:rsidRPr="00143BB4">
              <w:rPr>
                <w:color w:val="000000"/>
                <w:sz w:val="18"/>
                <w:szCs w:val="18"/>
              </w:rPr>
              <w:t>Armenia</w:t>
            </w:r>
          </w:p>
        </w:tc>
        <w:tc>
          <w:tcPr>
            <w:tcW w:w="2430" w:type="dxa"/>
            <w:shd w:val="clear" w:color="auto" w:fill="F7CAAC" w:themeFill="accent2" w:themeFillTint="66"/>
            <w:noWrap/>
            <w:tcMar>
              <w:top w:w="0" w:type="dxa"/>
              <w:left w:w="108" w:type="dxa"/>
              <w:bottom w:w="0" w:type="dxa"/>
              <w:right w:w="108" w:type="dxa"/>
            </w:tcMar>
            <w:hideMark/>
          </w:tcPr>
          <w:p w14:paraId="25DE2685" w14:textId="77777777" w:rsidR="00752941" w:rsidRPr="00143BB4" w:rsidRDefault="00752941" w:rsidP="00237704">
            <w:pPr>
              <w:jc w:val="center"/>
              <w:rPr>
                <w:color w:val="000000"/>
                <w:sz w:val="18"/>
                <w:szCs w:val="18"/>
              </w:rPr>
            </w:pPr>
          </w:p>
        </w:tc>
        <w:tc>
          <w:tcPr>
            <w:tcW w:w="2790" w:type="dxa"/>
            <w:shd w:val="clear" w:color="auto" w:fill="F7CAAC" w:themeFill="accent2" w:themeFillTint="66"/>
          </w:tcPr>
          <w:p w14:paraId="56788346" w14:textId="77777777" w:rsidR="00752941" w:rsidRPr="00143BB4" w:rsidRDefault="00752941" w:rsidP="00237704">
            <w:pPr>
              <w:jc w:val="center"/>
              <w:rPr>
                <w:color w:val="000000"/>
                <w:sz w:val="18"/>
                <w:szCs w:val="18"/>
              </w:rPr>
            </w:pPr>
          </w:p>
        </w:tc>
        <w:tc>
          <w:tcPr>
            <w:tcW w:w="2340" w:type="dxa"/>
            <w:shd w:val="clear" w:color="auto" w:fill="F7CAAC" w:themeFill="accent2" w:themeFillTint="66"/>
          </w:tcPr>
          <w:p w14:paraId="6850EECB" w14:textId="77777777" w:rsidR="00752941" w:rsidRPr="00143BB4" w:rsidRDefault="00752941" w:rsidP="00237704">
            <w:pPr>
              <w:jc w:val="center"/>
              <w:rPr>
                <w:color w:val="000000"/>
                <w:sz w:val="18"/>
                <w:szCs w:val="18"/>
              </w:rPr>
            </w:pPr>
            <w:r w:rsidRPr="00143BB4">
              <w:rPr>
                <w:color w:val="000000"/>
                <w:sz w:val="18"/>
                <w:szCs w:val="18"/>
              </w:rPr>
              <w:t>√</w:t>
            </w:r>
          </w:p>
        </w:tc>
      </w:tr>
      <w:tr w:rsidR="00752941" w:rsidRPr="00143BB4" w14:paraId="40BC9E24" w14:textId="77777777" w:rsidTr="005C7E91">
        <w:trPr>
          <w:trHeight w:val="244"/>
        </w:trPr>
        <w:tc>
          <w:tcPr>
            <w:tcW w:w="1800" w:type="dxa"/>
            <w:noWrap/>
            <w:tcMar>
              <w:top w:w="0" w:type="dxa"/>
              <w:left w:w="108" w:type="dxa"/>
              <w:bottom w:w="0" w:type="dxa"/>
              <w:right w:w="108" w:type="dxa"/>
            </w:tcMar>
            <w:hideMark/>
          </w:tcPr>
          <w:p w14:paraId="1FB07749" w14:textId="77777777" w:rsidR="00752941" w:rsidRPr="00143BB4" w:rsidRDefault="00752941" w:rsidP="00237704">
            <w:pPr>
              <w:rPr>
                <w:rFonts w:ascii="Times New Roman" w:hAnsi="Times New Roman" w:cs="Times New Roman"/>
                <w:color w:val="000000"/>
                <w:sz w:val="18"/>
                <w:szCs w:val="18"/>
              </w:rPr>
            </w:pPr>
            <w:r w:rsidRPr="00143BB4">
              <w:rPr>
                <w:color w:val="000000"/>
                <w:sz w:val="18"/>
                <w:szCs w:val="18"/>
              </w:rPr>
              <w:t>Croatia</w:t>
            </w:r>
          </w:p>
        </w:tc>
        <w:tc>
          <w:tcPr>
            <w:tcW w:w="2430" w:type="dxa"/>
            <w:noWrap/>
            <w:tcMar>
              <w:top w:w="0" w:type="dxa"/>
              <w:left w:w="108" w:type="dxa"/>
              <w:bottom w:w="0" w:type="dxa"/>
              <w:right w:w="108" w:type="dxa"/>
            </w:tcMar>
            <w:hideMark/>
          </w:tcPr>
          <w:p w14:paraId="4FDCFC5E" w14:textId="77777777" w:rsidR="00752941" w:rsidRPr="00143BB4" w:rsidRDefault="00752941" w:rsidP="00237704">
            <w:pPr>
              <w:jc w:val="center"/>
              <w:rPr>
                <w:color w:val="000000"/>
                <w:sz w:val="18"/>
                <w:szCs w:val="18"/>
              </w:rPr>
            </w:pPr>
            <w:r w:rsidRPr="00143BB4">
              <w:rPr>
                <w:color w:val="000000"/>
                <w:sz w:val="18"/>
                <w:szCs w:val="18"/>
              </w:rPr>
              <w:t>√</w:t>
            </w:r>
          </w:p>
        </w:tc>
        <w:tc>
          <w:tcPr>
            <w:tcW w:w="2790" w:type="dxa"/>
          </w:tcPr>
          <w:p w14:paraId="6BCA7B9C" w14:textId="77777777" w:rsidR="00752941" w:rsidRPr="00143BB4" w:rsidRDefault="00752941" w:rsidP="00237704">
            <w:pPr>
              <w:rPr>
                <w:color w:val="000000"/>
                <w:sz w:val="18"/>
                <w:szCs w:val="18"/>
              </w:rPr>
            </w:pPr>
          </w:p>
        </w:tc>
        <w:tc>
          <w:tcPr>
            <w:tcW w:w="2340" w:type="dxa"/>
          </w:tcPr>
          <w:p w14:paraId="51F50B3A" w14:textId="77777777" w:rsidR="00752941" w:rsidRPr="00143BB4" w:rsidRDefault="00752941" w:rsidP="00237704">
            <w:pPr>
              <w:jc w:val="center"/>
              <w:rPr>
                <w:color w:val="000000"/>
                <w:sz w:val="18"/>
                <w:szCs w:val="18"/>
              </w:rPr>
            </w:pPr>
          </w:p>
        </w:tc>
      </w:tr>
      <w:tr w:rsidR="00752941" w:rsidRPr="00143BB4" w14:paraId="02674E88" w14:textId="77777777" w:rsidTr="005C7E91">
        <w:trPr>
          <w:trHeight w:val="244"/>
        </w:trPr>
        <w:tc>
          <w:tcPr>
            <w:tcW w:w="1800" w:type="dxa"/>
            <w:shd w:val="clear" w:color="auto" w:fill="D0DBF0"/>
            <w:noWrap/>
            <w:tcMar>
              <w:top w:w="0" w:type="dxa"/>
              <w:left w:w="108" w:type="dxa"/>
              <w:bottom w:w="0" w:type="dxa"/>
              <w:right w:w="108" w:type="dxa"/>
            </w:tcMar>
            <w:hideMark/>
          </w:tcPr>
          <w:p w14:paraId="1F0B9E67" w14:textId="77777777" w:rsidR="00752941" w:rsidRPr="00143BB4" w:rsidRDefault="00752941" w:rsidP="00237704">
            <w:pPr>
              <w:rPr>
                <w:rFonts w:ascii="Times New Roman" w:hAnsi="Times New Roman" w:cs="Times New Roman"/>
                <w:color w:val="000000"/>
                <w:sz w:val="18"/>
                <w:szCs w:val="18"/>
              </w:rPr>
            </w:pPr>
            <w:r w:rsidRPr="00143BB4">
              <w:rPr>
                <w:color w:val="000000"/>
                <w:sz w:val="18"/>
                <w:szCs w:val="18"/>
              </w:rPr>
              <w:t>Estonia</w:t>
            </w:r>
          </w:p>
        </w:tc>
        <w:tc>
          <w:tcPr>
            <w:tcW w:w="2430" w:type="dxa"/>
            <w:shd w:val="clear" w:color="auto" w:fill="D0DBF0"/>
            <w:noWrap/>
            <w:tcMar>
              <w:top w:w="0" w:type="dxa"/>
              <w:left w:w="108" w:type="dxa"/>
              <w:bottom w:w="0" w:type="dxa"/>
              <w:right w:w="108" w:type="dxa"/>
            </w:tcMar>
            <w:hideMark/>
          </w:tcPr>
          <w:p w14:paraId="1BC8884C" w14:textId="77777777" w:rsidR="00752941" w:rsidRPr="00143BB4" w:rsidRDefault="00752941" w:rsidP="00237704">
            <w:pPr>
              <w:jc w:val="center"/>
              <w:rPr>
                <w:color w:val="000000"/>
                <w:sz w:val="18"/>
                <w:szCs w:val="18"/>
              </w:rPr>
            </w:pPr>
          </w:p>
        </w:tc>
        <w:tc>
          <w:tcPr>
            <w:tcW w:w="2790" w:type="dxa"/>
            <w:shd w:val="clear" w:color="auto" w:fill="D0DBF0"/>
          </w:tcPr>
          <w:p w14:paraId="77218BE5" w14:textId="77777777" w:rsidR="00752941" w:rsidRPr="00143BB4" w:rsidRDefault="00752941" w:rsidP="00237704">
            <w:pPr>
              <w:jc w:val="center"/>
              <w:rPr>
                <w:color w:val="000000"/>
                <w:sz w:val="18"/>
                <w:szCs w:val="18"/>
              </w:rPr>
            </w:pPr>
          </w:p>
        </w:tc>
        <w:tc>
          <w:tcPr>
            <w:tcW w:w="2340" w:type="dxa"/>
            <w:shd w:val="clear" w:color="auto" w:fill="D0DBF0"/>
          </w:tcPr>
          <w:p w14:paraId="5D00CA8C" w14:textId="77777777" w:rsidR="00752941" w:rsidRPr="00143BB4" w:rsidRDefault="00752941" w:rsidP="00237704">
            <w:pPr>
              <w:jc w:val="center"/>
              <w:rPr>
                <w:color w:val="000000"/>
                <w:sz w:val="18"/>
                <w:szCs w:val="18"/>
              </w:rPr>
            </w:pPr>
            <w:r w:rsidRPr="00143BB4">
              <w:rPr>
                <w:color w:val="000000"/>
                <w:sz w:val="18"/>
                <w:szCs w:val="18"/>
              </w:rPr>
              <w:t>√</w:t>
            </w:r>
          </w:p>
        </w:tc>
      </w:tr>
      <w:tr w:rsidR="00752941" w:rsidRPr="00143BB4" w14:paraId="31372567" w14:textId="77777777" w:rsidTr="005C7E91">
        <w:trPr>
          <w:trHeight w:val="244"/>
        </w:trPr>
        <w:tc>
          <w:tcPr>
            <w:tcW w:w="1800" w:type="dxa"/>
            <w:noWrap/>
            <w:tcMar>
              <w:top w:w="0" w:type="dxa"/>
              <w:left w:w="108" w:type="dxa"/>
              <w:bottom w:w="0" w:type="dxa"/>
              <w:right w:w="108" w:type="dxa"/>
            </w:tcMar>
            <w:hideMark/>
          </w:tcPr>
          <w:p w14:paraId="503C5993" w14:textId="77777777" w:rsidR="00752941" w:rsidRPr="00143BB4" w:rsidRDefault="00752941" w:rsidP="00237704">
            <w:pPr>
              <w:rPr>
                <w:rFonts w:ascii="Times New Roman" w:hAnsi="Times New Roman" w:cs="Times New Roman"/>
                <w:color w:val="000000"/>
                <w:sz w:val="18"/>
                <w:szCs w:val="18"/>
              </w:rPr>
            </w:pPr>
            <w:r w:rsidRPr="00143BB4">
              <w:rPr>
                <w:color w:val="000000"/>
                <w:sz w:val="18"/>
                <w:szCs w:val="18"/>
              </w:rPr>
              <w:t>Latvia</w:t>
            </w:r>
          </w:p>
        </w:tc>
        <w:tc>
          <w:tcPr>
            <w:tcW w:w="2430" w:type="dxa"/>
            <w:noWrap/>
            <w:tcMar>
              <w:top w:w="0" w:type="dxa"/>
              <w:left w:w="108" w:type="dxa"/>
              <w:bottom w:w="0" w:type="dxa"/>
              <w:right w:w="108" w:type="dxa"/>
            </w:tcMar>
            <w:hideMark/>
          </w:tcPr>
          <w:p w14:paraId="36452FA7" w14:textId="77777777" w:rsidR="00752941" w:rsidRPr="00143BB4" w:rsidRDefault="00752941" w:rsidP="00237704">
            <w:pPr>
              <w:jc w:val="center"/>
              <w:rPr>
                <w:color w:val="000000"/>
                <w:sz w:val="18"/>
                <w:szCs w:val="18"/>
              </w:rPr>
            </w:pPr>
          </w:p>
        </w:tc>
        <w:tc>
          <w:tcPr>
            <w:tcW w:w="2790" w:type="dxa"/>
          </w:tcPr>
          <w:p w14:paraId="1741DC95" w14:textId="77777777" w:rsidR="00752941" w:rsidRPr="00143BB4" w:rsidRDefault="00752941" w:rsidP="00237704">
            <w:pPr>
              <w:rPr>
                <w:color w:val="000000"/>
                <w:sz w:val="18"/>
                <w:szCs w:val="18"/>
              </w:rPr>
            </w:pPr>
          </w:p>
        </w:tc>
        <w:tc>
          <w:tcPr>
            <w:tcW w:w="2340" w:type="dxa"/>
          </w:tcPr>
          <w:p w14:paraId="54B7FB79" w14:textId="77777777" w:rsidR="00752941" w:rsidRPr="00143BB4" w:rsidRDefault="00752941" w:rsidP="00237704">
            <w:pPr>
              <w:jc w:val="center"/>
              <w:rPr>
                <w:color w:val="000000"/>
                <w:sz w:val="18"/>
                <w:szCs w:val="18"/>
              </w:rPr>
            </w:pPr>
            <w:r w:rsidRPr="00143BB4">
              <w:rPr>
                <w:color w:val="000000"/>
                <w:sz w:val="18"/>
                <w:szCs w:val="18"/>
              </w:rPr>
              <w:t>√</w:t>
            </w:r>
          </w:p>
        </w:tc>
      </w:tr>
      <w:tr w:rsidR="00752941" w:rsidRPr="00143BB4" w14:paraId="76C19299" w14:textId="77777777" w:rsidTr="005C7E91">
        <w:trPr>
          <w:trHeight w:val="244"/>
        </w:trPr>
        <w:tc>
          <w:tcPr>
            <w:tcW w:w="1800" w:type="dxa"/>
            <w:shd w:val="clear" w:color="auto" w:fill="D0DBF0"/>
            <w:noWrap/>
            <w:tcMar>
              <w:top w:w="0" w:type="dxa"/>
              <w:left w:w="108" w:type="dxa"/>
              <w:bottom w:w="0" w:type="dxa"/>
              <w:right w:w="108" w:type="dxa"/>
            </w:tcMar>
            <w:hideMark/>
          </w:tcPr>
          <w:p w14:paraId="2BA2AF18" w14:textId="77777777" w:rsidR="00752941" w:rsidRPr="00143BB4" w:rsidRDefault="00752941" w:rsidP="00237704">
            <w:pPr>
              <w:rPr>
                <w:rFonts w:ascii="Times New Roman" w:hAnsi="Times New Roman" w:cs="Times New Roman"/>
                <w:color w:val="000000"/>
                <w:sz w:val="18"/>
                <w:szCs w:val="18"/>
              </w:rPr>
            </w:pPr>
            <w:r w:rsidRPr="00143BB4">
              <w:rPr>
                <w:color w:val="000000"/>
                <w:sz w:val="18"/>
                <w:szCs w:val="18"/>
              </w:rPr>
              <w:t>Lithuania</w:t>
            </w:r>
          </w:p>
        </w:tc>
        <w:tc>
          <w:tcPr>
            <w:tcW w:w="2430" w:type="dxa"/>
            <w:shd w:val="clear" w:color="auto" w:fill="D0DBF0"/>
            <w:noWrap/>
            <w:tcMar>
              <w:top w:w="0" w:type="dxa"/>
              <w:left w:w="108" w:type="dxa"/>
              <w:bottom w:w="0" w:type="dxa"/>
              <w:right w:w="108" w:type="dxa"/>
            </w:tcMar>
            <w:hideMark/>
          </w:tcPr>
          <w:p w14:paraId="1B23FAEC" w14:textId="77777777" w:rsidR="00752941" w:rsidRPr="00143BB4" w:rsidRDefault="00752941" w:rsidP="00237704">
            <w:pPr>
              <w:jc w:val="center"/>
              <w:rPr>
                <w:color w:val="000000"/>
                <w:sz w:val="18"/>
                <w:szCs w:val="18"/>
              </w:rPr>
            </w:pPr>
          </w:p>
        </w:tc>
        <w:tc>
          <w:tcPr>
            <w:tcW w:w="2790" w:type="dxa"/>
            <w:shd w:val="clear" w:color="auto" w:fill="D0DBF0"/>
          </w:tcPr>
          <w:p w14:paraId="4E5DE2FC" w14:textId="77777777" w:rsidR="00752941" w:rsidRPr="00143BB4" w:rsidRDefault="00752941" w:rsidP="00237704">
            <w:pPr>
              <w:jc w:val="center"/>
              <w:rPr>
                <w:color w:val="000000"/>
                <w:sz w:val="18"/>
                <w:szCs w:val="18"/>
              </w:rPr>
            </w:pPr>
          </w:p>
        </w:tc>
        <w:tc>
          <w:tcPr>
            <w:tcW w:w="2340" w:type="dxa"/>
            <w:shd w:val="clear" w:color="auto" w:fill="D0DBF0"/>
          </w:tcPr>
          <w:p w14:paraId="02D9C0AE" w14:textId="77777777" w:rsidR="00752941" w:rsidRPr="00143BB4" w:rsidRDefault="00752941" w:rsidP="00237704">
            <w:pPr>
              <w:jc w:val="center"/>
              <w:rPr>
                <w:color w:val="000000"/>
                <w:sz w:val="18"/>
                <w:szCs w:val="18"/>
              </w:rPr>
            </w:pPr>
            <w:r w:rsidRPr="00143BB4">
              <w:rPr>
                <w:color w:val="000000"/>
                <w:sz w:val="18"/>
                <w:szCs w:val="18"/>
              </w:rPr>
              <w:t>√</w:t>
            </w:r>
          </w:p>
        </w:tc>
      </w:tr>
      <w:tr w:rsidR="00752941" w:rsidRPr="00143BB4" w14:paraId="035D0C36" w14:textId="77777777" w:rsidTr="005C7E91">
        <w:trPr>
          <w:trHeight w:val="244"/>
        </w:trPr>
        <w:tc>
          <w:tcPr>
            <w:tcW w:w="1800" w:type="dxa"/>
            <w:noWrap/>
            <w:tcMar>
              <w:top w:w="0" w:type="dxa"/>
              <w:left w:w="108" w:type="dxa"/>
              <w:bottom w:w="0" w:type="dxa"/>
              <w:right w:w="108" w:type="dxa"/>
            </w:tcMar>
            <w:hideMark/>
          </w:tcPr>
          <w:p w14:paraId="7B21EB0C" w14:textId="77777777" w:rsidR="00752941" w:rsidRPr="00143BB4" w:rsidRDefault="00752941" w:rsidP="00237704">
            <w:pPr>
              <w:rPr>
                <w:rFonts w:asciiTheme="minorHAnsi" w:hAnsiTheme="minorHAnsi" w:cstheme="minorHAnsi"/>
                <w:color w:val="000000"/>
                <w:sz w:val="18"/>
                <w:szCs w:val="18"/>
              </w:rPr>
            </w:pPr>
            <w:r w:rsidRPr="00143BB4">
              <w:rPr>
                <w:rFonts w:asciiTheme="minorHAnsi" w:hAnsiTheme="minorHAnsi" w:cstheme="minorHAnsi"/>
                <w:color w:val="000000"/>
                <w:sz w:val="18"/>
                <w:szCs w:val="18"/>
              </w:rPr>
              <w:t>Russia</w:t>
            </w:r>
          </w:p>
        </w:tc>
        <w:tc>
          <w:tcPr>
            <w:tcW w:w="2430" w:type="dxa"/>
            <w:noWrap/>
            <w:tcMar>
              <w:top w:w="0" w:type="dxa"/>
              <w:left w:w="108" w:type="dxa"/>
              <w:bottom w:w="0" w:type="dxa"/>
              <w:right w:w="108" w:type="dxa"/>
            </w:tcMar>
            <w:hideMark/>
          </w:tcPr>
          <w:p w14:paraId="5F4318AE" w14:textId="77777777" w:rsidR="00752941" w:rsidRPr="00143BB4" w:rsidRDefault="00752941" w:rsidP="00237704">
            <w:pPr>
              <w:jc w:val="center"/>
              <w:rPr>
                <w:rFonts w:asciiTheme="minorHAnsi" w:hAnsiTheme="minorHAnsi" w:cstheme="minorHAnsi"/>
                <w:color w:val="000000"/>
                <w:sz w:val="18"/>
                <w:szCs w:val="18"/>
              </w:rPr>
            </w:pPr>
          </w:p>
        </w:tc>
        <w:tc>
          <w:tcPr>
            <w:tcW w:w="2790" w:type="dxa"/>
          </w:tcPr>
          <w:p w14:paraId="2C16A5A7" w14:textId="77777777" w:rsidR="00752941" w:rsidRPr="00143BB4" w:rsidRDefault="00752941" w:rsidP="00237704">
            <w:pPr>
              <w:jc w:val="center"/>
              <w:rPr>
                <w:rFonts w:ascii="Times New Roman" w:hAnsi="Times New Roman" w:cs="Times New Roman"/>
                <w:color w:val="000000"/>
                <w:sz w:val="18"/>
                <w:szCs w:val="18"/>
              </w:rPr>
            </w:pPr>
            <w:r w:rsidRPr="00143BB4">
              <w:rPr>
                <w:color w:val="000000"/>
                <w:sz w:val="18"/>
                <w:szCs w:val="18"/>
              </w:rPr>
              <w:t>√</w:t>
            </w:r>
          </w:p>
        </w:tc>
        <w:tc>
          <w:tcPr>
            <w:tcW w:w="2340" w:type="dxa"/>
          </w:tcPr>
          <w:p w14:paraId="7BDDB45B" w14:textId="77777777" w:rsidR="00752941" w:rsidRPr="00143BB4" w:rsidRDefault="00752941" w:rsidP="00237704">
            <w:pPr>
              <w:jc w:val="center"/>
              <w:rPr>
                <w:rFonts w:ascii="Times New Roman" w:hAnsi="Times New Roman" w:cs="Times New Roman"/>
                <w:color w:val="000000"/>
                <w:sz w:val="18"/>
                <w:szCs w:val="18"/>
              </w:rPr>
            </w:pPr>
          </w:p>
        </w:tc>
      </w:tr>
      <w:tr w:rsidR="00752941" w:rsidRPr="00143BB4" w14:paraId="6F58F960" w14:textId="77777777" w:rsidTr="005C7E91">
        <w:trPr>
          <w:trHeight w:val="244"/>
        </w:trPr>
        <w:tc>
          <w:tcPr>
            <w:tcW w:w="1800" w:type="dxa"/>
            <w:shd w:val="clear" w:color="auto" w:fill="D0DBF0"/>
            <w:noWrap/>
            <w:tcMar>
              <w:top w:w="0" w:type="dxa"/>
              <w:left w:w="108" w:type="dxa"/>
              <w:bottom w:w="0" w:type="dxa"/>
              <w:right w:w="108" w:type="dxa"/>
            </w:tcMar>
            <w:hideMark/>
          </w:tcPr>
          <w:p w14:paraId="23AA1E8E" w14:textId="77777777" w:rsidR="00752941" w:rsidRPr="00143BB4" w:rsidRDefault="00752941" w:rsidP="00237704">
            <w:pPr>
              <w:rPr>
                <w:color w:val="000000"/>
                <w:sz w:val="18"/>
                <w:szCs w:val="18"/>
              </w:rPr>
            </w:pPr>
            <w:r w:rsidRPr="00143BB4">
              <w:rPr>
                <w:color w:val="000000"/>
                <w:sz w:val="18"/>
                <w:szCs w:val="18"/>
              </w:rPr>
              <w:t>Slovak Republic</w:t>
            </w:r>
          </w:p>
        </w:tc>
        <w:tc>
          <w:tcPr>
            <w:tcW w:w="2430" w:type="dxa"/>
            <w:shd w:val="clear" w:color="auto" w:fill="D0DBF0"/>
            <w:noWrap/>
            <w:tcMar>
              <w:top w:w="0" w:type="dxa"/>
              <w:left w:w="108" w:type="dxa"/>
              <w:bottom w:w="0" w:type="dxa"/>
              <w:right w:w="108" w:type="dxa"/>
            </w:tcMar>
            <w:hideMark/>
          </w:tcPr>
          <w:p w14:paraId="5062E422" w14:textId="77777777" w:rsidR="00752941" w:rsidRPr="00143BB4" w:rsidRDefault="00752941" w:rsidP="00237704">
            <w:pPr>
              <w:jc w:val="center"/>
              <w:rPr>
                <w:color w:val="000000"/>
                <w:sz w:val="18"/>
                <w:szCs w:val="18"/>
              </w:rPr>
            </w:pPr>
          </w:p>
        </w:tc>
        <w:tc>
          <w:tcPr>
            <w:tcW w:w="2790" w:type="dxa"/>
            <w:shd w:val="clear" w:color="auto" w:fill="D0DBF0"/>
          </w:tcPr>
          <w:p w14:paraId="7CD6CF2E" w14:textId="77777777" w:rsidR="00752941" w:rsidRPr="00143BB4" w:rsidRDefault="00752941" w:rsidP="00237704">
            <w:pPr>
              <w:jc w:val="center"/>
              <w:rPr>
                <w:rFonts w:ascii="Times New Roman" w:hAnsi="Times New Roman" w:cs="Times New Roman"/>
                <w:color w:val="000000"/>
                <w:sz w:val="18"/>
                <w:szCs w:val="18"/>
              </w:rPr>
            </w:pPr>
            <w:r w:rsidRPr="00143BB4">
              <w:rPr>
                <w:color w:val="000000"/>
                <w:sz w:val="18"/>
                <w:szCs w:val="18"/>
              </w:rPr>
              <w:t>√</w:t>
            </w:r>
          </w:p>
        </w:tc>
        <w:tc>
          <w:tcPr>
            <w:tcW w:w="2340" w:type="dxa"/>
            <w:shd w:val="clear" w:color="auto" w:fill="D0DBF0"/>
          </w:tcPr>
          <w:p w14:paraId="57D707F4" w14:textId="77777777" w:rsidR="00752941" w:rsidRPr="00143BB4" w:rsidRDefault="00752941" w:rsidP="00237704">
            <w:pPr>
              <w:jc w:val="center"/>
              <w:rPr>
                <w:rFonts w:ascii="Times New Roman" w:hAnsi="Times New Roman" w:cs="Times New Roman"/>
                <w:color w:val="000000"/>
                <w:sz w:val="18"/>
                <w:szCs w:val="18"/>
              </w:rPr>
            </w:pPr>
          </w:p>
        </w:tc>
      </w:tr>
      <w:tr w:rsidR="00752941" w:rsidRPr="00143BB4" w14:paraId="16F5C36B" w14:textId="77777777" w:rsidTr="005C7E91">
        <w:trPr>
          <w:trHeight w:val="244"/>
        </w:trPr>
        <w:tc>
          <w:tcPr>
            <w:tcW w:w="1800" w:type="dxa"/>
            <w:tcBorders>
              <w:bottom w:val="single" w:sz="4" w:space="0" w:color="4472C4" w:themeColor="accent1"/>
            </w:tcBorders>
            <w:noWrap/>
            <w:tcMar>
              <w:top w:w="0" w:type="dxa"/>
              <w:left w:w="108" w:type="dxa"/>
              <w:bottom w:w="0" w:type="dxa"/>
              <w:right w:w="108" w:type="dxa"/>
            </w:tcMar>
            <w:hideMark/>
          </w:tcPr>
          <w:p w14:paraId="4363BAA1" w14:textId="77777777" w:rsidR="00752941" w:rsidRPr="00143BB4" w:rsidRDefault="00752941" w:rsidP="00237704">
            <w:pPr>
              <w:rPr>
                <w:color w:val="000000"/>
                <w:sz w:val="18"/>
                <w:szCs w:val="18"/>
              </w:rPr>
            </w:pPr>
            <w:r w:rsidRPr="00143BB4">
              <w:rPr>
                <w:color w:val="000000"/>
                <w:sz w:val="18"/>
                <w:szCs w:val="18"/>
              </w:rPr>
              <w:t>Turkey</w:t>
            </w:r>
          </w:p>
        </w:tc>
        <w:tc>
          <w:tcPr>
            <w:tcW w:w="2430" w:type="dxa"/>
            <w:tcBorders>
              <w:bottom w:val="single" w:sz="4" w:space="0" w:color="4472C4" w:themeColor="accent1"/>
            </w:tcBorders>
            <w:noWrap/>
            <w:tcMar>
              <w:top w:w="0" w:type="dxa"/>
              <w:left w:w="108" w:type="dxa"/>
              <w:bottom w:w="0" w:type="dxa"/>
              <w:right w:w="108" w:type="dxa"/>
            </w:tcMar>
            <w:hideMark/>
          </w:tcPr>
          <w:p w14:paraId="63FB9BE9" w14:textId="77777777" w:rsidR="00752941" w:rsidRPr="00143BB4" w:rsidRDefault="00752941" w:rsidP="00237704">
            <w:pPr>
              <w:jc w:val="center"/>
              <w:rPr>
                <w:color w:val="000000"/>
                <w:sz w:val="18"/>
                <w:szCs w:val="18"/>
              </w:rPr>
            </w:pPr>
            <w:r w:rsidRPr="00143BB4">
              <w:rPr>
                <w:color w:val="000000"/>
                <w:sz w:val="18"/>
                <w:szCs w:val="18"/>
              </w:rPr>
              <w:t>√</w:t>
            </w:r>
          </w:p>
        </w:tc>
        <w:tc>
          <w:tcPr>
            <w:tcW w:w="2790" w:type="dxa"/>
            <w:tcBorders>
              <w:bottom w:val="single" w:sz="4" w:space="0" w:color="4472C4" w:themeColor="accent1"/>
            </w:tcBorders>
          </w:tcPr>
          <w:p w14:paraId="4699294A" w14:textId="77777777" w:rsidR="00752941" w:rsidRPr="00143BB4" w:rsidRDefault="00752941" w:rsidP="00237704">
            <w:pPr>
              <w:jc w:val="center"/>
              <w:rPr>
                <w:color w:val="000000"/>
                <w:sz w:val="18"/>
                <w:szCs w:val="18"/>
              </w:rPr>
            </w:pPr>
          </w:p>
        </w:tc>
        <w:tc>
          <w:tcPr>
            <w:tcW w:w="2340" w:type="dxa"/>
            <w:tcBorders>
              <w:bottom w:val="single" w:sz="4" w:space="0" w:color="4472C4" w:themeColor="accent1"/>
            </w:tcBorders>
          </w:tcPr>
          <w:p w14:paraId="7CD1C815" w14:textId="77777777" w:rsidR="00752941" w:rsidRPr="00143BB4" w:rsidRDefault="00752941" w:rsidP="00237704">
            <w:pPr>
              <w:jc w:val="center"/>
              <w:rPr>
                <w:color w:val="000000"/>
                <w:sz w:val="18"/>
                <w:szCs w:val="18"/>
              </w:rPr>
            </w:pPr>
          </w:p>
        </w:tc>
      </w:tr>
    </w:tbl>
    <w:p w14:paraId="6D56A806" w14:textId="77777777" w:rsidR="00752941" w:rsidRPr="00C56014" w:rsidRDefault="00C56014" w:rsidP="00C56014">
      <w:pPr>
        <w:pStyle w:val="ListBullet"/>
        <w:numPr>
          <w:ilvl w:val="0"/>
          <w:numId w:val="0"/>
        </w:numPr>
        <w:ind w:left="360"/>
        <w:jc w:val="right"/>
        <w:rPr>
          <w:i/>
          <w:sz w:val="16"/>
          <w:szCs w:val="16"/>
        </w:rPr>
      </w:pPr>
      <w:r w:rsidRPr="00C56014">
        <w:rPr>
          <w:i/>
          <w:sz w:val="16"/>
          <w:szCs w:val="16"/>
        </w:rPr>
        <w:t>Source: Product Market Regulation Database OECD 2013 and Armenia Product Market Regulation World Bank 2018</w:t>
      </w:r>
    </w:p>
    <w:p w14:paraId="3078EB50" w14:textId="77777777" w:rsidR="00C56014" w:rsidRDefault="00C56014" w:rsidP="00E243AD">
      <w:pPr>
        <w:pStyle w:val="ListBullet"/>
        <w:numPr>
          <w:ilvl w:val="0"/>
          <w:numId w:val="0"/>
        </w:numPr>
        <w:ind w:left="360"/>
        <w:jc w:val="both"/>
      </w:pPr>
    </w:p>
    <w:p w14:paraId="29E81CBA" w14:textId="0A826197" w:rsidR="00752941" w:rsidRDefault="005D5067" w:rsidP="005C7E91">
      <w:pPr>
        <w:pStyle w:val="ListParagraph"/>
        <w:numPr>
          <w:ilvl w:val="0"/>
          <w:numId w:val="34"/>
        </w:numPr>
        <w:ind w:left="0" w:firstLine="0"/>
        <w:jc w:val="both"/>
      </w:pPr>
      <w:r w:rsidRPr="00837E84">
        <w:rPr>
          <w:b/>
        </w:rPr>
        <w:t>A</w:t>
      </w:r>
      <w:r w:rsidR="0071243C" w:rsidRPr="00837E84">
        <w:rPr>
          <w:b/>
        </w:rPr>
        <w:t>ccess</w:t>
      </w:r>
      <w:r w:rsidR="001E15DA" w:rsidRPr="00837E84">
        <w:rPr>
          <w:b/>
        </w:rPr>
        <w:t xml:space="preserve"> rights</w:t>
      </w:r>
      <w:r w:rsidRPr="00837E84">
        <w:rPr>
          <w:b/>
        </w:rPr>
        <w:t xml:space="preserve"> </w:t>
      </w:r>
      <w:r w:rsidR="001E15DA" w:rsidRPr="00837E84">
        <w:rPr>
          <w:b/>
        </w:rPr>
        <w:t>are</w:t>
      </w:r>
      <w:r w:rsidR="0071243C" w:rsidRPr="00837E84">
        <w:rPr>
          <w:b/>
        </w:rPr>
        <w:t xml:space="preserve"> particularly relevant in the case of highly integrated transnational networks</w:t>
      </w:r>
      <w:r>
        <w:t>.</w:t>
      </w:r>
      <w:r w:rsidRPr="005D5067">
        <w:t xml:space="preserve"> </w:t>
      </w:r>
      <w:r w:rsidR="001E507C">
        <w:t>Clarification of</w:t>
      </w:r>
      <w:r>
        <w:t xml:space="preserve"> </w:t>
      </w:r>
      <w:r w:rsidR="00837E84">
        <w:t>access</w:t>
      </w:r>
      <w:r>
        <w:t xml:space="preserve"> rights </w:t>
      </w:r>
      <w:r w:rsidRPr="005D5067">
        <w:t>lies in</w:t>
      </w:r>
      <w:r w:rsidR="00E30D82">
        <w:t xml:space="preserve"> mandating access and setting charges, but also in</w:t>
      </w:r>
      <w:r w:rsidRPr="005D5067">
        <w:t xml:space="preserve"> the removal of existing or potential barriers to entry that might distort competition by favoring certain competitors against others. </w:t>
      </w:r>
      <w:r w:rsidR="001E15DA">
        <w:t>Issues could be</w:t>
      </w:r>
      <w:r>
        <w:t xml:space="preserve"> not just </w:t>
      </w:r>
      <w:r w:rsidR="00C041FC">
        <w:t>barriers in terms of</w:t>
      </w:r>
      <w:r>
        <w:t xml:space="preserve"> price of access but also rules on </w:t>
      </w:r>
      <w:r w:rsidRPr="005D5067">
        <w:t xml:space="preserve">technical requirements (related, for example, to incompatible rolling stocks) </w:t>
      </w:r>
      <w:r w:rsidR="00C041FC">
        <w:t xml:space="preserve">or </w:t>
      </w:r>
      <w:r w:rsidRPr="005D5067">
        <w:t>safety standards</w:t>
      </w:r>
      <w:r w:rsidR="00837E84">
        <w:t xml:space="preserve"> that</w:t>
      </w:r>
      <w:r w:rsidR="001E15DA">
        <w:t xml:space="preserve"> should be </w:t>
      </w:r>
      <w:r w:rsidR="00837E84">
        <w:t>clarified</w:t>
      </w:r>
      <w:r w:rsidRPr="005D5067">
        <w:t>.</w:t>
      </w:r>
      <w:r w:rsidR="00837E84">
        <w:rPr>
          <w:rStyle w:val="FootnoteReference"/>
        </w:rPr>
        <w:footnoteReference w:id="17"/>
      </w:r>
      <w:r w:rsidR="00CE7436">
        <w:t xml:space="preserve"> It is worth noting that even in cases where there is no immediate </w:t>
      </w:r>
      <w:r w:rsidR="00E862E5">
        <w:t>potential market entrant, the existence of clear access rights can improve competition dynamics by imposing the threat of future entry.</w:t>
      </w:r>
    </w:p>
    <w:p w14:paraId="48A2DC0B" w14:textId="77777777" w:rsidR="0071243C" w:rsidRDefault="0071243C" w:rsidP="0071243C">
      <w:pPr>
        <w:pStyle w:val="ListBullet"/>
        <w:numPr>
          <w:ilvl w:val="0"/>
          <w:numId w:val="0"/>
        </w:numPr>
        <w:ind w:left="360"/>
        <w:jc w:val="both"/>
      </w:pPr>
    </w:p>
    <w:p w14:paraId="2AE06EFC" w14:textId="55F40ABD" w:rsidR="00C041FC" w:rsidRDefault="000F4C6B" w:rsidP="005C7E91">
      <w:pPr>
        <w:pStyle w:val="ListParagraph"/>
        <w:numPr>
          <w:ilvl w:val="0"/>
          <w:numId w:val="34"/>
        </w:numPr>
        <w:ind w:left="0" w:firstLine="0"/>
        <w:jc w:val="both"/>
      </w:pPr>
      <w:r>
        <w:rPr>
          <w:b/>
        </w:rPr>
        <w:t>I</w:t>
      </w:r>
      <w:r w:rsidR="00837E84" w:rsidRPr="00837E84">
        <w:rPr>
          <w:b/>
        </w:rPr>
        <w:t>n addition to clarifying access rights</w:t>
      </w:r>
      <w:r w:rsidR="007A15E9">
        <w:rPr>
          <w:b/>
        </w:rPr>
        <w:t>,</w:t>
      </w:r>
      <w:r w:rsidR="00837E84" w:rsidRPr="00837E84">
        <w:rPr>
          <w:b/>
        </w:rPr>
        <w:t xml:space="preserve"> t</w:t>
      </w:r>
      <w:r w:rsidR="001E15DA" w:rsidRPr="00837E84">
        <w:rPr>
          <w:b/>
        </w:rPr>
        <w:t xml:space="preserve">o open the rail market to competition a </w:t>
      </w:r>
      <w:r w:rsidR="0071243C" w:rsidRPr="00837E84">
        <w:rPr>
          <w:b/>
        </w:rPr>
        <w:t>degree of vertical separation</w:t>
      </w:r>
      <w:r w:rsidR="00C041FC" w:rsidRPr="00837E84">
        <w:rPr>
          <w:b/>
        </w:rPr>
        <w:t xml:space="preserve"> of the</w:t>
      </w:r>
      <w:r w:rsidR="007A15E9">
        <w:rPr>
          <w:b/>
        </w:rPr>
        <w:t xml:space="preserve"> vertically integrated</w:t>
      </w:r>
      <w:r w:rsidR="00C041FC" w:rsidRPr="00837E84">
        <w:rPr>
          <w:b/>
        </w:rPr>
        <w:t xml:space="preserve"> </w:t>
      </w:r>
      <w:proofErr w:type="spellStart"/>
      <w:r w:rsidR="00460B7C" w:rsidRPr="00837E84">
        <w:rPr>
          <w:b/>
        </w:rPr>
        <w:t>concession</w:t>
      </w:r>
      <w:r>
        <w:rPr>
          <w:b/>
        </w:rPr>
        <w:t>i</w:t>
      </w:r>
      <w:r w:rsidR="00460B7C" w:rsidRPr="00837E84">
        <w:rPr>
          <w:b/>
        </w:rPr>
        <w:t>s</w:t>
      </w:r>
      <w:r>
        <w:rPr>
          <w:b/>
        </w:rPr>
        <w:t>t</w:t>
      </w:r>
      <w:proofErr w:type="spellEnd"/>
      <w:r w:rsidR="001E15DA" w:rsidRPr="00837E84">
        <w:rPr>
          <w:b/>
        </w:rPr>
        <w:t xml:space="preserve"> </w:t>
      </w:r>
      <w:r w:rsidR="00FE73F4">
        <w:rPr>
          <w:b/>
        </w:rPr>
        <w:t>c</w:t>
      </w:r>
      <w:r w:rsidR="00FE73F4" w:rsidRPr="00837E84">
        <w:rPr>
          <w:b/>
        </w:rPr>
        <w:t xml:space="preserve">ould </w:t>
      </w:r>
      <w:r w:rsidR="001E15DA" w:rsidRPr="00837E84">
        <w:rPr>
          <w:b/>
        </w:rPr>
        <w:t xml:space="preserve">be </w:t>
      </w:r>
      <w:r>
        <w:rPr>
          <w:b/>
        </w:rPr>
        <w:t>required</w:t>
      </w:r>
      <w:r w:rsidR="00C041FC" w:rsidRPr="00837E84">
        <w:rPr>
          <w:b/>
        </w:rPr>
        <w:t>.</w:t>
      </w:r>
      <w:r w:rsidR="00460B7C">
        <w:t xml:space="preserve"> </w:t>
      </w:r>
      <w:r w:rsidR="00945A9B">
        <w:t>Unlike many of its comparator countries, Armenia does not have any form of separation in place between infrastructure management and operation of rolling stock. This can be an issue since</w:t>
      </w:r>
      <w:r w:rsidR="00AC08D1">
        <w:t xml:space="preserve"> v</w:t>
      </w:r>
      <w:r w:rsidR="00BD51EB" w:rsidRPr="00F93DBF">
        <w:t xml:space="preserve">ertically integrated company </w:t>
      </w:r>
      <w:r w:rsidR="00945A9B">
        <w:t>does</w:t>
      </w:r>
      <w:r w:rsidR="00945A9B" w:rsidRPr="00F93DBF">
        <w:t xml:space="preserve"> </w:t>
      </w:r>
      <w:r w:rsidR="00BD51EB" w:rsidRPr="00F93DBF">
        <w:t>not</w:t>
      </w:r>
      <w:r w:rsidR="00945A9B">
        <w:t xml:space="preserve"> have incentives to</w:t>
      </w:r>
      <w:r w:rsidR="00BD51EB" w:rsidRPr="00F93DBF">
        <w:t xml:space="preserve"> provide access to infrastructure on fair and non-discriminatory terms, resulting in foreclosure of competition and raising rival’s costs</w:t>
      </w:r>
      <w:r w:rsidR="00460B7C">
        <w:t>.</w:t>
      </w:r>
      <w:r w:rsidR="00837E84">
        <w:rPr>
          <w:rStyle w:val="FootnoteReference"/>
        </w:rPr>
        <w:footnoteReference w:id="18"/>
      </w:r>
      <w:r w:rsidR="00460B7C">
        <w:t xml:space="preserve">  In fact, in practice </w:t>
      </w:r>
      <w:r w:rsidR="00B94EF2">
        <w:t xml:space="preserve">in other countries many </w:t>
      </w:r>
      <w:r w:rsidR="00460B7C" w:rsidRPr="00460B7C">
        <w:t>integrated incumbent rail service provider</w:t>
      </w:r>
      <w:r w:rsidR="00460B7C">
        <w:t>s</w:t>
      </w:r>
      <w:r w:rsidR="00B94EF2">
        <w:t xml:space="preserve"> were seen to have</w:t>
      </w:r>
      <w:r w:rsidR="00460B7C" w:rsidRPr="00460B7C">
        <w:t xml:space="preserve"> sought to use </w:t>
      </w:r>
      <w:r w:rsidR="00460B7C">
        <w:t>their</w:t>
      </w:r>
      <w:r w:rsidR="00460B7C" w:rsidRPr="00460B7C">
        <w:t xml:space="preserve"> position as owner of the track</w:t>
      </w:r>
      <w:r w:rsidR="00460B7C">
        <w:t>s</w:t>
      </w:r>
      <w:r w:rsidR="00460B7C" w:rsidRPr="00460B7C">
        <w:t xml:space="preserve"> to restrict or deny access. </w:t>
      </w:r>
      <w:r w:rsidR="00837E84">
        <w:t>For example</w:t>
      </w:r>
      <w:r w:rsidR="005C7E91">
        <w:t>,</w:t>
      </w:r>
      <w:r w:rsidR="00837E84">
        <w:t xml:space="preserve"> in</w:t>
      </w:r>
      <w:r w:rsidR="00460B7C" w:rsidRPr="00460B7C">
        <w:t xml:space="preserve"> Germany </w:t>
      </w:r>
      <w:r w:rsidR="00837E84">
        <w:t xml:space="preserve">an </w:t>
      </w:r>
      <w:r w:rsidR="00460B7C" w:rsidRPr="00460B7C">
        <w:t xml:space="preserve">early version of the track access charging system used by Deutsche Bahn, which included volume discounts, </w:t>
      </w:r>
      <w:r w:rsidR="008814D1" w:rsidRPr="00460B7C">
        <w:t>favored</w:t>
      </w:r>
      <w:r w:rsidR="00460B7C" w:rsidRPr="00460B7C">
        <w:t xml:space="preserve"> its own passenger subsidiary (DB Regio) over rivals.</w:t>
      </w:r>
      <w:r w:rsidR="00837E84">
        <w:rPr>
          <w:rStyle w:val="FootnoteReference"/>
        </w:rPr>
        <w:footnoteReference w:id="19"/>
      </w:r>
      <w:r w:rsidR="00460B7C" w:rsidRPr="00460B7C">
        <w:t xml:space="preserve"> </w:t>
      </w:r>
      <w:r w:rsidR="00460B7C">
        <w:t>T</w:t>
      </w:r>
      <w:r w:rsidR="00C041FC">
        <w:t>hus</w:t>
      </w:r>
      <w:r w:rsidR="00837E84">
        <w:t>,</w:t>
      </w:r>
      <w:r w:rsidR="00C041FC">
        <w:t xml:space="preserve"> mandating a certain degree of v</w:t>
      </w:r>
      <w:r w:rsidR="00BD51EB" w:rsidRPr="00F93DBF">
        <w:t>ertical separation</w:t>
      </w:r>
      <w:r w:rsidR="00BD51EB">
        <w:t xml:space="preserve"> </w:t>
      </w:r>
      <w:r w:rsidR="00C041FC">
        <w:t xml:space="preserve">of the integrated </w:t>
      </w:r>
      <w:r w:rsidR="00837E84">
        <w:t>concessionism</w:t>
      </w:r>
      <w:r w:rsidR="008F4A9E">
        <w:t>,</w:t>
      </w:r>
      <w:r w:rsidR="00460B7C">
        <w:t xml:space="preserve"> in addition to access</w:t>
      </w:r>
      <w:r w:rsidR="008F4A9E">
        <w:t>,</w:t>
      </w:r>
      <w:r w:rsidR="00460B7C">
        <w:t xml:space="preserve"> </w:t>
      </w:r>
      <w:r w:rsidR="008F4A9E">
        <w:t xml:space="preserve">may </w:t>
      </w:r>
      <w:r w:rsidR="00460B7C">
        <w:t>be needed</w:t>
      </w:r>
      <w:r w:rsidR="00C041FC">
        <w:t xml:space="preserve">.  </w:t>
      </w:r>
      <w:r w:rsidR="00C041FC">
        <w:rPr>
          <w:lang w:val="en-GB"/>
        </w:rPr>
        <w:t xml:space="preserve">In its simplest form it </w:t>
      </w:r>
      <w:r w:rsidR="00C041FC" w:rsidRPr="004631D9">
        <w:rPr>
          <w:lang w:val="en-GB"/>
        </w:rPr>
        <w:t>may consist</w:t>
      </w:r>
      <w:r w:rsidR="00C041FC" w:rsidRPr="00E67EB7">
        <w:rPr>
          <w:lang w:val="en-GB"/>
        </w:rPr>
        <w:t xml:space="preserve"> of accounting </w:t>
      </w:r>
      <w:r w:rsidR="00426D1F" w:rsidRPr="00E67EB7">
        <w:rPr>
          <w:lang w:val="en-GB"/>
        </w:rPr>
        <w:t>separation,</w:t>
      </w:r>
      <w:r w:rsidR="00460B7C" w:rsidRPr="00E67EB7">
        <w:rPr>
          <w:lang w:val="en-GB"/>
        </w:rPr>
        <w:t xml:space="preserve"> but countries have used </w:t>
      </w:r>
      <w:r w:rsidR="00837E84" w:rsidRPr="00E67EB7">
        <w:rPr>
          <w:lang w:val="en-GB"/>
        </w:rPr>
        <w:t>other types of vertical separation as well</w:t>
      </w:r>
      <w:r w:rsidR="00C041FC" w:rsidRPr="00E67EB7">
        <w:rPr>
          <w:lang w:val="en-GB"/>
        </w:rPr>
        <w:t>.</w:t>
      </w:r>
      <w:r w:rsidR="00837E84" w:rsidRPr="00E67EB7">
        <w:rPr>
          <w:lang w:val="en-GB"/>
        </w:rPr>
        <w:t xml:space="preserve"> </w:t>
      </w:r>
      <w:r w:rsidR="006229B3" w:rsidRPr="00E67EB7">
        <w:rPr>
          <w:lang w:val="en-GB"/>
        </w:rPr>
        <w:fldChar w:fldCharType="begin"/>
      </w:r>
      <w:r w:rsidR="006229B3" w:rsidRPr="00E67EB7">
        <w:rPr>
          <w:lang w:val="en-GB"/>
        </w:rPr>
        <w:instrText xml:space="preserve"> REF _Ref11843806 \h </w:instrText>
      </w:r>
      <w:r w:rsidR="006229B3" w:rsidRPr="00246D05">
        <w:rPr>
          <w:lang w:val="en-GB"/>
        </w:rPr>
        <w:instrText xml:space="preserve"> \* MERGEFORMAT </w:instrText>
      </w:r>
      <w:r w:rsidR="006229B3" w:rsidRPr="00E67EB7">
        <w:rPr>
          <w:lang w:val="en-GB"/>
        </w:rPr>
      </w:r>
      <w:r w:rsidR="006229B3" w:rsidRPr="00E67EB7">
        <w:rPr>
          <w:lang w:val="en-GB"/>
        </w:rPr>
        <w:fldChar w:fldCharType="separate"/>
      </w:r>
      <w:r w:rsidR="00A31FAC" w:rsidRPr="00383CD1">
        <w:t xml:space="preserve">Table </w:t>
      </w:r>
      <w:r w:rsidR="00A31FAC" w:rsidRPr="00383CD1">
        <w:rPr>
          <w:noProof/>
        </w:rPr>
        <w:t>2</w:t>
      </w:r>
      <w:r w:rsidR="006229B3" w:rsidRPr="00E67EB7">
        <w:rPr>
          <w:lang w:val="en-GB"/>
        </w:rPr>
        <w:fldChar w:fldCharType="end"/>
      </w:r>
      <w:r w:rsidR="006229B3" w:rsidRPr="004631D9">
        <w:rPr>
          <w:lang w:val="en-GB"/>
        </w:rPr>
        <w:t xml:space="preserve"> </w:t>
      </w:r>
      <w:r w:rsidR="006229B3" w:rsidRPr="00E67EB7">
        <w:rPr>
          <w:lang w:val="en-GB"/>
        </w:rPr>
        <w:t xml:space="preserve">provides </w:t>
      </w:r>
      <w:r w:rsidR="00837E84" w:rsidRPr="00E67EB7">
        <w:t>an overview of different models of vertical separation provided by comparator countries based on information available in the OECD Product Market Regulation Database.</w:t>
      </w:r>
    </w:p>
    <w:p w14:paraId="7F0E7CFB" w14:textId="77777777" w:rsidR="00837E84" w:rsidRDefault="00837E84" w:rsidP="0071243C">
      <w:pPr>
        <w:pStyle w:val="ListBullet"/>
        <w:numPr>
          <w:ilvl w:val="0"/>
          <w:numId w:val="0"/>
        </w:numPr>
        <w:ind w:left="360"/>
        <w:jc w:val="both"/>
        <w:rPr>
          <w:lang w:val="en-GB"/>
        </w:rPr>
      </w:pPr>
    </w:p>
    <w:p w14:paraId="69DD954E" w14:textId="0E4CE056" w:rsidR="00C041FC" w:rsidRPr="00246D05" w:rsidRDefault="006229B3" w:rsidP="00C041FC">
      <w:pPr>
        <w:jc w:val="both"/>
        <w:rPr>
          <w:b/>
          <w:color w:val="323E4F" w:themeColor="text2" w:themeShade="BF"/>
          <w:sz w:val="20"/>
          <w:szCs w:val="20"/>
        </w:rPr>
      </w:pPr>
      <w:bookmarkStart w:id="16" w:name="_Ref11843806"/>
      <w:r w:rsidRPr="00426D1F">
        <w:rPr>
          <w:b/>
          <w:sz w:val="20"/>
          <w:szCs w:val="20"/>
        </w:rPr>
        <w:t xml:space="preserve">Table </w:t>
      </w:r>
      <w:r w:rsidRPr="00426D1F">
        <w:rPr>
          <w:b/>
          <w:sz w:val="20"/>
          <w:szCs w:val="20"/>
        </w:rPr>
        <w:fldChar w:fldCharType="begin"/>
      </w:r>
      <w:r w:rsidRPr="00426D1F">
        <w:rPr>
          <w:b/>
          <w:sz w:val="20"/>
          <w:szCs w:val="20"/>
        </w:rPr>
        <w:instrText xml:space="preserve"> SEQ Table \* ARABIC </w:instrText>
      </w:r>
      <w:r w:rsidRPr="00426D1F">
        <w:rPr>
          <w:b/>
          <w:sz w:val="20"/>
          <w:szCs w:val="20"/>
        </w:rPr>
        <w:fldChar w:fldCharType="separate"/>
      </w:r>
      <w:r w:rsidR="00A31FAC">
        <w:rPr>
          <w:b/>
          <w:noProof/>
          <w:sz w:val="20"/>
          <w:szCs w:val="20"/>
        </w:rPr>
        <w:t>2</w:t>
      </w:r>
      <w:r w:rsidRPr="00426D1F">
        <w:rPr>
          <w:b/>
          <w:sz w:val="20"/>
          <w:szCs w:val="20"/>
        </w:rPr>
        <w:fldChar w:fldCharType="end"/>
      </w:r>
      <w:bookmarkEnd w:id="16"/>
      <w:r w:rsidRPr="00426D1F">
        <w:rPr>
          <w:b/>
          <w:sz w:val="20"/>
          <w:szCs w:val="20"/>
        </w:rPr>
        <w:t xml:space="preserve">. </w:t>
      </w:r>
      <w:r w:rsidRPr="00246D05">
        <w:rPr>
          <w:b/>
          <w:color w:val="323E4F" w:themeColor="text2" w:themeShade="BF"/>
          <w:sz w:val="20"/>
          <w:szCs w:val="20"/>
        </w:rPr>
        <w:t>T</w:t>
      </w:r>
      <w:r w:rsidR="00837E84" w:rsidRPr="00246D05">
        <w:rPr>
          <w:b/>
          <w:color w:val="323E4F" w:themeColor="text2" w:themeShade="BF"/>
          <w:sz w:val="20"/>
          <w:szCs w:val="20"/>
        </w:rPr>
        <w:t>he nature of vertical separation between the operation of railroad infrastructure and the provision of railway services (actual transport of passengers or fright)</w:t>
      </w:r>
    </w:p>
    <w:p w14:paraId="74B5AF5E" w14:textId="77777777" w:rsidR="00C041FC" w:rsidRPr="00C041FC" w:rsidRDefault="00C041FC" w:rsidP="00C041FC"/>
    <w:tbl>
      <w:tblPr>
        <w:tblW w:w="9360" w:type="dxa"/>
        <w:tblCellMar>
          <w:left w:w="0" w:type="dxa"/>
          <w:right w:w="0" w:type="dxa"/>
        </w:tblCellMar>
        <w:tblLook w:val="04A0" w:firstRow="1" w:lastRow="0" w:firstColumn="1" w:lastColumn="0" w:noHBand="0" w:noVBand="1"/>
      </w:tblPr>
      <w:tblGrid>
        <w:gridCol w:w="1710"/>
        <w:gridCol w:w="1710"/>
        <w:gridCol w:w="2160"/>
        <w:gridCol w:w="1710"/>
        <w:gridCol w:w="2070"/>
      </w:tblGrid>
      <w:tr w:rsidR="00C041FC" w:rsidRPr="00C041FC" w14:paraId="27921FC2" w14:textId="77777777" w:rsidTr="00237704">
        <w:trPr>
          <w:trHeight w:val="292"/>
        </w:trPr>
        <w:tc>
          <w:tcPr>
            <w:tcW w:w="1710"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7915A7C6" w14:textId="77777777" w:rsidR="00C041FC" w:rsidRPr="00C041FC" w:rsidRDefault="00C041FC" w:rsidP="00237704"/>
        </w:tc>
        <w:tc>
          <w:tcPr>
            <w:tcW w:w="1710"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4ED2563B" w14:textId="77777777" w:rsidR="00C041FC" w:rsidRPr="00C041FC" w:rsidRDefault="00C041FC" w:rsidP="00237704">
            <w:pPr>
              <w:jc w:val="center"/>
              <w:rPr>
                <w:b/>
                <w:bCs/>
                <w:color w:val="000000"/>
                <w:sz w:val="18"/>
                <w:szCs w:val="18"/>
              </w:rPr>
            </w:pPr>
            <w:r w:rsidRPr="00C041FC">
              <w:rPr>
                <w:b/>
                <w:bCs/>
                <w:color w:val="000000"/>
                <w:sz w:val="18"/>
                <w:szCs w:val="18"/>
              </w:rPr>
              <w:t xml:space="preserve">no separation </w:t>
            </w:r>
          </w:p>
          <w:p w14:paraId="764306A6" w14:textId="77777777" w:rsidR="00C041FC" w:rsidRPr="00C041FC" w:rsidRDefault="00C041FC" w:rsidP="00237704">
            <w:pPr>
              <w:jc w:val="center"/>
              <w:rPr>
                <w:rFonts w:ascii="Times New Roman" w:hAnsi="Times New Roman" w:cs="Times New Roman"/>
                <w:b/>
                <w:bCs/>
                <w:color w:val="000000"/>
                <w:sz w:val="18"/>
                <w:szCs w:val="18"/>
              </w:rPr>
            </w:pPr>
          </w:p>
        </w:tc>
        <w:tc>
          <w:tcPr>
            <w:tcW w:w="2160" w:type="dxa"/>
            <w:tcBorders>
              <w:top w:val="single" w:sz="8" w:space="0" w:color="4472C4"/>
              <w:left w:val="nil"/>
              <w:bottom w:val="single" w:sz="8" w:space="0" w:color="4472C4"/>
              <w:right w:val="nil"/>
            </w:tcBorders>
          </w:tcPr>
          <w:p w14:paraId="0462F9C1" w14:textId="77777777" w:rsidR="00C041FC" w:rsidRPr="00C041FC" w:rsidRDefault="00C041FC" w:rsidP="00237704">
            <w:pPr>
              <w:jc w:val="center"/>
              <w:rPr>
                <w:b/>
                <w:bCs/>
                <w:color w:val="000000"/>
                <w:sz w:val="18"/>
                <w:szCs w:val="18"/>
              </w:rPr>
            </w:pPr>
            <w:r w:rsidRPr="00C041FC">
              <w:rPr>
                <w:b/>
                <w:bCs/>
                <w:color w:val="000000"/>
                <w:sz w:val="18"/>
                <w:szCs w:val="18"/>
              </w:rPr>
              <w:t>accounting separation</w:t>
            </w:r>
          </w:p>
        </w:tc>
        <w:tc>
          <w:tcPr>
            <w:tcW w:w="1710" w:type="dxa"/>
            <w:tcBorders>
              <w:top w:val="single" w:sz="8" w:space="0" w:color="4472C4"/>
              <w:left w:val="nil"/>
              <w:bottom w:val="single" w:sz="8" w:space="0" w:color="4472C4"/>
              <w:right w:val="nil"/>
            </w:tcBorders>
          </w:tcPr>
          <w:p w14:paraId="641426DF" w14:textId="77777777" w:rsidR="00C041FC" w:rsidRPr="00C041FC" w:rsidRDefault="00C041FC" w:rsidP="00237704">
            <w:pPr>
              <w:jc w:val="center"/>
              <w:rPr>
                <w:b/>
                <w:bCs/>
                <w:color w:val="000000"/>
                <w:sz w:val="18"/>
                <w:szCs w:val="18"/>
              </w:rPr>
            </w:pPr>
            <w:r w:rsidRPr="00C041FC">
              <w:rPr>
                <w:b/>
                <w:bCs/>
                <w:color w:val="000000"/>
                <w:sz w:val="18"/>
                <w:szCs w:val="18"/>
              </w:rPr>
              <w:t>legal separation</w:t>
            </w:r>
          </w:p>
        </w:tc>
        <w:tc>
          <w:tcPr>
            <w:tcW w:w="2070" w:type="dxa"/>
            <w:tcBorders>
              <w:top w:val="single" w:sz="8" w:space="0" w:color="4472C4"/>
              <w:left w:val="nil"/>
              <w:bottom w:val="single" w:sz="8" w:space="0" w:color="4472C4"/>
              <w:right w:val="nil"/>
            </w:tcBorders>
            <w:noWrap/>
            <w:tcMar>
              <w:top w:w="0" w:type="dxa"/>
              <w:left w:w="108" w:type="dxa"/>
              <w:bottom w:w="0" w:type="dxa"/>
              <w:right w:w="108" w:type="dxa"/>
            </w:tcMar>
            <w:hideMark/>
          </w:tcPr>
          <w:p w14:paraId="742416F8" w14:textId="77777777" w:rsidR="00C041FC" w:rsidRPr="00C041FC" w:rsidRDefault="00C041FC" w:rsidP="00237704">
            <w:pPr>
              <w:jc w:val="center"/>
              <w:rPr>
                <w:b/>
                <w:bCs/>
                <w:color w:val="000000"/>
                <w:sz w:val="18"/>
                <w:szCs w:val="18"/>
              </w:rPr>
            </w:pPr>
            <w:r w:rsidRPr="00C041FC">
              <w:rPr>
                <w:b/>
                <w:bCs/>
                <w:color w:val="000000"/>
                <w:sz w:val="18"/>
                <w:szCs w:val="18"/>
              </w:rPr>
              <w:t>ownership separation</w:t>
            </w:r>
          </w:p>
        </w:tc>
      </w:tr>
      <w:tr w:rsidR="00C041FC" w:rsidRPr="00C041FC" w14:paraId="427B68F7" w14:textId="77777777" w:rsidTr="00246D05">
        <w:trPr>
          <w:trHeight w:val="292"/>
        </w:trPr>
        <w:tc>
          <w:tcPr>
            <w:tcW w:w="1710" w:type="dxa"/>
            <w:shd w:val="clear" w:color="auto" w:fill="F7CAAC" w:themeFill="accent2" w:themeFillTint="66"/>
            <w:noWrap/>
            <w:tcMar>
              <w:top w:w="0" w:type="dxa"/>
              <w:left w:w="108" w:type="dxa"/>
              <w:bottom w:w="0" w:type="dxa"/>
              <w:right w:w="108" w:type="dxa"/>
            </w:tcMar>
            <w:hideMark/>
          </w:tcPr>
          <w:p w14:paraId="2BD90C1A" w14:textId="77777777" w:rsidR="00C041FC" w:rsidRPr="00C041FC" w:rsidRDefault="00C041FC" w:rsidP="00237704">
            <w:pPr>
              <w:rPr>
                <w:color w:val="000000"/>
                <w:sz w:val="18"/>
                <w:szCs w:val="18"/>
              </w:rPr>
            </w:pPr>
            <w:r w:rsidRPr="00C041FC">
              <w:rPr>
                <w:color w:val="000000"/>
                <w:sz w:val="18"/>
                <w:szCs w:val="18"/>
              </w:rPr>
              <w:t>Armenia</w:t>
            </w:r>
          </w:p>
        </w:tc>
        <w:tc>
          <w:tcPr>
            <w:tcW w:w="1710" w:type="dxa"/>
            <w:shd w:val="clear" w:color="auto" w:fill="F7CAAC" w:themeFill="accent2" w:themeFillTint="66"/>
            <w:noWrap/>
            <w:tcMar>
              <w:top w:w="0" w:type="dxa"/>
              <w:left w:w="108" w:type="dxa"/>
              <w:bottom w:w="0" w:type="dxa"/>
              <w:right w:w="108" w:type="dxa"/>
            </w:tcMar>
            <w:hideMark/>
          </w:tcPr>
          <w:p w14:paraId="40B204E2" w14:textId="77777777" w:rsidR="00C041FC" w:rsidRPr="00C041FC" w:rsidRDefault="00C041FC" w:rsidP="00237704">
            <w:pPr>
              <w:jc w:val="center"/>
              <w:rPr>
                <w:color w:val="000000"/>
                <w:sz w:val="18"/>
                <w:szCs w:val="18"/>
              </w:rPr>
            </w:pPr>
            <w:r w:rsidRPr="00C041FC">
              <w:rPr>
                <w:color w:val="000000"/>
                <w:sz w:val="18"/>
                <w:szCs w:val="18"/>
              </w:rPr>
              <w:t>√</w:t>
            </w:r>
          </w:p>
        </w:tc>
        <w:tc>
          <w:tcPr>
            <w:tcW w:w="2160" w:type="dxa"/>
            <w:shd w:val="clear" w:color="auto" w:fill="F7CAAC" w:themeFill="accent2" w:themeFillTint="66"/>
          </w:tcPr>
          <w:p w14:paraId="087217DD" w14:textId="77777777" w:rsidR="00C041FC" w:rsidRPr="00C041FC" w:rsidRDefault="00C041FC" w:rsidP="00237704">
            <w:pPr>
              <w:jc w:val="center"/>
              <w:rPr>
                <w:color w:val="000000"/>
                <w:sz w:val="18"/>
                <w:szCs w:val="18"/>
              </w:rPr>
            </w:pPr>
          </w:p>
        </w:tc>
        <w:tc>
          <w:tcPr>
            <w:tcW w:w="1710" w:type="dxa"/>
            <w:shd w:val="clear" w:color="auto" w:fill="F7CAAC" w:themeFill="accent2" w:themeFillTint="66"/>
          </w:tcPr>
          <w:p w14:paraId="1C0A30E2" w14:textId="77777777" w:rsidR="00C041FC" w:rsidRPr="00C041FC" w:rsidRDefault="00C041FC" w:rsidP="00237704">
            <w:pPr>
              <w:jc w:val="center"/>
              <w:rPr>
                <w:color w:val="000000"/>
                <w:sz w:val="18"/>
                <w:szCs w:val="18"/>
              </w:rPr>
            </w:pPr>
          </w:p>
        </w:tc>
        <w:tc>
          <w:tcPr>
            <w:tcW w:w="2070" w:type="dxa"/>
            <w:shd w:val="clear" w:color="auto" w:fill="F7CAAC" w:themeFill="accent2" w:themeFillTint="66"/>
            <w:noWrap/>
            <w:tcMar>
              <w:top w:w="0" w:type="dxa"/>
              <w:left w:w="108" w:type="dxa"/>
              <w:bottom w:w="0" w:type="dxa"/>
              <w:right w:w="108" w:type="dxa"/>
            </w:tcMar>
            <w:hideMark/>
          </w:tcPr>
          <w:p w14:paraId="4E021F66" w14:textId="77777777" w:rsidR="00C041FC" w:rsidRPr="00C041FC" w:rsidRDefault="00C041FC" w:rsidP="00237704">
            <w:pPr>
              <w:jc w:val="center"/>
              <w:rPr>
                <w:color w:val="000000"/>
                <w:sz w:val="18"/>
                <w:szCs w:val="18"/>
              </w:rPr>
            </w:pPr>
          </w:p>
        </w:tc>
      </w:tr>
      <w:tr w:rsidR="00C041FC" w:rsidRPr="00C041FC" w14:paraId="0EF5D1F2" w14:textId="77777777" w:rsidTr="00237704">
        <w:trPr>
          <w:trHeight w:val="292"/>
        </w:trPr>
        <w:tc>
          <w:tcPr>
            <w:tcW w:w="1710" w:type="dxa"/>
            <w:noWrap/>
            <w:tcMar>
              <w:top w:w="0" w:type="dxa"/>
              <w:left w:w="108" w:type="dxa"/>
              <w:bottom w:w="0" w:type="dxa"/>
              <w:right w:w="108" w:type="dxa"/>
            </w:tcMar>
            <w:hideMark/>
          </w:tcPr>
          <w:p w14:paraId="1376AE90" w14:textId="77777777" w:rsidR="00C041FC" w:rsidRPr="00C041FC" w:rsidRDefault="00C041FC" w:rsidP="00237704">
            <w:pPr>
              <w:rPr>
                <w:rFonts w:ascii="Times New Roman" w:hAnsi="Times New Roman" w:cs="Times New Roman"/>
                <w:color w:val="000000"/>
                <w:sz w:val="18"/>
                <w:szCs w:val="18"/>
              </w:rPr>
            </w:pPr>
            <w:r w:rsidRPr="00C041FC">
              <w:rPr>
                <w:color w:val="000000"/>
                <w:sz w:val="18"/>
                <w:szCs w:val="18"/>
              </w:rPr>
              <w:t>Croatia</w:t>
            </w:r>
          </w:p>
        </w:tc>
        <w:tc>
          <w:tcPr>
            <w:tcW w:w="1710" w:type="dxa"/>
            <w:noWrap/>
            <w:tcMar>
              <w:top w:w="0" w:type="dxa"/>
              <w:left w:w="108" w:type="dxa"/>
              <w:bottom w:w="0" w:type="dxa"/>
              <w:right w:w="108" w:type="dxa"/>
            </w:tcMar>
            <w:hideMark/>
          </w:tcPr>
          <w:p w14:paraId="4B139431" w14:textId="77777777" w:rsidR="00C041FC" w:rsidRPr="00C041FC" w:rsidRDefault="00C041FC" w:rsidP="00237704">
            <w:pPr>
              <w:jc w:val="center"/>
              <w:rPr>
                <w:color w:val="000000"/>
                <w:sz w:val="18"/>
                <w:szCs w:val="18"/>
              </w:rPr>
            </w:pPr>
          </w:p>
        </w:tc>
        <w:tc>
          <w:tcPr>
            <w:tcW w:w="2160" w:type="dxa"/>
          </w:tcPr>
          <w:p w14:paraId="4928F963" w14:textId="77777777" w:rsidR="00C041FC" w:rsidRPr="00C041FC" w:rsidRDefault="00C041FC" w:rsidP="00237704">
            <w:pPr>
              <w:rPr>
                <w:color w:val="000000"/>
                <w:sz w:val="18"/>
                <w:szCs w:val="18"/>
              </w:rPr>
            </w:pPr>
          </w:p>
        </w:tc>
        <w:tc>
          <w:tcPr>
            <w:tcW w:w="1710" w:type="dxa"/>
          </w:tcPr>
          <w:p w14:paraId="43F41FC9" w14:textId="77777777" w:rsidR="00C041FC" w:rsidRPr="00C041FC" w:rsidRDefault="00C041FC" w:rsidP="00237704">
            <w:pPr>
              <w:jc w:val="center"/>
              <w:rPr>
                <w:color w:val="000000"/>
                <w:sz w:val="18"/>
                <w:szCs w:val="18"/>
              </w:rPr>
            </w:pPr>
            <w:r w:rsidRPr="00C041FC">
              <w:rPr>
                <w:color w:val="000000"/>
                <w:sz w:val="18"/>
                <w:szCs w:val="18"/>
              </w:rPr>
              <w:t>√</w:t>
            </w:r>
          </w:p>
        </w:tc>
        <w:tc>
          <w:tcPr>
            <w:tcW w:w="2070" w:type="dxa"/>
            <w:noWrap/>
            <w:tcMar>
              <w:top w:w="0" w:type="dxa"/>
              <w:left w:w="108" w:type="dxa"/>
              <w:bottom w:w="0" w:type="dxa"/>
              <w:right w:w="108" w:type="dxa"/>
            </w:tcMar>
            <w:hideMark/>
          </w:tcPr>
          <w:p w14:paraId="07742D2D" w14:textId="77777777" w:rsidR="00C041FC" w:rsidRPr="00C041FC" w:rsidRDefault="00C041FC" w:rsidP="00237704">
            <w:pPr>
              <w:rPr>
                <w:color w:val="000000"/>
                <w:sz w:val="18"/>
                <w:szCs w:val="18"/>
              </w:rPr>
            </w:pPr>
          </w:p>
        </w:tc>
      </w:tr>
      <w:tr w:rsidR="00C041FC" w:rsidRPr="00C041FC" w14:paraId="06F75545" w14:textId="77777777" w:rsidTr="002C0462">
        <w:trPr>
          <w:trHeight w:val="292"/>
        </w:trPr>
        <w:tc>
          <w:tcPr>
            <w:tcW w:w="1710" w:type="dxa"/>
            <w:shd w:val="clear" w:color="auto" w:fill="D9E2F3" w:themeFill="accent1" w:themeFillTint="33"/>
            <w:noWrap/>
            <w:tcMar>
              <w:top w:w="0" w:type="dxa"/>
              <w:left w:w="108" w:type="dxa"/>
              <w:bottom w:w="0" w:type="dxa"/>
              <w:right w:w="108" w:type="dxa"/>
            </w:tcMar>
            <w:hideMark/>
          </w:tcPr>
          <w:p w14:paraId="0783E60B" w14:textId="77777777" w:rsidR="00C041FC" w:rsidRPr="00C041FC" w:rsidRDefault="00C041FC" w:rsidP="00237704">
            <w:pPr>
              <w:rPr>
                <w:rFonts w:ascii="Times New Roman" w:hAnsi="Times New Roman" w:cs="Times New Roman"/>
                <w:color w:val="000000"/>
                <w:sz w:val="18"/>
                <w:szCs w:val="18"/>
              </w:rPr>
            </w:pPr>
            <w:r w:rsidRPr="00C041FC">
              <w:rPr>
                <w:color w:val="000000"/>
                <w:sz w:val="18"/>
                <w:szCs w:val="18"/>
              </w:rPr>
              <w:t>Estonia</w:t>
            </w:r>
          </w:p>
        </w:tc>
        <w:tc>
          <w:tcPr>
            <w:tcW w:w="1710" w:type="dxa"/>
            <w:shd w:val="clear" w:color="auto" w:fill="D9E2F3" w:themeFill="accent1" w:themeFillTint="33"/>
            <w:noWrap/>
            <w:tcMar>
              <w:top w:w="0" w:type="dxa"/>
              <w:left w:w="108" w:type="dxa"/>
              <w:bottom w:w="0" w:type="dxa"/>
              <w:right w:w="108" w:type="dxa"/>
            </w:tcMar>
            <w:hideMark/>
          </w:tcPr>
          <w:p w14:paraId="6A1CDF27" w14:textId="77777777" w:rsidR="00C041FC" w:rsidRPr="00C041FC" w:rsidRDefault="00C041FC" w:rsidP="00237704">
            <w:pPr>
              <w:jc w:val="center"/>
              <w:rPr>
                <w:color w:val="000000"/>
                <w:sz w:val="18"/>
                <w:szCs w:val="18"/>
              </w:rPr>
            </w:pPr>
          </w:p>
        </w:tc>
        <w:tc>
          <w:tcPr>
            <w:tcW w:w="2160" w:type="dxa"/>
            <w:shd w:val="clear" w:color="auto" w:fill="D9E2F3" w:themeFill="accent1" w:themeFillTint="33"/>
          </w:tcPr>
          <w:p w14:paraId="70A9CCFB" w14:textId="77777777" w:rsidR="00C041FC" w:rsidRPr="00C041FC" w:rsidRDefault="00C041FC" w:rsidP="00237704">
            <w:pPr>
              <w:jc w:val="center"/>
              <w:rPr>
                <w:color w:val="000000"/>
                <w:sz w:val="18"/>
                <w:szCs w:val="18"/>
              </w:rPr>
            </w:pPr>
          </w:p>
        </w:tc>
        <w:tc>
          <w:tcPr>
            <w:tcW w:w="1710" w:type="dxa"/>
            <w:shd w:val="clear" w:color="auto" w:fill="D9E2F3" w:themeFill="accent1" w:themeFillTint="33"/>
          </w:tcPr>
          <w:p w14:paraId="3D29B604" w14:textId="77777777" w:rsidR="00C041FC" w:rsidRPr="00C041FC" w:rsidRDefault="00C041FC" w:rsidP="00237704">
            <w:pPr>
              <w:jc w:val="center"/>
              <w:rPr>
                <w:color w:val="000000"/>
                <w:sz w:val="18"/>
                <w:szCs w:val="18"/>
              </w:rPr>
            </w:pPr>
            <w:r w:rsidRPr="00C041FC">
              <w:rPr>
                <w:color w:val="000000"/>
                <w:sz w:val="18"/>
                <w:szCs w:val="18"/>
              </w:rPr>
              <w:t>√</w:t>
            </w:r>
          </w:p>
        </w:tc>
        <w:tc>
          <w:tcPr>
            <w:tcW w:w="2070" w:type="dxa"/>
            <w:shd w:val="clear" w:color="auto" w:fill="D9E2F3" w:themeFill="accent1" w:themeFillTint="33"/>
            <w:noWrap/>
            <w:tcMar>
              <w:top w:w="0" w:type="dxa"/>
              <w:left w:w="108" w:type="dxa"/>
              <w:bottom w:w="0" w:type="dxa"/>
              <w:right w:w="108" w:type="dxa"/>
            </w:tcMar>
            <w:hideMark/>
          </w:tcPr>
          <w:p w14:paraId="0438829C" w14:textId="77777777" w:rsidR="00C041FC" w:rsidRPr="00C041FC" w:rsidRDefault="00C041FC" w:rsidP="00237704">
            <w:pPr>
              <w:rPr>
                <w:color w:val="000000"/>
                <w:sz w:val="18"/>
                <w:szCs w:val="18"/>
              </w:rPr>
            </w:pPr>
          </w:p>
        </w:tc>
      </w:tr>
      <w:tr w:rsidR="00C041FC" w:rsidRPr="00C041FC" w14:paraId="57E9D8A1" w14:textId="77777777" w:rsidTr="00237704">
        <w:trPr>
          <w:trHeight w:val="292"/>
        </w:trPr>
        <w:tc>
          <w:tcPr>
            <w:tcW w:w="1710" w:type="dxa"/>
            <w:noWrap/>
            <w:tcMar>
              <w:top w:w="0" w:type="dxa"/>
              <w:left w:w="108" w:type="dxa"/>
              <w:bottom w:w="0" w:type="dxa"/>
              <w:right w:w="108" w:type="dxa"/>
            </w:tcMar>
            <w:hideMark/>
          </w:tcPr>
          <w:p w14:paraId="598EED30" w14:textId="77777777" w:rsidR="00C041FC" w:rsidRPr="00C041FC" w:rsidRDefault="00C041FC" w:rsidP="00237704">
            <w:pPr>
              <w:rPr>
                <w:rFonts w:ascii="Times New Roman" w:hAnsi="Times New Roman" w:cs="Times New Roman"/>
                <w:color w:val="000000"/>
                <w:sz w:val="18"/>
                <w:szCs w:val="18"/>
              </w:rPr>
            </w:pPr>
            <w:r w:rsidRPr="00C041FC">
              <w:rPr>
                <w:color w:val="000000"/>
                <w:sz w:val="18"/>
                <w:szCs w:val="18"/>
              </w:rPr>
              <w:t>Latvia</w:t>
            </w:r>
          </w:p>
        </w:tc>
        <w:tc>
          <w:tcPr>
            <w:tcW w:w="1710" w:type="dxa"/>
            <w:noWrap/>
            <w:tcMar>
              <w:top w:w="0" w:type="dxa"/>
              <w:left w:w="108" w:type="dxa"/>
              <w:bottom w:w="0" w:type="dxa"/>
              <w:right w:w="108" w:type="dxa"/>
            </w:tcMar>
            <w:hideMark/>
          </w:tcPr>
          <w:p w14:paraId="5B2E4252" w14:textId="77777777" w:rsidR="00C041FC" w:rsidRPr="00C041FC" w:rsidRDefault="00C041FC" w:rsidP="00237704">
            <w:pPr>
              <w:jc w:val="center"/>
              <w:rPr>
                <w:color w:val="000000"/>
                <w:sz w:val="18"/>
                <w:szCs w:val="18"/>
              </w:rPr>
            </w:pPr>
          </w:p>
        </w:tc>
        <w:tc>
          <w:tcPr>
            <w:tcW w:w="2160" w:type="dxa"/>
          </w:tcPr>
          <w:p w14:paraId="18B3359C" w14:textId="77777777" w:rsidR="00C041FC" w:rsidRPr="00C041FC" w:rsidRDefault="00C041FC" w:rsidP="00237704">
            <w:pPr>
              <w:rPr>
                <w:color w:val="000000"/>
                <w:sz w:val="18"/>
                <w:szCs w:val="18"/>
              </w:rPr>
            </w:pPr>
          </w:p>
        </w:tc>
        <w:tc>
          <w:tcPr>
            <w:tcW w:w="1710" w:type="dxa"/>
          </w:tcPr>
          <w:p w14:paraId="2E1C51C7" w14:textId="77777777" w:rsidR="00C041FC" w:rsidRPr="00C041FC" w:rsidRDefault="00C041FC" w:rsidP="00237704">
            <w:pPr>
              <w:jc w:val="center"/>
              <w:rPr>
                <w:color w:val="000000"/>
                <w:sz w:val="18"/>
                <w:szCs w:val="18"/>
              </w:rPr>
            </w:pPr>
            <w:r w:rsidRPr="00C041FC">
              <w:rPr>
                <w:color w:val="000000"/>
                <w:sz w:val="18"/>
                <w:szCs w:val="18"/>
              </w:rPr>
              <w:t>√</w:t>
            </w:r>
          </w:p>
        </w:tc>
        <w:tc>
          <w:tcPr>
            <w:tcW w:w="2070" w:type="dxa"/>
            <w:noWrap/>
            <w:tcMar>
              <w:top w:w="0" w:type="dxa"/>
              <w:left w:w="108" w:type="dxa"/>
              <w:bottom w:w="0" w:type="dxa"/>
              <w:right w:w="108" w:type="dxa"/>
            </w:tcMar>
            <w:hideMark/>
          </w:tcPr>
          <w:p w14:paraId="0F7A0A4D" w14:textId="77777777" w:rsidR="00C041FC" w:rsidRPr="00C041FC" w:rsidRDefault="00C041FC" w:rsidP="00237704">
            <w:pPr>
              <w:rPr>
                <w:color w:val="000000"/>
                <w:sz w:val="18"/>
                <w:szCs w:val="18"/>
              </w:rPr>
            </w:pPr>
          </w:p>
        </w:tc>
      </w:tr>
      <w:tr w:rsidR="00C041FC" w:rsidRPr="00C041FC" w14:paraId="4195FC6C" w14:textId="77777777" w:rsidTr="002C0462">
        <w:trPr>
          <w:trHeight w:val="292"/>
        </w:trPr>
        <w:tc>
          <w:tcPr>
            <w:tcW w:w="1710" w:type="dxa"/>
            <w:shd w:val="clear" w:color="auto" w:fill="D9E2F3" w:themeFill="accent1" w:themeFillTint="33"/>
            <w:noWrap/>
            <w:tcMar>
              <w:top w:w="0" w:type="dxa"/>
              <w:left w:w="108" w:type="dxa"/>
              <w:bottom w:w="0" w:type="dxa"/>
              <w:right w:w="108" w:type="dxa"/>
            </w:tcMar>
            <w:hideMark/>
          </w:tcPr>
          <w:p w14:paraId="41287C38" w14:textId="77777777" w:rsidR="00C041FC" w:rsidRPr="00C041FC" w:rsidRDefault="00C041FC" w:rsidP="00237704">
            <w:pPr>
              <w:rPr>
                <w:rFonts w:ascii="Times New Roman" w:hAnsi="Times New Roman" w:cs="Times New Roman"/>
                <w:color w:val="000000"/>
                <w:sz w:val="18"/>
                <w:szCs w:val="18"/>
              </w:rPr>
            </w:pPr>
            <w:r w:rsidRPr="00C041FC">
              <w:rPr>
                <w:color w:val="000000"/>
                <w:sz w:val="18"/>
                <w:szCs w:val="18"/>
              </w:rPr>
              <w:t>Lithuania</w:t>
            </w:r>
          </w:p>
        </w:tc>
        <w:tc>
          <w:tcPr>
            <w:tcW w:w="1710" w:type="dxa"/>
            <w:shd w:val="clear" w:color="auto" w:fill="D9E2F3" w:themeFill="accent1" w:themeFillTint="33"/>
            <w:noWrap/>
            <w:tcMar>
              <w:top w:w="0" w:type="dxa"/>
              <w:left w:w="108" w:type="dxa"/>
              <w:bottom w:w="0" w:type="dxa"/>
              <w:right w:w="108" w:type="dxa"/>
            </w:tcMar>
            <w:hideMark/>
          </w:tcPr>
          <w:p w14:paraId="4932411E" w14:textId="77777777" w:rsidR="00C041FC" w:rsidRPr="00C041FC" w:rsidRDefault="00C041FC" w:rsidP="00237704">
            <w:pPr>
              <w:jc w:val="center"/>
              <w:rPr>
                <w:color w:val="000000"/>
                <w:sz w:val="18"/>
                <w:szCs w:val="18"/>
              </w:rPr>
            </w:pPr>
          </w:p>
        </w:tc>
        <w:tc>
          <w:tcPr>
            <w:tcW w:w="2160" w:type="dxa"/>
            <w:shd w:val="clear" w:color="auto" w:fill="D9E2F3" w:themeFill="accent1" w:themeFillTint="33"/>
          </w:tcPr>
          <w:p w14:paraId="27F8EE65" w14:textId="77777777" w:rsidR="00C041FC" w:rsidRPr="00C041FC" w:rsidRDefault="00C041FC" w:rsidP="00237704">
            <w:pPr>
              <w:jc w:val="center"/>
              <w:rPr>
                <w:color w:val="000000"/>
                <w:sz w:val="18"/>
                <w:szCs w:val="18"/>
              </w:rPr>
            </w:pPr>
            <w:r w:rsidRPr="00C041FC">
              <w:rPr>
                <w:color w:val="000000"/>
                <w:sz w:val="18"/>
                <w:szCs w:val="18"/>
              </w:rPr>
              <w:t>√</w:t>
            </w:r>
          </w:p>
        </w:tc>
        <w:tc>
          <w:tcPr>
            <w:tcW w:w="1710" w:type="dxa"/>
            <w:shd w:val="clear" w:color="auto" w:fill="D9E2F3" w:themeFill="accent1" w:themeFillTint="33"/>
          </w:tcPr>
          <w:p w14:paraId="13DE7202" w14:textId="77777777" w:rsidR="00C041FC" w:rsidRPr="00C041FC" w:rsidRDefault="00C041FC" w:rsidP="00237704">
            <w:pPr>
              <w:rPr>
                <w:color w:val="000000"/>
                <w:sz w:val="18"/>
                <w:szCs w:val="18"/>
              </w:rPr>
            </w:pPr>
          </w:p>
        </w:tc>
        <w:tc>
          <w:tcPr>
            <w:tcW w:w="2070" w:type="dxa"/>
            <w:shd w:val="clear" w:color="auto" w:fill="D9E2F3" w:themeFill="accent1" w:themeFillTint="33"/>
            <w:noWrap/>
            <w:tcMar>
              <w:top w:w="0" w:type="dxa"/>
              <w:left w:w="108" w:type="dxa"/>
              <w:bottom w:w="0" w:type="dxa"/>
              <w:right w:w="108" w:type="dxa"/>
            </w:tcMar>
            <w:hideMark/>
          </w:tcPr>
          <w:p w14:paraId="57C87DFB" w14:textId="77777777" w:rsidR="00C041FC" w:rsidRPr="00C041FC" w:rsidRDefault="00C041FC" w:rsidP="00237704">
            <w:pPr>
              <w:rPr>
                <w:color w:val="000000"/>
                <w:sz w:val="18"/>
                <w:szCs w:val="18"/>
              </w:rPr>
            </w:pPr>
          </w:p>
        </w:tc>
      </w:tr>
      <w:tr w:rsidR="00C041FC" w:rsidRPr="00C041FC" w14:paraId="2A97AD43" w14:textId="77777777" w:rsidTr="00237704">
        <w:trPr>
          <w:trHeight w:val="292"/>
        </w:trPr>
        <w:tc>
          <w:tcPr>
            <w:tcW w:w="1710" w:type="dxa"/>
            <w:noWrap/>
            <w:tcMar>
              <w:top w:w="0" w:type="dxa"/>
              <w:left w:w="108" w:type="dxa"/>
              <w:bottom w:w="0" w:type="dxa"/>
              <w:right w:w="108" w:type="dxa"/>
            </w:tcMar>
            <w:hideMark/>
          </w:tcPr>
          <w:p w14:paraId="320186D7" w14:textId="77777777" w:rsidR="00C041FC" w:rsidRPr="00C041FC" w:rsidRDefault="00C041FC" w:rsidP="00237704">
            <w:pPr>
              <w:rPr>
                <w:rFonts w:asciiTheme="minorHAnsi" w:hAnsiTheme="minorHAnsi" w:cstheme="minorHAnsi"/>
                <w:color w:val="000000"/>
                <w:sz w:val="18"/>
                <w:szCs w:val="18"/>
              </w:rPr>
            </w:pPr>
            <w:r w:rsidRPr="00C041FC">
              <w:rPr>
                <w:rFonts w:asciiTheme="minorHAnsi" w:hAnsiTheme="minorHAnsi" w:cstheme="minorHAnsi"/>
                <w:color w:val="000000"/>
                <w:sz w:val="18"/>
                <w:szCs w:val="18"/>
              </w:rPr>
              <w:t>Russia</w:t>
            </w:r>
          </w:p>
        </w:tc>
        <w:tc>
          <w:tcPr>
            <w:tcW w:w="1710" w:type="dxa"/>
            <w:noWrap/>
            <w:tcMar>
              <w:top w:w="0" w:type="dxa"/>
              <w:left w:w="108" w:type="dxa"/>
              <w:bottom w:w="0" w:type="dxa"/>
              <w:right w:w="108" w:type="dxa"/>
            </w:tcMar>
            <w:hideMark/>
          </w:tcPr>
          <w:p w14:paraId="7F9EA424" w14:textId="77777777" w:rsidR="00C041FC" w:rsidRPr="00C041FC" w:rsidRDefault="00C041FC" w:rsidP="00237704">
            <w:pPr>
              <w:jc w:val="center"/>
              <w:rPr>
                <w:rFonts w:asciiTheme="minorHAnsi" w:hAnsiTheme="minorHAnsi" w:cstheme="minorHAnsi"/>
                <w:color w:val="000000"/>
                <w:sz w:val="18"/>
                <w:szCs w:val="18"/>
              </w:rPr>
            </w:pPr>
          </w:p>
        </w:tc>
        <w:tc>
          <w:tcPr>
            <w:tcW w:w="2160" w:type="dxa"/>
          </w:tcPr>
          <w:p w14:paraId="040C0892" w14:textId="77777777" w:rsidR="00C041FC" w:rsidRPr="00C041FC" w:rsidRDefault="00C041FC" w:rsidP="00237704">
            <w:pPr>
              <w:jc w:val="center"/>
              <w:rPr>
                <w:rFonts w:ascii="Times New Roman" w:hAnsi="Times New Roman" w:cs="Times New Roman"/>
                <w:color w:val="000000"/>
                <w:sz w:val="18"/>
                <w:szCs w:val="18"/>
              </w:rPr>
            </w:pPr>
            <w:r w:rsidRPr="00C041FC">
              <w:rPr>
                <w:color w:val="000000"/>
                <w:sz w:val="18"/>
                <w:szCs w:val="18"/>
              </w:rPr>
              <w:t>√</w:t>
            </w:r>
          </w:p>
        </w:tc>
        <w:tc>
          <w:tcPr>
            <w:tcW w:w="1710" w:type="dxa"/>
          </w:tcPr>
          <w:p w14:paraId="5CB17685" w14:textId="77777777" w:rsidR="00C041FC" w:rsidRPr="00C041FC" w:rsidRDefault="00C041FC" w:rsidP="00237704">
            <w:pPr>
              <w:jc w:val="center"/>
              <w:rPr>
                <w:rFonts w:ascii="Times New Roman" w:hAnsi="Times New Roman" w:cs="Times New Roman"/>
                <w:color w:val="000000"/>
                <w:sz w:val="18"/>
                <w:szCs w:val="18"/>
              </w:rPr>
            </w:pPr>
          </w:p>
        </w:tc>
        <w:tc>
          <w:tcPr>
            <w:tcW w:w="2070" w:type="dxa"/>
            <w:noWrap/>
            <w:tcMar>
              <w:top w:w="0" w:type="dxa"/>
              <w:left w:w="108" w:type="dxa"/>
              <w:bottom w:w="0" w:type="dxa"/>
              <w:right w:w="108" w:type="dxa"/>
            </w:tcMar>
            <w:hideMark/>
          </w:tcPr>
          <w:p w14:paraId="1F1CAFF9" w14:textId="77777777" w:rsidR="00C041FC" w:rsidRPr="00C041FC" w:rsidRDefault="00C041FC" w:rsidP="00237704">
            <w:pPr>
              <w:jc w:val="center"/>
              <w:rPr>
                <w:rFonts w:ascii="Times New Roman" w:hAnsi="Times New Roman" w:cs="Times New Roman"/>
                <w:color w:val="000000"/>
                <w:sz w:val="18"/>
                <w:szCs w:val="18"/>
              </w:rPr>
            </w:pPr>
          </w:p>
        </w:tc>
      </w:tr>
      <w:tr w:rsidR="00C041FC" w:rsidRPr="00C041FC" w14:paraId="2395A39E" w14:textId="77777777" w:rsidTr="002C0462">
        <w:trPr>
          <w:trHeight w:val="292"/>
        </w:trPr>
        <w:tc>
          <w:tcPr>
            <w:tcW w:w="1710" w:type="dxa"/>
            <w:shd w:val="clear" w:color="auto" w:fill="D9E2F3" w:themeFill="accent1" w:themeFillTint="33"/>
            <w:noWrap/>
            <w:tcMar>
              <w:top w:w="0" w:type="dxa"/>
              <w:left w:w="108" w:type="dxa"/>
              <w:bottom w:w="0" w:type="dxa"/>
              <w:right w:w="108" w:type="dxa"/>
            </w:tcMar>
            <w:hideMark/>
          </w:tcPr>
          <w:p w14:paraId="17DEB9F6" w14:textId="77777777" w:rsidR="00C041FC" w:rsidRPr="00C041FC" w:rsidRDefault="00C041FC" w:rsidP="00237704">
            <w:pPr>
              <w:rPr>
                <w:color w:val="000000"/>
                <w:sz w:val="18"/>
                <w:szCs w:val="18"/>
              </w:rPr>
            </w:pPr>
            <w:r w:rsidRPr="00C041FC">
              <w:rPr>
                <w:color w:val="000000"/>
                <w:sz w:val="18"/>
                <w:szCs w:val="18"/>
              </w:rPr>
              <w:t>Slovak Republic</w:t>
            </w:r>
          </w:p>
        </w:tc>
        <w:tc>
          <w:tcPr>
            <w:tcW w:w="1710" w:type="dxa"/>
            <w:shd w:val="clear" w:color="auto" w:fill="D9E2F3" w:themeFill="accent1" w:themeFillTint="33"/>
            <w:noWrap/>
            <w:tcMar>
              <w:top w:w="0" w:type="dxa"/>
              <w:left w:w="108" w:type="dxa"/>
              <w:bottom w:w="0" w:type="dxa"/>
              <w:right w:w="108" w:type="dxa"/>
            </w:tcMar>
            <w:hideMark/>
          </w:tcPr>
          <w:p w14:paraId="5690C4F1" w14:textId="77777777" w:rsidR="00C041FC" w:rsidRPr="00C041FC" w:rsidRDefault="00C041FC" w:rsidP="00237704">
            <w:pPr>
              <w:jc w:val="center"/>
              <w:rPr>
                <w:color w:val="000000"/>
                <w:sz w:val="18"/>
                <w:szCs w:val="18"/>
              </w:rPr>
            </w:pPr>
          </w:p>
        </w:tc>
        <w:tc>
          <w:tcPr>
            <w:tcW w:w="2160" w:type="dxa"/>
            <w:shd w:val="clear" w:color="auto" w:fill="D9E2F3" w:themeFill="accent1" w:themeFillTint="33"/>
          </w:tcPr>
          <w:p w14:paraId="0AE042B2" w14:textId="77777777" w:rsidR="00C041FC" w:rsidRPr="00C041FC" w:rsidRDefault="00C041FC" w:rsidP="00237704">
            <w:pPr>
              <w:jc w:val="center"/>
              <w:rPr>
                <w:rFonts w:ascii="Times New Roman" w:hAnsi="Times New Roman" w:cs="Times New Roman"/>
                <w:color w:val="000000"/>
                <w:sz w:val="18"/>
                <w:szCs w:val="18"/>
              </w:rPr>
            </w:pPr>
          </w:p>
        </w:tc>
        <w:tc>
          <w:tcPr>
            <w:tcW w:w="1710" w:type="dxa"/>
            <w:shd w:val="clear" w:color="auto" w:fill="D9E2F3" w:themeFill="accent1" w:themeFillTint="33"/>
          </w:tcPr>
          <w:p w14:paraId="586B64C7" w14:textId="77777777" w:rsidR="00C041FC" w:rsidRPr="00C041FC" w:rsidRDefault="00C041FC" w:rsidP="00237704">
            <w:pPr>
              <w:jc w:val="center"/>
              <w:rPr>
                <w:rFonts w:ascii="Times New Roman" w:hAnsi="Times New Roman" w:cs="Times New Roman"/>
                <w:color w:val="000000"/>
                <w:sz w:val="18"/>
                <w:szCs w:val="18"/>
              </w:rPr>
            </w:pPr>
            <w:r w:rsidRPr="00C041FC">
              <w:rPr>
                <w:color w:val="000000"/>
                <w:sz w:val="18"/>
                <w:szCs w:val="18"/>
              </w:rPr>
              <w:t>√</w:t>
            </w:r>
          </w:p>
        </w:tc>
        <w:tc>
          <w:tcPr>
            <w:tcW w:w="2070" w:type="dxa"/>
            <w:shd w:val="clear" w:color="auto" w:fill="D9E2F3" w:themeFill="accent1" w:themeFillTint="33"/>
            <w:noWrap/>
            <w:tcMar>
              <w:top w:w="0" w:type="dxa"/>
              <w:left w:w="108" w:type="dxa"/>
              <w:bottom w:w="0" w:type="dxa"/>
              <w:right w:w="108" w:type="dxa"/>
            </w:tcMar>
            <w:hideMark/>
          </w:tcPr>
          <w:p w14:paraId="2B061663" w14:textId="77777777" w:rsidR="00C041FC" w:rsidRPr="00C041FC" w:rsidRDefault="00C041FC" w:rsidP="00237704">
            <w:pPr>
              <w:jc w:val="center"/>
              <w:rPr>
                <w:rFonts w:ascii="Times New Roman" w:hAnsi="Times New Roman" w:cs="Times New Roman"/>
                <w:color w:val="000000"/>
                <w:sz w:val="18"/>
                <w:szCs w:val="18"/>
              </w:rPr>
            </w:pPr>
          </w:p>
        </w:tc>
      </w:tr>
      <w:tr w:rsidR="00C041FC" w:rsidRPr="003977F1" w14:paraId="53A84C5B" w14:textId="77777777" w:rsidTr="00237704">
        <w:trPr>
          <w:trHeight w:val="292"/>
        </w:trPr>
        <w:tc>
          <w:tcPr>
            <w:tcW w:w="1710" w:type="dxa"/>
            <w:tcBorders>
              <w:bottom w:val="single" w:sz="4" w:space="0" w:color="4472C4" w:themeColor="accent1"/>
            </w:tcBorders>
            <w:noWrap/>
            <w:tcMar>
              <w:top w:w="0" w:type="dxa"/>
              <w:left w:w="108" w:type="dxa"/>
              <w:bottom w:w="0" w:type="dxa"/>
              <w:right w:w="108" w:type="dxa"/>
            </w:tcMar>
            <w:hideMark/>
          </w:tcPr>
          <w:p w14:paraId="3EB29B19" w14:textId="77777777" w:rsidR="00C041FC" w:rsidRPr="00C041FC" w:rsidRDefault="00C041FC" w:rsidP="00237704">
            <w:pPr>
              <w:rPr>
                <w:color w:val="000000"/>
                <w:sz w:val="18"/>
                <w:szCs w:val="18"/>
              </w:rPr>
            </w:pPr>
            <w:r w:rsidRPr="00C041FC">
              <w:rPr>
                <w:color w:val="000000"/>
                <w:sz w:val="18"/>
                <w:szCs w:val="18"/>
              </w:rPr>
              <w:t>Turkey</w:t>
            </w:r>
          </w:p>
        </w:tc>
        <w:tc>
          <w:tcPr>
            <w:tcW w:w="1710" w:type="dxa"/>
            <w:tcBorders>
              <w:bottom w:val="single" w:sz="4" w:space="0" w:color="4472C4" w:themeColor="accent1"/>
            </w:tcBorders>
            <w:noWrap/>
            <w:tcMar>
              <w:top w:w="0" w:type="dxa"/>
              <w:left w:w="108" w:type="dxa"/>
              <w:bottom w:w="0" w:type="dxa"/>
              <w:right w:w="108" w:type="dxa"/>
            </w:tcMar>
            <w:hideMark/>
          </w:tcPr>
          <w:p w14:paraId="64F4D87C" w14:textId="77777777" w:rsidR="00C041FC" w:rsidRPr="00C041FC" w:rsidRDefault="00C041FC" w:rsidP="00237704">
            <w:pPr>
              <w:jc w:val="center"/>
              <w:rPr>
                <w:color w:val="000000"/>
                <w:sz w:val="18"/>
                <w:szCs w:val="18"/>
              </w:rPr>
            </w:pPr>
            <w:r w:rsidRPr="00C041FC">
              <w:rPr>
                <w:color w:val="000000"/>
                <w:sz w:val="18"/>
                <w:szCs w:val="18"/>
              </w:rPr>
              <w:t>√</w:t>
            </w:r>
          </w:p>
        </w:tc>
        <w:tc>
          <w:tcPr>
            <w:tcW w:w="2160" w:type="dxa"/>
            <w:tcBorders>
              <w:bottom w:val="single" w:sz="4" w:space="0" w:color="4472C4" w:themeColor="accent1"/>
            </w:tcBorders>
          </w:tcPr>
          <w:p w14:paraId="2021F50D" w14:textId="77777777" w:rsidR="00C041FC" w:rsidRPr="00C041FC" w:rsidRDefault="00C041FC" w:rsidP="00237704">
            <w:pPr>
              <w:jc w:val="center"/>
              <w:rPr>
                <w:color w:val="000000"/>
                <w:sz w:val="18"/>
                <w:szCs w:val="18"/>
              </w:rPr>
            </w:pPr>
          </w:p>
        </w:tc>
        <w:tc>
          <w:tcPr>
            <w:tcW w:w="1710" w:type="dxa"/>
            <w:tcBorders>
              <w:bottom w:val="single" w:sz="4" w:space="0" w:color="4472C4" w:themeColor="accent1"/>
            </w:tcBorders>
          </w:tcPr>
          <w:p w14:paraId="51C2ABB1" w14:textId="77777777" w:rsidR="00C041FC" w:rsidRPr="00C041FC" w:rsidRDefault="00C041FC" w:rsidP="00237704">
            <w:pPr>
              <w:jc w:val="center"/>
              <w:rPr>
                <w:color w:val="000000"/>
                <w:sz w:val="18"/>
                <w:szCs w:val="18"/>
              </w:rPr>
            </w:pPr>
          </w:p>
        </w:tc>
        <w:tc>
          <w:tcPr>
            <w:tcW w:w="2070" w:type="dxa"/>
            <w:tcBorders>
              <w:bottom w:val="single" w:sz="4" w:space="0" w:color="4472C4" w:themeColor="accent1"/>
            </w:tcBorders>
            <w:noWrap/>
            <w:tcMar>
              <w:top w:w="0" w:type="dxa"/>
              <w:left w:w="108" w:type="dxa"/>
              <w:bottom w:w="0" w:type="dxa"/>
              <w:right w:w="108" w:type="dxa"/>
            </w:tcMar>
            <w:hideMark/>
          </w:tcPr>
          <w:p w14:paraId="34419971" w14:textId="77777777" w:rsidR="00C041FC" w:rsidRPr="00C041FC" w:rsidRDefault="00C041FC" w:rsidP="00237704">
            <w:pPr>
              <w:jc w:val="center"/>
              <w:rPr>
                <w:color w:val="000000"/>
                <w:sz w:val="18"/>
                <w:szCs w:val="18"/>
              </w:rPr>
            </w:pPr>
          </w:p>
        </w:tc>
      </w:tr>
    </w:tbl>
    <w:p w14:paraId="7A8623C2" w14:textId="77777777" w:rsidR="00BD51EB" w:rsidRPr="000B0120" w:rsidRDefault="008814D1" w:rsidP="008814D1">
      <w:pPr>
        <w:jc w:val="right"/>
        <w:rPr>
          <w:sz w:val="18"/>
          <w:szCs w:val="18"/>
          <w:highlight w:val="yellow"/>
        </w:rPr>
      </w:pPr>
      <w:r w:rsidRPr="000B0120">
        <w:rPr>
          <w:i/>
          <w:sz w:val="18"/>
          <w:szCs w:val="18"/>
        </w:rPr>
        <w:t>Source: Product Market Regulation Database OECD 2013 and Armenia Product Market Regulation World Bank 2018</w:t>
      </w:r>
    </w:p>
    <w:p w14:paraId="0716CE7A" w14:textId="77777777" w:rsidR="008814D1" w:rsidRDefault="008814D1" w:rsidP="00BD51EB">
      <w:pPr>
        <w:jc w:val="both"/>
        <w:rPr>
          <w:b/>
        </w:rPr>
      </w:pPr>
    </w:p>
    <w:p w14:paraId="10FBE1AF" w14:textId="35FD2F7F" w:rsidR="00BD51EB" w:rsidRDefault="001E15DA" w:rsidP="005C7E91">
      <w:pPr>
        <w:pStyle w:val="ListParagraph"/>
        <w:numPr>
          <w:ilvl w:val="0"/>
          <w:numId w:val="34"/>
        </w:numPr>
        <w:ind w:left="0" w:firstLine="0"/>
        <w:jc w:val="both"/>
      </w:pPr>
      <w:r w:rsidRPr="00837E84">
        <w:rPr>
          <w:b/>
        </w:rPr>
        <w:t>For example</w:t>
      </w:r>
      <w:r w:rsidR="00837E84" w:rsidRPr="00837E84">
        <w:rPr>
          <w:b/>
        </w:rPr>
        <w:t xml:space="preserve">, </w:t>
      </w:r>
      <w:r w:rsidRPr="00837E84">
        <w:rPr>
          <w:b/>
        </w:rPr>
        <w:t>the</w:t>
      </w:r>
      <w:r w:rsidR="00BD51EB" w:rsidRPr="00837E84">
        <w:rPr>
          <w:b/>
        </w:rPr>
        <w:t xml:space="preserve"> EU rail transportation framework requires access and vertical separation</w:t>
      </w:r>
      <w:r w:rsidR="00837E84" w:rsidRPr="00837E84">
        <w:rPr>
          <w:b/>
        </w:rPr>
        <w:t xml:space="preserve"> which </w:t>
      </w:r>
      <w:r w:rsidR="00BD51EB" w:rsidRPr="00837E84">
        <w:rPr>
          <w:b/>
        </w:rPr>
        <w:t xml:space="preserve">has led to </w:t>
      </w:r>
      <w:proofErr w:type="gramStart"/>
      <w:r w:rsidR="00BD51EB" w:rsidRPr="00837E84">
        <w:rPr>
          <w:b/>
        </w:rPr>
        <w:t>opening up</w:t>
      </w:r>
      <w:proofErr w:type="gramEnd"/>
      <w:r w:rsidR="00BD51EB" w:rsidRPr="00837E84">
        <w:rPr>
          <w:b/>
        </w:rPr>
        <w:t xml:space="preserve"> of transportation services to competition, especially for freight transport</w:t>
      </w:r>
      <w:r w:rsidR="00BD51EB">
        <w:t>.</w:t>
      </w:r>
      <w:r w:rsidR="00837E84">
        <w:t xml:space="preserve"> I</w:t>
      </w:r>
      <w:r w:rsidR="00BD51EB">
        <w:t>n Poland railway freight transport is carried out by over 30 companies,</w:t>
      </w:r>
      <w:r w:rsidR="00BD51EB">
        <w:rPr>
          <w:rStyle w:val="FootnoteReference"/>
        </w:rPr>
        <w:footnoteReference w:id="20"/>
      </w:r>
      <w:r w:rsidR="00BD51EB">
        <w:t xml:space="preserve"> in Romania there are 24 private rail freight transport companies,</w:t>
      </w:r>
      <w:r w:rsidR="00BD51EB">
        <w:rPr>
          <w:rStyle w:val="FootnoteReference"/>
        </w:rPr>
        <w:footnoteReference w:id="21"/>
      </w:r>
      <w:r w:rsidR="00BD51EB">
        <w:t xml:space="preserve"> while in Latvia, which by population is comparable with Armenia, has 2 private rail freight transport companies operating in competition with</w:t>
      </w:r>
      <w:r>
        <w:t xml:space="preserve"> the</w:t>
      </w:r>
      <w:r w:rsidR="00BD51EB">
        <w:t xml:space="preserve"> national incumbent.</w:t>
      </w:r>
      <w:r w:rsidR="00BD51EB">
        <w:rPr>
          <w:rStyle w:val="FootnoteReference"/>
        </w:rPr>
        <w:footnoteReference w:id="22"/>
      </w:r>
    </w:p>
    <w:p w14:paraId="2A0DB55E" w14:textId="77777777" w:rsidR="00837E84" w:rsidRDefault="00837E84" w:rsidP="004A723C">
      <w:pPr>
        <w:pStyle w:val="ListBullet"/>
        <w:numPr>
          <w:ilvl w:val="0"/>
          <w:numId w:val="0"/>
        </w:numPr>
      </w:pPr>
    </w:p>
    <w:p w14:paraId="6AF392DD" w14:textId="77777777" w:rsidR="00D4261B" w:rsidRDefault="00D4261B" w:rsidP="00246D05">
      <w:pPr>
        <w:pStyle w:val="Heading5"/>
        <w:rPr>
          <w:rFonts w:eastAsia="Times New Roman"/>
        </w:rPr>
      </w:pPr>
      <w:r>
        <w:rPr>
          <w:rFonts w:eastAsia="Times New Roman"/>
        </w:rPr>
        <w:t>Air transport</w:t>
      </w:r>
    </w:p>
    <w:p w14:paraId="1D561F93" w14:textId="77777777" w:rsidR="008F6749" w:rsidRDefault="008F6749" w:rsidP="008F6749"/>
    <w:p w14:paraId="0C06047A" w14:textId="230F1D64" w:rsidR="008F6749" w:rsidRDefault="008F6749" w:rsidP="001C317E">
      <w:pPr>
        <w:pStyle w:val="ListParagraph"/>
        <w:numPr>
          <w:ilvl w:val="0"/>
          <w:numId w:val="34"/>
        </w:numPr>
        <w:ind w:left="0" w:firstLine="0"/>
        <w:jc w:val="both"/>
      </w:pPr>
      <w:r w:rsidRPr="001C317E">
        <w:rPr>
          <w:b/>
        </w:rPr>
        <w:t xml:space="preserve">For the last two </w:t>
      </w:r>
      <w:r w:rsidR="000111B2" w:rsidRPr="001C317E">
        <w:rPr>
          <w:b/>
        </w:rPr>
        <w:t>decades</w:t>
      </w:r>
      <w:r w:rsidRPr="001C317E">
        <w:rPr>
          <w:b/>
        </w:rPr>
        <w:t xml:space="preserve"> the Armenian air transport </w:t>
      </w:r>
      <w:r w:rsidR="001C317E" w:rsidRPr="001C317E">
        <w:rPr>
          <w:b/>
        </w:rPr>
        <w:t xml:space="preserve">market was </w:t>
      </w:r>
      <w:r w:rsidR="00424C95">
        <w:rPr>
          <w:b/>
        </w:rPr>
        <w:t>been characterized by</w:t>
      </w:r>
      <w:r w:rsidR="00424C95" w:rsidRPr="001C317E">
        <w:rPr>
          <w:b/>
        </w:rPr>
        <w:t xml:space="preserve"> </w:t>
      </w:r>
      <w:r w:rsidR="00424C95">
        <w:rPr>
          <w:b/>
        </w:rPr>
        <w:t xml:space="preserve">a </w:t>
      </w:r>
      <w:r w:rsidR="00266EAC" w:rsidRPr="001C317E">
        <w:rPr>
          <w:b/>
        </w:rPr>
        <w:t xml:space="preserve">low frequency </w:t>
      </w:r>
      <w:r w:rsidR="001C317E" w:rsidRPr="001C317E">
        <w:rPr>
          <w:b/>
        </w:rPr>
        <w:t>of air flights</w:t>
      </w:r>
      <w:r w:rsidR="00266EAC" w:rsidRPr="001C317E">
        <w:rPr>
          <w:b/>
        </w:rPr>
        <w:t xml:space="preserve"> and high </w:t>
      </w:r>
      <w:r w:rsidR="000F4C6B" w:rsidRPr="001C317E">
        <w:rPr>
          <w:b/>
        </w:rPr>
        <w:t>airfares</w:t>
      </w:r>
      <w:r w:rsidR="00266EAC" w:rsidRPr="001C317E">
        <w:rPr>
          <w:b/>
        </w:rPr>
        <w:t>.</w:t>
      </w:r>
      <w:r w:rsidR="00266EAC">
        <w:t xml:space="preserve"> This</w:t>
      </w:r>
      <w:r w:rsidR="001C317E">
        <w:t xml:space="preserve"> </w:t>
      </w:r>
      <w:r w:rsidR="00DB1D05">
        <w:t>appears to have been</w:t>
      </w:r>
      <w:r w:rsidR="00424C95">
        <w:t xml:space="preserve"> </w:t>
      </w:r>
      <w:r w:rsidR="00DB1D05">
        <w:t xml:space="preserve">partially </w:t>
      </w:r>
      <w:r w:rsidR="00266EAC">
        <w:t xml:space="preserve">a result of a mixed competences of the </w:t>
      </w:r>
      <w:r w:rsidR="00266EAC" w:rsidRPr="008F6749">
        <w:t>General Department of Civil Aviation</w:t>
      </w:r>
      <w:r w:rsidR="00266EAC">
        <w:t xml:space="preserve"> </w:t>
      </w:r>
      <w:r w:rsidR="00B16636">
        <w:t xml:space="preserve">(CAA) </w:t>
      </w:r>
      <w:r w:rsidR="009D1F49">
        <w:t xml:space="preserve">that held </w:t>
      </w:r>
      <w:r w:rsidR="00266EAC">
        <w:t xml:space="preserve">both a </w:t>
      </w:r>
      <w:r w:rsidR="000F4C6B" w:rsidRPr="001C317E">
        <w:rPr>
          <w:i/>
        </w:rPr>
        <w:t>d</w:t>
      </w:r>
      <w:r w:rsidR="00266EAC" w:rsidRPr="001C317E">
        <w:rPr>
          <w:i/>
        </w:rPr>
        <w:t>e facto</w:t>
      </w:r>
      <w:r w:rsidR="00266EAC">
        <w:t xml:space="preserve"> policy mak</w:t>
      </w:r>
      <w:r w:rsidR="00404477">
        <w:t>er</w:t>
      </w:r>
      <w:r w:rsidR="00266EAC">
        <w:t xml:space="preserve"> and a regulator</w:t>
      </w:r>
      <w:r w:rsidR="00DB1D05">
        <w:t>y</w:t>
      </w:r>
      <w:r w:rsidR="00404477">
        <w:t xml:space="preserve"> role</w:t>
      </w:r>
      <w:r w:rsidR="00266EAC">
        <w:t xml:space="preserve"> </w:t>
      </w:r>
      <w:proofErr w:type="gramStart"/>
      <w:r w:rsidR="009D1F49">
        <w:t>and also</w:t>
      </w:r>
      <w:proofErr w:type="gramEnd"/>
      <w:r w:rsidR="009D1F49">
        <w:t xml:space="preserve"> </w:t>
      </w:r>
      <w:r w:rsidR="00266EAC">
        <w:t xml:space="preserve">of </w:t>
      </w:r>
      <w:r w:rsidRPr="008F6749">
        <w:t>restrictive practices</w:t>
      </w:r>
      <w:r w:rsidR="00266EAC">
        <w:t xml:space="preserve"> to </w:t>
      </w:r>
      <w:r w:rsidRPr="008F6749">
        <w:t>protect the two Armenian airlines against competition.</w:t>
      </w:r>
      <w:r w:rsidR="001C317E">
        <w:t xml:space="preserve"> T</w:t>
      </w:r>
      <w:r w:rsidR="00266EAC">
        <w:t xml:space="preserve">he national carrier </w:t>
      </w:r>
      <w:proofErr w:type="spellStart"/>
      <w:r w:rsidR="001C317E">
        <w:t>Armavia</w:t>
      </w:r>
      <w:proofErr w:type="spellEnd"/>
      <w:r w:rsidR="001C317E">
        <w:t xml:space="preserve"> </w:t>
      </w:r>
      <w:r w:rsidR="00266EAC">
        <w:t>played</w:t>
      </w:r>
      <w:r w:rsidRPr="008F6749">
        <w:t xml:space="preserve"> an unofficial but </w:t>
      </w:r>
      <w:r w:rsidR="001C317E">
        <w:t xml:space="preserve">a significant </w:t>
      </w:r>
      <w:r w:rsidRPr="008F6749">
        <w:t xml:space="preserve">role influencing regulatory decisions, as well as </w:t>
      </w:r>
      <w:r w:rsidR="001C317E">
        <w:t xml:space="preserve">negotiations </w:t>
      </w:r>
      <w:r w:rsidRPr="008F6749">
        <w:t xml:space="preserve">of bilateral air services agreements. </w:t>
      </w:r>
      <w:proofErr w:type="spellStart"/>
      <w:r w:rsidR="001C317E">
        <w:t>Armavia</w:t>
      </w:r>
      <w:proofErr w:type="spellEnd"/>
      <w:r w:rsidR="001C317E">
        <w:t xml:space="preserve"> also had </w:t>
      </w:r>
      <w:r w:rsidRPr="008F6749">
        <w:t>exclusive rights through an investment agreement with the government in 2003 for a period of ten years.</w:t>
      </w:r>
      <w:r w:rsidR="001C317E">
        <w:rPr>
          <w:rStyle w:val="FootnoteReference"/>
        </w:rPr>
        <w:footnoteReference w:id="23"/>
      </w:r>
    </w:p>
    <w:p w14:paraId="5DE66707" w14:textId="77777777" w:rsidR="008F6749" w:rsidRDefault="008F6749" w:rsidP="008F6749"/>
    <w:p w14:paraId="6B0B65E9" w14:textId="13D154BC" w:rsidR="008F6749" w:rsidRDefault="008F6749" w:rsidP="00396897">
      <w:pPr>
        <w:pStyle w:val="ListParagraph"/>
        <w:numPr>
          <w:ilvl w:val="0"/>
          <w:numId w:val="34"/>
        </w:numPr>
        <w:spacing w:after="100" w:afterAutospacing="1"/>
        <w:ind w:left="0" w:firstLine="0"/>
        <w:jc w:val="both"/>
      </w:pPr>
      <w:r w:rsidRPr="001C317E">
        <w:rPr>
          <w:b/>
        </w:rPr>
        <w:t xml:space="preserve"> </w:t>
      </w:r>
      <w:r w:rsidR="00612DAF" w:rsidRPr="001C317E">
        <w:rPr>
          <w:b/>
        </w:rPr>
        <w:t>Armenia’s</w:t>
      </w:r>
      <w:r w:rsidRPr="001C317E">
        <w:rPr>
          <w:b/>
        </w:rPr>
        <w:t xml:space="preserve"> </w:t>
      </w:r>
      <w:r w:rsidR="00416B10" w:rsidRPr="001C317E">
        <w:rPr>
          <w:b/>
        </w:rPr>
        <w:t>compe</w:t>
      </w:r>
      <w:r w:rsidR="00416B10">
        <w:rPr>
          <w:b/>
        </w:rPr>
        <w:t>titiveness</w:t>
      </w:r>
      <w:r w:rsidRPr="001C317E">
        <w:rPr>
          <w:b/>
        </w:rPr>
        <w:t xml:space="preserve"> in the sector</w:t>
      </w:r>
      <w:r w:rsidR="00872495">
        <w:rPr>
          <w:b/>
        </w:rPr>
        <w:t xml:space="preserve"> has been low historically</w:t>
      </w:r>
      <w:r w:rsidRPr="001C317E">
        <w:rPr>
          <w:b/>
        </w:rPr>
        <w:t>.</w:t>
      </w:r>
      <w:r w:rsidR="00612DAF" w:rsidRPr="001C317E">
        <w:rPr>
          <w:b/>
        </w:rPr>
        <w:t xml:space="preserve"> </w:t>
      </w:r>
      <w:r w:rsidR="00F62D2D">
        <w:t>A</w:t>
      </w:r>
      <w:r w:rsidR="00CA64D2" w:rsidRPr="00246D05">
        <w:t xml:space="preserve"> 2012 USAID Study on competitiveness of Armenia’s air transport sector found that</w:t>
      </w:r>
      <w:r w:rsidR="00F62D2D">
        <w:t>, when</w:t>
      </w:r>
      <w:r w:rsidR="00F62D2D" w:rsidRPr="009D1F49">
        <w:t xml:space="preserve"> benchmarking infrastructure charges of </w:t>
      </w:r>
      <w:proofErr w:type="spellStart"/>
      <w:r w:rsidR="00F62D2D" w:rsidRPr="009D1F49">
        <w:t>Zvartno</w:t>
      </w:r>
      <w:r w:rsidR="00F62D2D">
        <w:t>t</w:t>
      </w:r>
      <w:proofErr w:type="spellEnd"/>
      <w:r w:rsidR="00F62D2D" w:rsidRPr="009D1F49">
        <w:t xml:space="preserve"> Airport in Yerevan with 18 other airports</w:t>
      </w:r>
      <w:r w:rsidR="00F62D2D">
        <w:t>,</w:t>
      </w:r>
      <w:r w:rsidR="00F62D2D" w:rsidRPr="009D1F49">
        <w:t xml:space="preserve"> </w:t>
      </w:r>
      <w:r w:rsidR="009D1F49" w:rsidRPr="009D1F49">
        <w:t xml:space="preserve">the cost of </w:t>
      </w:r>
      <w:r w:rsidR="00CA64D2">
        <w:t>an</w:t>
      </w:r>
      <w:r w:rsidR="00CA64D2" w:rsidRPr="009D1F49">
        <w:t xml:space="preserve"> </w:t>
      </w:r>
      <w:r w:rsidR="009D1F49" w:rsidRPr="009D1F49">
        <w:t>Airbus A320 two</w:t>
      </w:r>
      <w:r w:rsidR="002F16C2">
        <w:t>-</w:t>
      </w:r>
      <w:r w:rsidR="009D1F49" w:rsidRPr="009D1F49">
        <w:t xml:space="preserve">hour </w:t>
      </w:r>
      <w:r w:rsidR="000F4C6B" w:rsidRPr="009D1F49">
        <w:t>turnaround</w:t>
      </w:r>
      <w:r w:rsidR="009D1F49" w:rsidRPr="009D1F49">
        <w:t xml:space="preserve"> </w:t>
      </w:r>
      <w:r w:rsidR="009D1F49">
        <w:t xml:space="preserve">in Yerevan </w:t>
      </w:r>
      <w:r w:rsidR="00CA64D2">
        <w:t>was</w:t>
      </w:r>
      <w:r w:rsidR="00CA64D2" w:rsidRPr="009D1F49">
        <w:t xml:space="preserve"> </w:t>
      </w:r>
      <w:r w:rsidR="009D1F49" w:rsidRPr="009D1F49">
        <w:t xml:space="preserve">as much as 38.5% higher </w:t>
      </w:r>
      <w:r w:rsidR="000F4C6B" w:rsidRPr="009D1F49">
        <w:t>than</w:t>
      </w:r>
      <w:r w:rsidR="009D1F49" w:rsidRPr="009D1F49">
        <w:t xml:space="preserve"> the</w:t>
      </w:r>
      <w:r w:rsidR="009D1F49">
        <w:t xml:space="preserve"> </w:t>
      </w:r>
      <w:r w:rsidR="000F4C6B">
        <w:t>sample</w:t>
      </w:r>
      <w:r w:rsidR="009D1F49" w:rsidRPr="009D1F49">
        <w:t xml:space="preserve"> average (</w:t>
      </w:r>
      <w:r w:rsidR="000F4C6B" w:rsidRPr="009D1F49">
        <w:t>sample</w:t>
      </w:r>
      <w:r w:rsidR="009D1F49" w:rsidRPr="009D1F49">
        <w:t xml:space="preserve"> included </w:t>
      </w:r>
      <w:r w:rsidR="009D1F49">
        <w:t xml:space="preserve">airports in </w:t>
      </w:r>
      <w:r w:rsidR="009D1F49" w:rsidRPr="009D1F49">
        <w:t>Kiev, Moscow, Vienna, Baku</w:t>
      </w:r>
      <w:r w:rsidR="002D55D3">
        <w:t>, among others</w:t>
      </w:r>
      <w:r w:rsidR="009D1F49" w:rsidRPr="009D1F49">
        <w:t>).</w:t>
      </w:r>
      <w:r w:rsidR="009D1F49">
        <w:t xml:space="preserve"> </w:t>
      </w:r>
      <w:proofErr w:type="gramStart"/>
      <w:r w:rsidR="003D0B9F">
        <w:t>With the exception of</w:t>
      </w:r>
      <w:proofErr w:type="gramEnd"/>
      <w:r>
        <w:t xml:space="preserve"> Moscow</w:t>
      </w:r>
      <w:r w:rsidR="003D0B9F">
        <w:t>,</w:t>
      </w:r>
      <w:r>
        <w:t xml:space="preserve"> the connectivity </w:t>
      </w:r>
      <w:r w:rsidR="009D1F49">
        <w:t>was</w:t>
      </w:r>
      <w:r>
        <w:t xml:space="preserve"> poor</w:t>
      </w:r>
      <w:r w:rsidR="003D0B9F">
        <w:t xml:space="preserve"> with</w:t>
      </w:r>
      <w:r>
        <w:t xml:space="preserve"> </w:t>
      </w:r>
      <w:r w:rsidR="003D0B9F">
        <w:t>m</w:t>
      </w:r>
      <w:r>
        <w:t xml:space="preserve">ost </w:t>
      </w:r>
      <w:r w:rsidR="009D1F49">
        <w:t xml:space="preserve">markets </w:t>
      </w:r>
      <w:r>
        <w:t>served 1-3 times weekly and only 6</w:t>
      </w:r>
      <w:r w:rsidR="009D1F49">
        <w:t xml:space="preserve"> of them </w:t>
      </w:r>
      <w:r>
        <w:t xml:space="preserve">with a daily </w:t>
      </w:r>
      <w:r w:rsidR="000F4C6B">
        <w:t>flight</w:t>
      </w:r>
      <w:r w:rsidR="009D1F49">
        <w:t>.</w:t>
      </w:r>
      <w:r w:rsidR="002C0097">
        <w:t xml:space="preserve"> There was only competition on 4 out of 48 </w:t>
      </w:r>
      <w:r w:rsidR="000539B2">
        <w:t>routes</w:t>
      </w:r>
      <w:r w:rsidR="002C0097">
        <w:t xml:space="preserve">. </w:t>
      </w:r>
      <w:r w:rsidR="009D1F49">
        <w:t xml:space="preserve"> </w:t>
      </w:r>
      <w:r>
        <w:t xml:space="preserve">For </w:t>
      </w:r>
      <w:r w:rsidR="000539B2">
        <w:t>others</w:t>
      </w:r>
      <w:r w:rsidR="009D4B7E">
        <w:t>,</w:t>
      </w:r>
      <w:r>
        <w:t xml:space="preserve"> </w:t>
      </w:r>
      <w:r w:rsidR="002C0097">
        <w:t xml:space="preserve">there was no </w:t>
      </w:r>
      <w:r>
        <w:t xml:space="preserve">competition. </w:t>
      </w:r>
      <w:r w:rsidR="009D1F49">
        <w:t xml:space="preserve">Namely, if </w:t>
      </w:r>
      <w:r>
        <w:t xml:space="preserve">there </w:t>
      </w:r>
      <w:r w:rsidR="009D4B7E">
        <w:t>were</w:t>
      </w:r>
      <w:r>
        <w:t xml:space="preserve"> competing airline</w:t>
      </w:r>
      <w:r w:rsidR="009D4B7E">
        <w:t>s</w:t>
      </w:r>
      <w:r>
        <w:t xml:space="preserve"> servicing a rout</w:t>
      </w:r>
      <w:r w:rsidR="000539B2">
        <w:t>e</w:t>
      </w:r>
      <w:r>
        <w:t xml:space="preserve"> </w:t>
      </w:r>
      <w:r w:rsidR="009D4B7E">
        <w:t>this</w:t>
      </w:r>
      <w:r w:rsidR="009D1F49">
        <w:t xml:space="preserve"> was</w:t>
      </w:r>
      <w:r>
        <w:t xml:space="preserve"> operat</w:t>
      </w:r>
      <w:r w:rsidR="009D1F49">
        <w:t>ed</w:t>
      </w:r>
      <w:r>
        <w:t xml:space="preserve"> on a code-share basis, jointly selling available capacity. </w:t>
      </w:r>
      <w:r w:rsidR="009D4B7E">
        <w:t>Finally,</w:t>
      </w:r>
      <w:r>
        <w:t xml:space="preserve"> in addition to lack of choice and inconvenience</w:t>
      </w:r>
      <w:r w:rsidR="009D1F49">
        <w:t xml:space="preserve"> for customers</w:t>
      </w:r>
      <w:r>
        <w:t>,</w:t>
      </w:r>
      <w:r w:rsidR="009D1F49">
        <w:t xml:space="preserve"> </w:t>
      </w:r>
      <w:r w:rsidR="009D4B7E">
        <w:t>air fares were</w:t>
      </w:r>
      <w:r>
        <w:t xml:space="preserve"> </w:t>
      </w:r>
      <w:r w:rsidR="009D4B7E">
        <w:t>expensive</w:t>
      </w:r>
      <w:r>
        <w:t xml:space="preserve">. Cost of most routes per </w:t>
      </w:r>
      <w:r w:rsidR="009D4B7E">
        <w:t>kilometer</w:t>
      </w:r>
      <w:r>
        <w:t xml:space="preserve"> in other regions range</w:t>
      </w:r>
      <w:r w:rsidR="009D1F49">
        <w:t>d</w:t>
      </w:r>
      <w:r>
        <w:t xml:space="preserve"> 0.07 USD/km </w:t>
      </w:r>
      <w:r w:rsidR="009D1F49">
        <w:t>to 0.1</w:t>
      </w:r>
      <w:r w:rsidR="009D4B7E">
        <w:t>7</w:t>
      </w:r>
      <w:r w:rsidR="009D1F49">
        <w:t xml:space="preserve"> USD/km </w:t>
      </w:r>
      <w:r>
        <w:t>while in Armenia this is over 0.20 USD/km.</w:t>
      </w:r>
      <w:r w:rsidR="002F16C2">
        <w:rPr>
          <w:rStyle w:val="FootnoteReference"/>
          <w:b/>
        </w:rPr>
        <w:footnoteReference w:id="24"/>
      </w:r>
      <w:r w:rsidR="009D1F49">
        <w:t xml:space="preserve"> </w:t>
      </w:r>
      <w:r w:rsidR="00266EAC">
        <w:t>Similar findings were also presented in the W</w:t>
      </w:r>
      <w:r w:rsidR="002F16C2">
        <w:t>orld Bank</w:t>
      </w:r>
      <w:r w:rsidR="00612DAF">
        <w:t xml:space="preserve"> </w:t>
      </w:r>
      <w:r w:rsidR="002F16C2">
        <w:t xml:space="preserve">Armenia Accumulation, Competition and Connectivity </w:t>
      </w:r>
      <w:r w:rsidR="00416B10">
        <w:t>S</w:t>
      </w:r>
      <w:r w:rsidR="002F16C2">
        <w:t xml:space="preserve">tudy from </w:t>
      </w:r>
      <w:r w:rsidR="00612DAF">
        <w:t xml:space="preserve">2013 noting that fights </w:t>
      </w:r>
      <w:r w:rsidR="00404477">
        <w:t>were</w:t>
      </w:r>
      <w:r w:rsidR="00612DAF">
        <w:t xml:space="preserve"> </w:t>
      </w:r>
      <w:r w:rsidR="002F16C2">
        <w:t>significantly</w:t>
      </w:r>
      <w:r w:rsidR="00612DAF">
        <w:t xml:space="preserve"> more </w:t>
      </w:r>
      <w:r w:rsidR="002F16C2">
        <w:t>expensive</w:t>
      </w:r>
      <w:r w:rsidR="00612DAF">
        <w:t xml:space="preserve"> in Armenia th</w:t>
      </w:r>
      <w:r w:rsidR="00EB4E55">
        <w:t>a</w:t>
      </w:r>
      <w:r w:rsidR="00612DAF">
        <w:t>n to and from Georgia</w:t>
      </w:r>
      <w:r w:rsidR="00404477">
        <w:t>.</w:t>
      </w:r>
      <w:r w:rsidR="00612DAF">
        <w:t xml:space="preserve"> </w:t>
      </w:r>
    </w:p>
    <w:p w14:paraId="0316EDB6" w14:textId="77777777" w:rsidR="00396897" w:rsidRDefault="00396897" w:rsidP="00246D05">
      <w:pPr>
        <w:pStyle w:val="ListParagraph"/>
        <w:spacing w:after="100" w:afterAutospacing="1"/>
        <w:ind w:left="0"/>
        <w:jc w:val="both"/>
      </w:pPr>
    </w:p>
    <w:p w14:paraId="664822DC" w14:textId="45655308" w:rsidR="00E56AAE" w:rsidRDefault="009D1F49" w:rsidP="002C0462">
      <w:pPr>
        <w:pStyle w:val="ListParagraph"/>
        <w:numPr>
          <w:ilvl w:val="0"/>
          <w:numId w:val="34"/>
        </w:numPr>
        <w:spacing w:after="160" w:line="259" w:lineRule="auto"/>
        <w:ind w:left="0" w:firstLine="0"/>
        <w:jc w:val="both"/>
      </w:pPr>
      <w:r w:rsidRPr="00E56AAE">
        <w:rPr>
          <w:b/>
        </w:rPr>
        <w:t>In 2013</w:t>
      </w:r>
      <w:r w:rsidR="009D4B7E" w:rsidRPr="00E56AAE">
        <w:rPr>
          <w:b/>
        </w:rPr>
        <w:t>,</w:t>
      </w:r>
      <w:r w:rsidRPr="00E56AAE">
        <w:rPr>
          <w:b/>
        </w:rPr>
        <w:t xml:space="preserve"> </w:t>
      </w:r>
      <w:r w:rsidR="00EB4E55">
        <w:rPr>
          <w:b/>
        </w:rPr>
        <w:t xml:space="preserve">following the bankruptcy of </w:t>
      </w:r>
      <w:proofErr w:type="spellStart"/>
      <w:r w:rsidRPr="00E56AAE">
        <w:rPr>
          <w:b/>
        </w:rPr>
        <w:t>Armavia</w:t>
      </w:r>
      <w:proofErr w:type="spellEnd"/>
      <w:r w:rsidR="00EB4E55">
        <w:rPr>
          <w:b/>
        </w:rPr>
        <w:t>,</w:t>
      </w:r>
      <w:r w:rsidRPr="00E56AAE">
        <w:rPr>
          <w:b/>
        </w:rPr>
        <w:t xml:space="preserve"> the Government set </w:t>
      </w:r>
      <w:r w:rsidR="009D4B7E" w:rsidRPr="00E56AAE">
        <w:rPr>
          <w:b/>
        </w:rPr>
        <w:t>an</w:t>
      </w:r>
      <w:r w:rsidRPr="00E56AAE">
        <w:rPr>
          <w:b/>
        </w:rPr>
        <w:t xml:space="preserve"> agenda to </w:t>
      </w:r>
      <w:proofErr w:type="gramStart"/>
      <w:r w:rsidRPr="00E56AAE">
        <w:rPr>
          <w:b/>
        </w:rPr>
        <w:t>open up</w:t>
      </w:r>
      <w:proofErr w:type="gramEnd"/>
      <w:r w:rsidRPr="00E56AAE">
        <w:rPr>
          <w:b/>
        </w:rPr>
        <w:t xml:space="preserve"> the air sector.</w:t>
      </w:r>
      <w:r>
        <w:t xml:space="preserve"> </w:t>
      </w:r>
      <w:r w:rsidRPr="009D4B7E">
        <w:t>Currently,</w:t>
      </w:r>
      <w:r w:rsidR="009D4B7E" w:rsidRPr="009D4B7E">
        <w:t xml:space="preserve"> </w:t>
      </w:r>
      <w:r w:rsidR="00805F44" w:rsidRPr="009D4B7E">
        <w:t>Armenia has signed 60</w:t>
      </w:r>
      <w:r w:rsidR="00B127A9" w:rsidRPr="009D4B7E">
        <w:t xml:space="preserve"> ASA</w:t>
      </w:r>
      <w:r w:rsidR="00805F44" w:rsidRPr="009D4B7E">
        <w:t>s</w:t>
      </w:r>
      <w:r w:rsidR="00B127A9" w:rsidRPr="009D4B7E">
        <w:t xml:space="preserve"> </w:t>
      </w:r>
      <w:r w:rsidR="00805F44" w:rsidRPr="009D4B7E">
        <w:t xml:space="preserve">through open skies - around </w:t>
      </w:r>
      <w:r w:rsidR="00B127A9" w:rsidRPr="009D4B7E">
        <w:t xml:space="preserve">10 </w:t>
      </w:r>
      <w:r w:rsidR="00805F44" w:rsidRPr="009D4B7E">
        <w:t>contain</w:t>
      </w:r>
      <w:r w:rsidR="00B127A9" w:rsidRPr="009D4B7E">
        <w:t xml:space="preserve"> </w:t>
      </w:r>
      <w:r w:rsidR="00805F44" w:rsidRPr="009D4B7E">
        <w:t>fifth</w:t>
      </w:r>
      <w:r w:rsidR="00B127A9" w:rsidRPr="009D4B7E">
        <w:t xml:space="preserve"> freedom</w:t>
      </w:r>
      <w:r w:rsidR="00805F44" w:rsidRPr="009D4B7E">
        <w:t xml:space="preserve"> rights. </w:t>
      </w:r>
      <w:r w:rsidR="00F8136A">
        <w:t xml:space="preserve">The </w:t>
      </w:r>
      <w:r w:rsidR="00805F44" w:rsidRPr="00DF14B7">
        <w:t xml:space="preserve">EU-Armenia Aviation Agreement </w:t>
      </w:r>
      <w:r w:rsidR="00764323">
        <w:t>was</w:t>
      </w:r>
      <w:r w:rsidR="00805F44" w:rsidRPr="00DF14B7">
        <w:t xml:space="preserve"> initialed</w:t>
      </w:r>
      <w:r w:rsidR="00764323">
        <w:t xml:space="preserve"> in November 2017</w:t>
      </w:r>
      <w:r w:rsidR="00764323">
        <w:rPr>
          <w:rStyle w:val="FootnoteReference"/>
        </w:rPr>
        <w:footnoteReference w:id="25"/>
      </w:r>
      <w:r w:rsidR="00E168BB" w:rsidRPr="00DF14B7">
        <w:t xml:space="preserve">, </w:t>
      </w:r>
      <w:r w:rsidR="00002BF4" w:rsidRPr="00DF14B7">
        <w:t>and its implementation will mean that Armenia’s</w:t>
      </w:r>
      <w:r w:rsidR="00002BF4">
        <w:t xml:space="preserve"> civil aviation legislation will need to be in line with EU regulation within two years. While this is expected to make the permissions process easier, the CAA does not believe that it will lead to significant entry.</w:t>
      </w:r>
      <w:r w:rsidR="007A394E">
        <w:rPr>
          <w:rStyle w:val="FootnoteReference"/>
        </w:rPr>
        <w:footnoteReference w:id="26"/>
      </w:r>
      <w:r w:rsidR="00002BF4">
        <w:t xml:space="preserve"> </w:t>
      </w:r>
    </w:p>
    <w:p w14:paraId="786E3A12" w14:textId="77777777" w:rsidR="00E56AAE" w:rsidRPr="00E56AAE" w:rsidRDefault="00E56AAE" w:rsidP="00E56AAE">
      <w:pPr>
        <w:pStyle w:val="ListParagraph"/>
        <w:rPr>
          <w:b/>
        </w:rPr>
      </w:pPr>
    </w:p>
    <w:p w14:paraId="37B6B0D0" w14:textId="598A3DF0" w:rsidR="00E56AAE" w:rsidRDefault="009D4B7E" w:rsidP="002C0462">
      <w:pPr>
        <w:pStyle w:val="ListParagraph"/>
        <w:numPr>
          <w:ilvl w:val="0"/>
          <w:numId w:val="34"/>
        </w:numPr>
        <w:spacing w:after="160" w:line="259" w:lineRule="auto"/>
        <w:ind w:left="0" w:firstLine="0"/>
        <w:jc w:val="both"/>
      </w:pPr>
      <w:r w:rsidRPr="00E56AAE">
        <w:rPr>
          <w:b/>
        </w:rPr>
        <w:t>Efforts to liberalize the market are a step in the right direction, but</w:t>
      </w:r>
      <w:r w:rsidR="009D1F49" w:rsidRPr="00E56AAE">
        <w:rPr>
          <w:b/>
        </w:rPr>
        <w:t xml:space="preserve"> room remains for </w:t>
      </w:r>
      <w:r w:rsidRPr="00E56AAE">
        <w:rPr>
          <w:b/>
        </w:rPr>
        <w:t xml:space="preserve">further </w:t>
      </w:r>
      <w:r w:rsidR="009D1F49" w:rsidRPr="00E56AAE">
        <w:rPr>
          <w:b/>
        </w:rPr>
        <w:t>improvement</w:t>
      </w:r>
      <w:r w:rsidR="00991720">
        <w:rPr>
          <w:b/>
        </w:rPr>
        <w:t>, including in developing domestic routes</w:t>
      </w:r>
      <w:r w:rsidRPr="00E56AAE">
        <w:rPr>
          <w:b/>
        </w:rPr>
        <w:t>.</w:t>
      </w:r>
      <w:r w:rsidR="009D1F49" w:rsidRPr="009D4B7E">
        <w:t xml:space="preserve"> </w:t>
      </w:r>
      <w:r w:rsidR="0096518C" w:rsidRPr="009D4B7E">
        <w:t>Armenia does not have any domestic routes although there has been recent interest in investing i</w:t>
      </w:r>
      <w:r w:rsidR="00EF7F98" w:rsidRPr="009D4B7E">
        <w:t>n K</w:t>
      </w:r>
      <w:r w:rsidR="0096518C" w:rsidRPr="009D4B7E">
        <w:t>apan Airport for internal tourist and local transport. This investor was given a certificate for operat</w:t>
      </w:r>
      <w:r w:rsidR="0096518C" w:rsidRPr="0096518C">
        <w:t xml:space="preserve">ion </w:t>
      </w:r>
      <w:r w:rsidR="0096518C">
        <w:t>after approaching the</w:t>
      </w:r>
      <w:r w:rsidR="0096518C" w:rsidRPr="0096518C">
        <w:t xml:space="preserve"> CAA</w:t>
      </w:r>
      <w:r w:rsidR="0096518C">
        <w:t xml:space="preserve"> </w:t>
      </w:r>
      <w:r w:rsidR="0096518C" w:rsidRPr="0096518C">
        <w:t xml:space="preserve">and they have invested in one plane and two helicopters. The airport is set to be functional </w:t>
      </w:r>
      <w:r w:rsidR="00B45E2E">
        <w:t>in the coming year</w:t>
      </w:r>
      <w:r w:rsidR="0096518C" w:rsidRPr="0096518C">
        <w:t xml:space="preserve">. While Armenia has around 15-20 airports, the CAA has generally not been active in promoting in Armenia’s airports, </w:t>
      </w:r>
      <w:proofErr w:type="gramStart"/>
      <w:r w:rsidR="0096518C" w:rsidRPr="0096518C">
        <w:t>with the exception of</w:t>
      </w:r>
      <w:proofErr w:type="gramEnd"/>
      <w:r w:rsidR="0096518C" w:rsidRPr="0096518C">
        <w:t xml:space="preserve"> </w:t>
      </w:r>
      <w:proofErr w:type="spellStart"/>
      <w:r w:rsidR="00EF7F98">
        <w:t>Stepanavan</w:t>
      </w:r>
      <w:proofErr w:type="spellEnd"/>
      <w:r w:rsidR="00EF7F98">
        <w:t xml:space="preserve"> Airport</w:t>
      </w:r>
      <w:r w:rsidR="0096518C" w:rsidRPr="0096518C">
        <w:t xml:space="preserve"> for which it has tested investor interest.</w:t>
      </w:r>
      <w:r w:rsidR="00E56AAE">
        <w:t xml:space="preserve"> </w:t>
      </w:r>
    </w:p>
    <w:p w14:paraId="76A9E12B" w14:textId="77777777" w:rsidR="00E56AAE" w:rsidRPr="00E56AAE" w:rsidRDefault="00E56AAE" w:rsidP="00E56AAE">
      <w:pPr>
        <w:pStyle w:val="ListParagraph"/>
        <w:rPr>
          <w:b/>
        </w:rPr>
      </w:pPr>
    </w:p>
    <w:p w14:paraId="6E302501" w14:textId="1D4B2EB9" w:rsidR="00E56AAE" w:rsidRDefault="00405348" w:rsidP="002C0462">
      <w:pPr>
        <w:pStyle w:val="ListParagraph"/>
        <w:numPr>
          <w:ilvl w:val="0"/>
          <w:numId w:val="34"/>
        </w:numPr>
        <w:spacing w:after="160" w:line="259" w:lineRule="auto"/>
        <w:ind w:left="0" w:firstLine="0"/>
        <w:jc w:val="both"/>
      </w:pPr>
      <w:r w:rsidRPr="00E56AAE">
        <w:rPr>
          <w:b/>
        </w:rPr>
        <w:t>R</w:t>
      </w:r>
      <w:r w:rsidR="00166328" w:rsidRPr="00E56AAE">
        <w:rPr>
          <w:b/>
        </w:rPr>
        <w:t>elatively high cost</w:t>
      </w:r>
      <w:r w:rsidRPr="00E56AAE">
        <w:rPr>
          <w:b/>
        </w:rPr>
        <w:t>s</w:t>
      </w:r>
      <w:r w:rsidR="00166328" w:rsidRPr="00E56AAE">
        <w:rPr>
          <w:b/>
        </w:rPr>
        <w:t xml:space="preserve"> of </w:t>
      </w:r>
      <w:r w:rsidRPr="00E56AAE">
        <w:rPr>
          <w:b/>
        </w:rPr>
        <w:t>operations appear</w:t>
      </w:r>
      <w:r w:rsidR="006411E0" w:rsidRPr="00E56AAE">
        <w:rPr>
          <w:b/>
        </w:rPr>
        <w:t xml:space="preserve"> to have</w:t>
      </w:r>
      <w:r w:rsidR="00166328" w:rsidRPr="00E56AAE">
        <w:rPr>
          <w:b/>
        </w:rPr>
        <w:t xml:space="preserve"> been an issue for the profitability of airlines flying to Yerevan </w:t>
      </w:r>
      <w:proofErr w:type="spellStart"/>
      <w:r w:rsidR="00166328" w:rsidRPr="00E56AAE">
        <w:rPr>
          <w:b/>
        </w:rPr>
        <w:t>Zvartnot</w:t>
      </w:r>
      <w:r w:rsidR="00EF7F98" w:rsidRPr="00E56AAE">
        <w:rPr>
          <w:b/>
        </w:rPr>
        <w:t>s</w:t>
      </w:r>
      <w:proofErr w:type="spellEnd"/>
      <w:r w:rsidR="00166328" w:rsidRPr="00E56AAE">
        <w:rPr>
          <w:b/>
        </w:rPr>
        <w:t xml:space="preserve"> Airport</w:t>
      </w:r>
      <w:r w:rsidR="002271BE" w:rsidRPr="00E56AAE">
        <w:rPr>
          <w:b/>
        </w:rPr>
        <w:t xml:space="preserve"> – with European routes</w:t>
      </w:r>
      <w:r w:rsidR="006411E0" w:rsidRPr="00E56AAE">
        <w:rPr>
          <w:b/>
        </w:rPr>
        <w:t xml:space="preserve"> particularly lacking</w:t>
      </w:r>
      <w:r w:rsidR="00166328" w:rsidRPr="00E56AAE">
        <w:rPr>
          <w:b/>
        </w:rPr>
        <w:t>.</w:t>
      </w:r>
      <w:r w:rsidR="00166328">
        <w:t xml:space="preserve"> In recent years, players such as Lufthansa, Brussels</w:t>
      </w:r>
      <w:r w:rsidR="00EF7F98">
        <w:t xml:space="preserve"> Airlines</w:t>
      </w:r>
      <w:r w:rsidR="00166328" w:rsidRPr="00EF7F98">
        <w:t xml:space="preserve">, Czech Airlines and BA have exited the market. </w:t>
      </w:r>
      <w:r>
        <w:t>According to some accounts this is due to high landing</w:t>
      </w:r>
      <w:r w:rsidR="002745D0">
        <w:t xml:space="preserve"> and handling fees at </w:t>
      </w:r>
      <w:proofErr w:type="spellStart"/>
      <w:r w:rsidR="002745D0">
        <w:t>Zvartnots</w:t>
      </w:r>
      <w:proofErr w:type="spellEnd"/>
      <w:r>
        <w:t xml:space="preserve"> Airport. However, a </w:t>
      </w:r>
      <w:r w:rsidR="00EF7F98" w:rsidRPr="00EF7F98">
        <w:t>Ministry of Econom</w:t>
      </w:r>
      <w:r w:rsidR="00E3153C">
        <w:t xml:space="preserve">y </w:t>
      </w:r>
      <w:r w:rsidR="00762747">
        <w:t>(</w:t>
      </w:r>
      <w:proofErr w:type="spellStart"/>
      <w:r w:rsidR="00762747">
        <w:t>MoE</w:t>
      </w:r>
      <w:proofErr w:type="spellEnd"/>
      <w:r w:rsidR="00762747">
        <w:t xml:space="preserve">) </w:t>
      </w:r>
      <w:r w:rsidR="00166328" w:rsidRPr="00EF7F98">
        <w:t>study found that the major issue for profitability on Yerevan routes was fuel costs (as opposed to differences in airport fees which ar</w:t>
      </w:r>
      <w:r>
        <w:t>e comparable to other airports). Jet fuel costs</w:t>
      </w:r>
      <w:r w:rsidR="00166328" w:rsidRPr="00EF7F98">
        <w:t xml:space="preserve"> can be a</w:t>
      </w:r>
      <w:r w:rsidR="002271BE" w:rsidRPr="00EF7F98">
        <w:t>round three</w:t>
      </w:r>
      <w:r w:rsidR="00166328" w:rsidRPr="00EF7F98">
        <w:t xml:space="preserve"> times higher than in neighboring countries, such as Iran and Russia. </w:t>
      </w:r>
      <w:r w:rsidR="006411E0" w:rsidRPr="00EF7F98">
        <w:t>Before the change in government, it</w:t>
      </w:r>
      <w:r w:rsidR="00166328" w:rsidRPr="00EF7F98">
        <w:t xml:space="preserve"> </w:t>
      </w:r>
      <w:r w:rsidR="006411E0" w:rsidRPr="00EF7F98">
        <w:t xml:space="preserve">was previously reported that there was a </w:t>
      </w:r>
      <w:r w:rsidR="00166328" w:rsidRPr="00EF7F98">
        <w:t>monopoly on aviation fuel imports</w:t>
      </w:r>
      <w:r w:rsidR="006411E0" w:rsidRPr="00EF7F98">
        <w:t xml:space="preserve"> due to informal advantages provided to the importer</w:t>
      </w:r>
      <w:r w:rsidR="00166328" w:rsidRPr="00EF7F98">
        <w:t xml:space="preserve">. Despite </w:t>
      </w:r>
      <w:r w:rsidR="002271BE" w:rsidRPr="00EF7F98">
        <w:t>this</w:t>
      </w:r>
      <w:r w:rsidR="00166328" w:rsidRPr="00EF7F98">
        <w:t xml:space="preserve">, the CAA states that </w:t>
      </w:r>
      <w:proofErr w:type="spellStart"/>
      <w:r w:rsidR="002271BE" w:rsidRPr="00EF7F98">
        <w:t>Zvar</w:t>
      </w:r>
      <w:r w:rsidR="00EF7F98" w:rsidRPr="00EF7F98">
        <w:t>tnots</w:t>
      </w:r>
      <w:proofErr w:type="spellEnd"/>
      <w:r w:rsidR="002271BE" w:rsidRPr="00EF7F98">
        <w:t xml:space="preserve"> A</w:t>
      </w:r>
      <w:r w:rsidR="00166328" w:rsidRPr="00EF7F98">
        <w:t xml:space="preserve">irport is currently operating at capacity, after the entry of new airlines such as Middle East Airlines, Air Cairo, </w:t>
      </w:r>
      <w:r w:rsidR="002271BE" w:rsidRPr="00EF7F98">
        <w:t xml:space="preserve">Fly Dubai, </w:t>
      </w:r>
      <w:r w:rsidR="00EF7F98" w:rsidRPr="00EF7F98">
        <w:t xml:space="preserve">Air </w:t>
      </w:r>
      <w:r w:rsidR="00EF7F98">
        <w:t>Tel A</w:t>
      </w:r>
      <w:r w:rsidR="00166328" w:rsidRPr="00EF7F98">
        <w:t>viv and Aegean</w:t>
      </w:r>
      <w:r w:rsidR="00EF7F98" w:rsidRPr="00EF7F98">
        <w:t xml:space="preserve"> Air</w:t>
      </w:r>
      <w:r w:rsidR="006411E0" w:rsidRPr="00EF7F98">
        <w:t xml:space="preserve"> in the last five years</w:t>
      </w:r>
      <w:r w:rsidR="00166328" w:rsidRPr="00EF7F98">
        <w:t xml:space="preserve">. </w:t>
      </w:r>
      <w:r w:rsidR="006411E0" w:rsidRPr="00EF7F98">
        <w:t>Nevertheless, there remains a gap in terms of European routes.</w:t>
      </w:r>
    </w:p>
    <w:p w14:paraId="48089744" w14:textId="77777777" w:rsidR="00E56AAE" w:rsidRDefault="00E56AAE" w:rsidP="00E56AAE">
      <w:pPr>
        <w:pStyle w:val="ListParagraph"/>
        <w:spacing w:after="160" w:line="259" w:lineRule="auto"/>
        <w:ind w:left="0"/>
        <w:jc w:val="both"/>
      </w:pPr>
      <w:r>
        <w:t xml:space="preserve"> </w:t>
      </w:r>
    </w:p>
    <w:p w14:paraId="7860E5AD" w14:textId="19DF894D" w:rsidR="002A7941" w:rsidRDefault="0032767F" w:rsidP="00246D05">
      <w:pPr>
        <w:spacing w:after="160" w:line="259" w:lineRule="auto"/>
        <w:jc w:val="both"/>
      </w:pPr>
      <w:r w:rsidRPr="00E56AAE">
        <w:rPr>
          <w:b/>
        </w:rPr>
        <w:t>The CAA is also supporting</w:t>
      </w:r>
      <w:r w:rsidR="002271BE" w:rsidRPr="00E56AAE">
        <w:rPr>
          <w:b/>
        </w:rPr>
        <w:t xml:space="preserve"> the develop</w:t>
      </w:r>
      <w:r w:rsidR="00166328" w:rsidRPr="00E56AAE">
        <w:rPr>
          <w:b/>
        </w:rPr>
        <w:t>ment</w:t>
      </w:r>
      <w:r w:rsidR="008F3187" w:rsidRPr="00E56AAE">
        <w:rPr>
          <w:b/>
        </w:rPr>
        <w:t xml:space="preserve"> of</w:t>
      </w:r>
      <w:r w:rsidRPr="00E56AAE">
        <w:rPr>
          <w:b/>
        </w:rPr>
        <w:t xml:space="preserve"> Armenia’s second airport, </w:t>
      </w:r>
      <w:r w:rsidR="00EF7F98" w:rsidRPr="00E56AAE">
        <w:rPr>
          <w:b/>
        </w:rPr>
        <w:t>Gy</w:t>
      </w:r>
      <w:r w:rsidRPr="00E56AAE">
        <w:rPr>
          <w:b/>
        </w:rPr>
        <w:t>umri, to become a destination for low cost carriers</w:t>
      </w:r>
      <w:r w:rsidR="002271BE" w:rsidRPr="00E56AAE">
        <w:rPr>
          <w:b/>
        </w:rPr>
        <w:t xml:space="preserve"> with routes to Europe</w:t>
      </w:r>
      <w:r w:rsidRPr="00E56AAE">
        <w:rPr>
          <w:b/>
        </w:rPr>
        <w:t xml:space="preserve">. </w:t>
      </w:r>
      <w:r>
        <w:t>The measures implemented include</w:t>
      </w:r>
      <w:r w:rsidR="00166328">
        <w:t xml:space="preserve"> benefits not afforded </w:t>
      </w:r>
      <w:r w:rsidR="00166328" w:rsidRPr="00EF7F98">
        <w:t xml:space="preserve">to </w:t>
      </w:r>
      <w:proofErr w:type="spellStart"/>
      <w:r w:rsidR="00166328" w:rsidRPr="00EF7F98">
        <w:t>Zvartnot</w:t>
      </w:r>
      <w:r w:rsidR="00EF7F98" w:rsidRPr="00EF7F98">
        <w:t>s</w:t>
      </w:r>
      <w:proofErr w:type="spellEnd"/>
      <w:r w:rsidR="00166328" w:rsidRPr="00EF7F98">
        <w:t xml:space="preserve"> Airport</w:t>
      </w:r>
      <w:r w:rsidR="00166328" w:rsidRPr="00E56AAE">
        <w:rPr>
          <w:b/>
        </w:rPr>
        <w:t xml:space="preserve">, </w:t>
      </w:r>
      <w:r w:rsidR="00166328">
        <w:t>namely</w:t>
      </w:r>
      <w:r w:rsidR="00166328" w:rsidRPr="00166328">
        <w:t xml:space="preserve"> a</w:t>
      </w:r>
      <w:r>
        <w:t xml:space="preserve"> 50% discount for navigation, elimination of taxes, elimination of the required payment for weather services. </w:t>
      </w:r>
      <w:r w:rsidR="004E433A">
        <w:t>Currently,</w:t>
      </w:r>
      <w:r>
        <w:t xml:space="preserve"> there are only Russian airlines flying </w:t>
      </w:r>
      <w:r w:rsidR="001111F2">
        <w:t>to Gy</w:t>
      </w:r>
      <w:r>
        <w:t>umri (around 8 or 9 different airlines). While one Armenian airline entered</w:t>
      </w:r>
      <w:r w:rsidR="00297BD2">
        <w:t xml:space="preserve"> in 2017</w:t>
      </w:r>
      <w:r>
        <w:t>, it exited quickly as it was reportedly not able to compete. One reason for this may be that Russia imposes higher navigation costs on foreign airlines compared to domestic airlines, while Armenia charges uniform navigation fees.</w:t>
      </w:r>
      <w:r w:rsidR="00297BD2">
        <w:t xml:space="preserve"> Negotiations have also been held with Wizz Air and Ryanair – but this has not materialized into any entry commitment</w:t>
      </w:r>
      <w:r w:rsidR="002A7941">
        <w:t>.</w:t>
      </w:r>
    </w:p>
    <w:p w14:paraId="77B6C401" w14:textId="1DAAB60D" w:rsidR="002A7941" w:rsidRPr="00246D05" w:rsidRDefault="002A7941" w:rsidP="00246D05">
      <w:pPr>
        <w:pStyle w:val="Heading5"/>
      </w:pPr>
      <w:r>
        <w:t>Telecommunications</w:t>
      </w:r>
    </w:p>
    <w:p w14:paraId="1FBC55E1" w14:textId="731A05F7" w:rsidR="00E56AAE" w:rsidRPr="00E67EB7" w:rsidRDefault="00D724EB" w:rsidP="00EF7F98">
      <w:pPr>
        <w:pStyle w:val="ListParagraph"/>
        <w:numPr>
          <w:ilvl w:val="0"/>
          <w:numId w:val="34"/>
        </w:numPr>
        <w:spacing w:after="160" w:line="259" w:lineRule="auto"/>
        <w:ind w:left="0" w:firstLine="0"/>
        <w:jc w:val="both"/>
      </w:pPr>
      <w:r w:rsidRPr="00F2678B">
        <w:rPr>
          <w:b/>
        </w:rPr>
        <w:t xml:space="preserve">Overall private sector </w:t>
      </w:r>
      <w:r w:rsidR="00F00A0C" w:rsidRPr="00F2678B">
        <w:rPr>
          <w:b/>
        </w:rPr>
        <w:t xml:space="preserve">players </w:t>
      </w:r>
      <w:r w:rsidRPr="00F2678B">
        <w:rPr>
          <w:b/>
        </w:rPr>
        <w:t>expressed satisfaction with ICT services in terms of coverage, access and prices.</w:t>
      </w:r>
      <w:r w:rsidRPr="00D724EB">
        <w:t xml:space="preserve"> LTE coverage is at 88</w:t>
      </w:r>
      <w:r>
        <w:t>%</w:t>
      </w:r>
      <w:r w:rsidR="007F3FC8">
        <w:t xml:space="preserve"> of the </w:t>
      </w:r>
      <w:r w:rsidR="001641B1">
        <w:t xml:space="preserve">populated areas </w:t>
      </w:r>
      <w:r>
        <w:t>with the</w:t>
      </w:r>
      <w:r w:rsidR="00CD5966">
        <w:t xml:space="preserve"> </w:t>
      </w:r>
      <w:proofErr w:type="spellStart"/>
      <w:r w:rsidR="00CD5966">
        <w:t>GoA’s</w:t>
      </w:r>
      <w:proofErr w:type="spellEnd"/>
      <w:r>
        <w:t xml:space="preserve"> aim being to reach </w:t>
      </w:r>
      <w:r w:rsidRPr="00D724EB">
        <w:t xml:space="preserve">100% in </w:t>
      </w:r>
      <w:r w:rsidRPr="004631D9">
        <w:t>2019.</w:t>
      </w:r>
      <w:r w:rsidRPr="00E67EB7">
        <w:t xml:space="preserve"> </w:t>
      </w:r>
      <w:r w:rsidR="00F2678B" w:rsidRPr="00E67EB7">
        <w:t>A summary of the availability of fixed broadband</w:t>
      </w:r>
      <w:r w:rsidRPr="00E67EB7">
        <w:t xml:space="preserve"> is </w:t>
      </w:r>
      <w:r w:rsidR="00F2678B" w:rsidRPr="00E67EB7">
        <w:t>given</w:t>
      </w:r>
      <w:r w:rsidRPr="00E67EB7">
        <w:t xml:space="preserve"> </w:t>
      </w:r>
      <w:r w:rsidR="00F2678B" w:rsidRPr="00E67EB7">
        <w:t xml:space="preserve">in Figure </w:t>
      </w:r>
      <w:r w:rsidR="00404477" w:rsidRPr="00E67EB7">
        <w:t>3</w:t>
      </w:r>
      <w:r w:rsidR="00F2678B" w:rsidRPr="00E67EB7">
        <w:t xml:space="preserve"> and Figure </w:t>
      </w:r>
      <w:r w:rsidR="00404477" w:rsidRPr="00E67EB7">
        <w:t>4</w:t>
      </w:r>
      <w:r w:rsidR="00F2678B" w:rsidRPr="00E67EB7">
        <w:t>, along with a summary of the number of operators present across localities</w:t>
      </w:r>
      <w:r w:rsidRPr="00E67EB7">
        <w:t>.</w:t>
      </w:r>
      <w:r w:rsidR="00B11042" w:rsidRPr="00E67EB7">
        <w:t xml:space="preserve"> For fixed wireless broadband, 75% of localities have only one operator, while 0.5% have no coverage. For fixed wired broadband, 26% of localities have only one operator, while 63% have no access. </w:t>
      </w:r>
    </w:p>
    <w:p w14:paraId="17376DDC" w14:textId="77777777" w:rsidR="00E56AAE" w:rsidRDefault="00E56AAE" w:rsidP="00E56AAE">
      <w:pPr>
        <w:pStyle w:val="ListParagraph"/>
        <w:spacing w:after="160" w:line="259" w:lineRule="auto"/>
        <w:ind w:left="0"/>
        <w:jc w:val="both"/>
      </w:pPr>
    </w:p>
    <w:p w14:paraId="447E5196" w14:textId="4863BCF5" w:rsidR="0089518A" w:rsidRPr="00E67EB7" w:rsidRDefault="00D03EB7" w:rsidP="00EF7F98">
      <w:pPr>
        <w:pStyle w:val="ListParagraph"/>
        <w:numPr>
          <w:ilvl w:val="0"/>
          <w:numId w:val="34"/>
        </w:numPr>
        <w:spacing w:after="160" w:line="259" w:lineRule="auto"/>
        <w:ind w:left="0" w:firstLine="0"/>
        <w:jc w:val="both"/>
      </w:pPr>
      <w:r w:rsidRPr="00E56AAE">
        <w:rPr>
          <w:b/>
        </w:rPr>
        <w:t xml:space="preserve">Fiber backbone and last mile services are reportedly available in </w:t>
      </w:r>
      <w:r w:rsidR="00F2678B" w:rsidRPr="00E56AAE">
        <w:rPr>
          <w:b/>
        </w:rPr>
        <w:t>most</w:t>
      </w:r>
      <w:r w:rsidRPr="00E56AAE">
        <w:rPr>
          <w:b/>
        </w:rPr>
        <w:t xml:space="preserve"> regions</w:t>
      </w:r>
      <w:r w:rsidRPr="00F2678B">
        <w:t xml:space="preserve"> – with fiber backbone provided by </w:t>
      </w:r>
      <w:r w:rsidR="008D3298" w:rsidRPr="00F2678B">
        <w:t>large operators (</w:t>
      </w:r>
      <w:proofErr w:type="spellStart"/>
      <w:r w:rsidRPr="00F2678B">
        <w:t>Ucom</w:t>
      </w:r>
      <w:proofErr w:type="spellEnd"/>
      <w:r w:rsidR="001641B1">
        <w:t>,</w:t>
      </w:r>
      <w:r w:rsidRPr="00F2678B">
        <w:t xml:space="preserve"> </w:t>
      </w:r>
      <w:proofErr w:type="spellStart"/>
      <w:r w:rsidRPr="00F2678B">
        <w:t>Rostel</w:t>
      </w:r>
      <w:r w:rsidR="00EF7F98" w:rsidRPr="00F2678B">
        <w:t>e</w:t>
      </w:r>
      <w:r w:rsidRPr="00F2678B">
        <w:t>com</w:t>
      </w:r>
      <w:proofErr w:type="spellEnd"/>
      <w:r w:rsidR="001641B1">
        <w:t xml:space="preserve"> and VEON Armenia</w:t>
      </w:r>
      <w:r w:rsidR="008D3298" w:rsidRPr="00F2678B">
        <w:t>)</w:t>
      </w:r>
      <w:r w:rsidRPr="00F2678B">
        <w:t xml:space="preserve"> and last mile services </w:t>
      </w:r>
      <w:r w:rsidRPr="004631D9">
        <w:t xml:space="preserve">provided by smaller regional ISPs. This appears to have been </w:t>
      </w:r>
      <w:r w:rsidR="00EF7F98" w:rsidRPr="00E67EB7">
        <w:t>achieved</w:t>
      </w:r>
      <w:r w:rsidRPr="00E67EB7">
        <w:t xml:space="preserve"> largely without the need for large subsidies – operators stated that while the cost of roll out in rural areas was around 1.5 times the urban cost, </w:t>
      </w:r>
      <w:r w:rsidR="00EF7F98" w:rsidRPr="00E67EB7">
        <w:t>provision remained viable especially given that they face lower competition in rural areas.</w:t>
      </w:r>
      <w:r w:rsidRPr="00E67EB7">
        <w:t xml:space="preserve"> </w:t>
      </w:r>
      <w:r w:rsidR="00D724EB" w:rsidRPr="00E67EB7">
        <w:rPr>
          <w:i/>
        </w:rPr>
        <w:t xml:space="preserve"> </w:t>
      </w:r>
    </w:p>
    <w:tbl>
      <w:tblPr>
        <w:tblStyle w:val="TableGrid"/>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71"/>
      </w:tblGrid>
      <w:tr w:rsidR="00DF7566" w14:paraId="3E9D6548" w14:textId="77777777" w:rsidTr="001E2A5C">
        <w:tc>
          <w:tcPr>
            <w:tcW w:w="4728" w:type="dxa"/>
          </w:tcPr>
          <w:p w14:paraId="3D0CB7F7" w14:textId="77777777" w:rsidR="00DF7566" w:rsidRPr="00E67EB7" w:rsidRDefault="00F00A0C" w:rsidP="00EB5885">
            <w:pPr>
              <w:keepNext/>
              <w:spacing w:after="160" w:line="259" w:lineRule="auto"/>
              <w:jc w:val="both"/>
              <w:rPr>
                <w:b/>
              </w:rPr>
            </w:pPr>
            <w:r w:rsidRPr="00E67EB7">
              <w:rPr>
                <w:b/>
              </w:rPr>
              <w:t xml:space="preserve">Figure </w:t>
            </w:r>
            <w:r w:rsidR="00E56AAE" w:rsidRPr="00E67EB7">
              <w:rPr>
                <w:b/>
              </w:rPr>
              <w:t>3</w:t>
            </w:r>
            <w:r w:rsidRPr="00E67EB7">
              <w:rPr>
                <w:b/>
              </w:rPr>
              <w:t xml:space="preserve">. </w:t>
            </w:r>
            <w:r w:rsidR="00DF7566" w:rsidRPr="00E67EB7">
              <w:rPr>
                <w:b/>
              </w:rPr>
              <w:t xml:space="preserve">Number of operators in wired fixed broadband per locality by province </w:t>
            </w:r>
          </w:p>
        </w:tc>
        <w:tc>
          <w:tcPr>
            <w:tcW w:w="4542" w:type="dxa"/>
          </w:tcPr>
          <w:p w14:paraId="2BFA5BB8" w14:textId="77777777" w:rsidR="00DF7566" w:rsidRPr="00E67EB7" w:rsidRDefault="00F00A0C" w:rsidP="00EB5885">
            <w:pPr>
              <w:keepNext/>
              <w:spacing w:after="160" w:line="259" w:lineRule="auto"/>
              <w:jc w:val="both"/>
              <w:rPr>
                <w:b/>
              </w:rPr>
            </w:pPr>
            <w:r w:rsidRPr="00E67EB7">
              <w:rPr>
                <w:b/>
              </w:rPr>
              <w:t xml:space="preserve">Figure </w:t>
            </w:r>
            <w:r w:rsidR="00E56AAE" w:rsidRPr="00E67EB7">
              <w:rPr>
                <w:b/>
              </w:rPr>
              <w:t>4</w:t>
            </w:r>
            <w:r w:rsidRPr="00E67EB7">
              <w:rPr>
                <w:b/>
              </w:rPr>
              <w:t xml:space="preserve">. </w:t>
            </w:r>
            <w:r w:rsidR="00DF7566" w:rsidRPr="00E67EB7">
              <w:rPr>
                <w:b/>
              </w:rPr>
              <w:t>Number of operators in wireless fixed broadband per locality by province</w:t>
            </w:r>
          </w:p>
        </w:tc>
      </w:tr>
      <w:tr w:rsidR="00DF7566" w14:paraId="62FCB164" w14:textId="77777777" w:rsidTr="001E2A5C">
        <w:tc>
          <w:tcPr>
            <w:tcW w:w="4728" w:type="dxa"/>
          </w:tcPr>
          <w:p w14:paraId="374340EA" w14:textId="77777777" w:rsidR="00DF7566" w:rsidRDefault="00DF7566" w:rsidP="00EB5885">
            <w:pPr>
              <w:keepNext/>
              <w:spacing w:after="160" w:line="259" w:lineRule="auto"/>
              <w:jc w:val="both"/>
            </w:pPr>
            <w:r w:rsidRPr="00DF7566">
              <w:rPr>
                <w:noProof/>
              </w:rPr>
              <w:drawing>
                <wp:inline distT="0" distB="0" distL="0" distR="0" wp14:anchorId="22709D47" wp14:editId="554E7699">
                  <wp:extent cx="2865120" cy="199612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742" cy="2007708"/>
                          </a:xfrm>
                          <a:prstGeom prst="rect">
                            <a:avLst/>
                          </a:prstGeom>
                          <a:noFill/>
                          <a:ln>
                            <a:noFill/>
                          </a:ln>
                        </pic:spPr>
                      </pic:pic>
                    </a:graphicData>
                  </a:graphic>
                </wp:inline>
              </w:drawing>
            </w:r>
          </w:p>
        </w:tc>
        <w:tc>
          <w:tcPr>
            <w:tcW w:w="4542" w:type="dxa"/>
          </w:tcPr>
          <w:p w14:paraId="2A1E2EF8" w14:textId="77777777" w:rsidR="00DF7566" w:rsidRDefault="00DF7566" w:rsidP="00EB5885">
            <w:pPr>
              <w:keepNext/>
              <w:spacing w:after="160" w:line="259" w:lineRule="auto"/>
              <w:jc w:val="both"/>
            </w:pPr>
            <w:r w:rsidRPr="00DF7566">
              <w:rPr>
                <w:noProof/>
              </w:rPr>
              <w:drawing>
                <wp:inline distT="0" distB="0" distL="0" distR="0" wp14:anchorId="3E28A233" wp14:editId="37E35778">
                  <wp:extent cx="2981325" cy="199641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416" cy="2003844"/>
                          </a:xfrm>
                          <a:prstGeom prst="rect">
                            <a:avLst/>
                          </a:prstGeom>
                          <a:noFill/>
                          <a:ln>
                            <a:noFill/>
                          </a:ln>
                        </pic:spPr>
                      </pic:pic>
                    </a:graphicData>
                  </a:graphic>
                </wp:inline>
              </w:drawing>
            </w:r>
          </w:p>
        </w:tc>
      </w:tr>
      <w:tr w:rsidR="00DF7566" w:rsidRPr="00F2678B" w14:paraId="6C7DD4FD" w14:textId="77777777" w:rsidTr="001E2A5C">
        <w:trPr>
          <w:trHeight w:val="143"/>
        </w:trPr>
        <w:tc>
          <w:tcPr>
            <w:tcW w:w="9270" w:type="dxa"/>
            <w:gridSpan w:val="2"/>
          </w:tcPr>
          <w:p w14:paraId="132E263E" w14:textId="2DD0A064" w:rsidR="00DF7566" w:rsidRPr="00F2678B" w:rsidRDefault="00125D7E" w:rsidP="00EB5885">
            <w:pPr>
              <w:keepNext/>
              <w:spacing w:line="259" w:lineRule="auto"/>
              <w:jc w:val="both"/>
              <w:rPr>
                <w:sz w:val="18"/>
              </w:rPr>
            </w:pPr>
            <w:r w:rsidRPr="00F2678B">
              <w:rPr>
                <w:sz w:val="18"/>
              </w:rPr>
              <w:t xml:space="preserve">Source: </w:t>
            </w:r>
            <w:r w:rsidR="00EA4A5D">
              <w:rPr>
                <w:sz w:val="18"/>
              </w:rPr>
              <w:t>Authors’ own elaboration on d</w:t>
            </w:r>
            <w:r w:rsidR="00DF7566" w:rsidRPr="00F2678B">
              <w:rPr>
                <w:sz w:val="18"/>
              </w:rPr>
              <w:t xml:space="preserve">ata </w:t>
            </w:r>
            <w:r w:rsidRPr="00F2678B">
              <w:rPr>
                <w:sz w:val="18"/>
              </w:rPr>
              <w:t>provided by</w:t>
            </w:r>
            <w:r w:rsidR="00DF7566" w:rsidRPr="00F2678B">
              <w:rPr>
                <w:sz w:val="18"/>
              </w:rPr>
              <w:t xml:space="preserve"> PSRC</w:t>
            </w:r>
            <w:r w:rsidR="000D2C16">
              <w:rPr>
                <w:sz w:val="18"/>
              </w:rPr>
              <w:t>, 2018</w:t>
            </w:r>
          </w:p>
        </w:tc>
      </w:tr>
    </w:tbl>
    <w:p w14:paraId="3260DE27" w14:textId="77777777" w:rsidR="00DF7566" w:rsidRDefault="00DF7566" w:rsidP="00EF7F98">
      <w:pPr>
        <w:spacing w:after="160" w:line="259" w:lineRule="auto"/>
        <w:jc w:val="both"/>
      </w:pPr>
    </w:p>
    <w:p w14:paraId="49375BE7" w14:textId="3554CFF5" w:rsidR="00E56AAE" w:rsidRDefault="00F2678B" w:rsidP="00E56AAE">
      <w:pPr>
        <w:pStyle w:val="ListParagraph"/>
        <w:numPr>
          <w:ilvl w:val="0"/>
          <w:numId w:val="34"/>
        </w:numPr>
        <w:spacing w:after="160" w:line="259" w:lineRule="auto"/>
        <w:ind w:left="0" w:firstLine="0"/>
        <w:jc w:val="both"/>
      </w:pPr>
      <w:r w:rsidRPr="00A854D9">
        <w:rPr>
          <w:b/>
        </w:rPr>
        <w:t>While operators were broadly satisfied with the</w:t>
      </w:r>
      <w:r w:rsidR="00992E35">
        <w:rPr>
          <w:b/>
        </w:rPr>
        <w:t xml:space="preserve"> legal and</w:t>
      </w:r>
      <w:r w:rsidRPr="00A854D9">
        <w:rPr>
          <w:b/>
        </w:rPr>
        <w:t xml:space="preserve"> regulatory framework for mobile and fixed telecoms regarding </w:t>
      </w:r>
      <w:r w:rsidR="00A854D9" w:rsidRPr="00A854D9">
        <w:rPr>
          <w:b/>
        </w:rPr>
        <w:t>access and licensing</w:t>
      </w:r>
      <w:r w:rsidRPr="00A854D9">
        <w:rPr>
          <w:b/>
        </w:rPr>
        <w:t xml:space="preserve">, there may be scope for strengthening </w:t>
      </w:r>
      <w:r w:rsidR="00A854D9" w:rsidRPr="00A854D9">
        <w:rPr>
          <w:b/>
        </w:rPr>
        <w:t>in some areas such as interconnection and infrastructure sharing.</w:t>
      </w:r>
      <w:r w:rsidR="00A854D9">
        <w:t xml:space="preserve"> </w:t>
      </w:r>
      <w:r>
        <w:t xml:space="preserve"> </w:t>
      </w:r>
      <w:r w:rsidRPr="00D724EB">
        <w:t>The below provides a summary of areas where there may be room for improvement in the regulatory framework to allow for more competitive market dynamics and outcomes</w:t>
      </w:r>
      <w:r w:rsidR="008F7BEB">
        <w:t>:</w:t>
      </w:r>
      <w:r w:rsidR="00DF7566" w:rsidRPr="00DF7566">
        <w:t xml:space="preserve"> </w:t>
      </w:r>
    </w:p>
    <w:p w14:paraId="480DA2C2" w14:textId="1C2068F2" w:rsidR="00E56AAE" w:rsidRDefault="006E727F" w:rsidP="00246D05">
      <w:pPr>
        <w:pStyle w:val="ListParagraph"/>
        <w:numPr>
          <w:ilvl w:val="0"/>
          <w:numId w:val="38"/>
        </w:numPr>
        <w:spacing w:after="160" w:line="259" w:lineRule="auto"/>
        <w:ind w:left="360"/>
        <w:jc w:val="both"/>
      </w:pPr>
      <w:r w:rsidRPr="00E56AAE">
        <w:rPr>
          <w:b/>
        </w:rPr>
        <w:t xml:space="preserve">Methods for regulating interconnection could be improved. </w:t>
      </w:r>
      <w:r>
        <w:t>Interconnection is currently set at AMD</w:t>
      </w:r>
      <w:r w:rsidR="001641B1">
        <w:t xml:space="preserve"> 7</w:t>
      </w:r>
      <w:r>
        <w:t>.4</w:t>
      </w:r>
      <w:r w:rsidR="001641B1">
        <w:t xml:space="preserve"> per minute</w:t>
      </w:r>
      <w:r>
        <w:t xml:space="preserve">, whereas </w:t>
      </w:r>
      <w:r w:rsidR="008D3298">
        <w:t>operators</w:t>
      </w:r>
      <w:r>
        <w:t xml:space="preserve"> believe it should be around AMD2-3. Both service providers and the regulator mentioned that there was scope for improvement in the methodologies the PSRC use</w:t>
      </w:r>
      <w:r w:rsidR="002A5A80">
        <w:t>d</w:t>
      </w:r>
      <w:r>
        <w:t xml:space="preserve"> to regulate interconnection </w:t>
      </w:r>
      <w:r w:rsidRPr="00EB5885">
        <w:t>(currently PSRC us</w:t>
      </w:r>
      <w:r w:rsidR="008D3298" w:rsidRPr="00EB5885">
        <w:t>es a</w:t>
      </w:r>
      <w:r w:rsidRPr="00EB5885">
        <w:t xml:space="preserve"> European </w:t>
      </w:r>
      <w:r w:rsidR="008D3298" w:rsidRPr="00EB5885">
        <w:t xml:space="preserve">average </w:t>
      </w:r>
      <w:r w:rsidRPr="00EB5885">
        <w:t>cost</w:t>
      </w:r>
      <w:r w:rsidR="008D3298" w:rsidRPr="00EB5885">
        <w:t xml:space="preserve"> as a benchmark</w:t>
      </w:r>
      <w:r w:rsidRPr="00EB5885">
        <w:t>)</w:t>
      </w:r>
      <w:r w:rsidRPr="00694D9D">
        <w:t>. PSRC</w:t>
      </w:r>
      <w:r>
        <w:t xml:space="preserve"> requested assistance on improving its interconnection methodology.</w:t>
      </w:r>
    </w:p>
    <w:p w14:paraId="34DA9564" w14:textId="7ED2FEC5" w:rsidR="001641B1" w:rsidRDefault="001641B1" w:rsidP="00246D05">
      <w:pPr>
        <w:pStyle w:val="ListParagraph"/>
        <w:numPr>
          <w:ilvl w:val="1"/>
          <w:numId w:val="34"/>
        </w:numPr>
        <w:spacing w:after="160" w:line="259" w:lineRule="auto"/>
        <w:ind w:left="1080"/>
        <w:jc w:val="both"/>
      </w:pPr>
      <w:r w:rsidRPr="00246D05">
        <w:t xml:space="preserve">The PSRC is working on a market analysis to declare three operators as SMPs in the wholesale mobile termination markets on individual mobile networks and </w:t>
      </w:r>
      <w:r>
        <w:t xml:space="preserve">thus </w:t>
      </w:r>
      <w:r w:rsidRPr="00246D05">
        <w:t>regulate termination rates.</w:t>
      </w:r>
    </w:p>
    <w:p w14:paraId="40E5723A" w14:textId="5A6434D2" w:rsidR="004726F6" w:rsidRDefault="001641B1" w:rsidP="00246D05">
      <w:pPr>
        <w:pStyle w:val="ListParagraph"/>
        <w:numPr>
          <w:ilvl w:val="0"/>
          <w:numId w:val="38"/>
        </w:numPr>
        <w:spacing w:after="160" w:line="259" w:lineRule="auto"/>
        <w:ind w:left="360"/>
        <w:jc w:val="both"/>
      </w:pPr>
      <w:r w:rsidRPr="00246D05">
        <w:rPr>
          <w:b/>
        </w:rPr>
        <w:t>PSRC plans to develop asymmetric regulation for mobile termination rates.</w:t>
      </w:r>
      <w:r w:rsidRPr="000B7F7B">
        <w:t xml:space="preserve"> </w:t>
      </w:r>
      <w:r w:rsidRPr="00246D05">
        <w:t xml:space="preserve">PSRC reports that it has </w:t>
      </w:r>
      <w:r>
        <w:t xml:space="preserve">already </w:t>
      </w:r>
      <w:r w:rsidRPr="00246D05">
        <w:t xml:space="preserve">carried out asymmetric regulation for the retail fixed line communication market and the international IP transit services markets (in a situation of asymmetric regulation, an operator with significant market power (SMP) may be subject to additional regulatory obligations as opposed to symmetric regulation where all operators are subject to the same regulation regardless of </w:t>
      </w:r>
      <w:proofErr w:type="gramStart"/>
      <w:r w:rsidRPr="00246D05">
        <w:t>whether or not</w:t>
      </w:r>
      <w:proofErr w:type="gramEnd"/>
      <w:r w:rsidRPr="00246D05">
        <w:t xml:space="preserve"> they hold SMP). PSRC further plans to develop asymmetric regulation for the retail fixed and mobile termination rates in operator’s individual networks. Beeline has argued that an asymmetric regulation model could be more appropriate given MTS’s prominent market position</w:t>
      </w:r>
      <w:r>
        <w:t>.</w:t>
      </w:r>
    </w:p>
    <w:p w14:paraId="45924A6A" w14:textId="777CD32C" w:rsidR="001B79CF" w:rsidRDefault="002E3BF9" w:rsidP="00246D05">
      <w:pPr>
        <w:pStyle w:val="ListParagraph"/>
        <w:numPr>
          <w:ilvl w:val="0"/>
          <w:numId w:val="38"/>
        </w:numPr>
        <w:spacing w:after="160" w:line="259" w:lineRule="auto"/>
        <w:ind w:left="360"/>
        <w:jc w:val="both"/>
      </w:pPr>
      <w:r w:rsidRPr="004631D9">
        <w:rPr>
          <w:b/>
        </w:rPr>
        <w:t xml:space="preserve">There are no plans </w:t>
      </w:r>
      <w:r w:rsidR="000425CB" w:rsidRPr="004631D9">
        <w:rPr>
          <w:b/>
        </w:rPr>
        <w:t xml:space="preserve">to release remaining 4G spectrum in a way that </w:t>
      </w:r>
      <w:r w:rsidR="00771D47" w:rsidRPr="00E67EB7">
        <w:rPr>
          <w:b/>
        </w:rPr>
        <w:t>would encourage</w:t>
      </w:r>
      <w:r w:rsidR="000425CB" w:rsidRPr="00E67EB7">
        <w:rPr>
          <w:b/>
        </w:rPr>
        <w:t xml:space="preserve"> for new entry</w:t>
      </w:r>
      <w:r w:rsidRPr="00E67EB7">
        <w:rPr>
          <w:b/>
        </w:rPr>
        <w:t xml:space="preserve">. </w:t>
      </w:r>
      <w:r w:rsidRPr="002E3BF9">
        <w:t>While s</w:t>
      </w:r>
      <w:r w:rsidR="00A137B5" w:rsidRPr="002E3BF9">
        <w:t>pectrum is typically released through auction</w:t>
      </w:r>
      <w:r w:rsidRPr="002E3BF9">
        <w:t>,</w:t>
      </w:r>
      <w:r w:rsidR="00A137B5" w:rsidRPr="002E3BF9">
        <w:t xml:space="preserve"> it </w:t>
      </w:r>
      <w:r w:rsidRPr="002E3BF9">
        <w:t>appears there is significant discussion between the</w:t>
      </w:r>
      <w:r w:rsidR="00A137B5" w:rsidRPr="002E3BF9">
        <w:t xml:space="preserve"> </w:t>
      </w:r>
      <w:r w:rsidRPr="002E3BF9">
        <w:t>government and the three incumbents on spectrum allocation and assignment in this process.</w:t>
      </w:r>
      <w:r w:rsidRPr="00246D05">
        <w:t xml:space="preserve"> </w:t>
      </w:r>
      <w:bookmarkStart w:id="17" w:name="_Hlk530008592"/>
      <w:r w:rsidR="001B2EC3" w:rsidRPr="000451C6">
        <w:t xml:space="preserve">While market players argue that market size does not justify </w:t>
      </w:r>
      <w:r w:rsidR="000D60FF" w:rsidRPr="00C15378">
        <w:t>the entry of a fourth player</w:t>
      </w:r>
      <w:r w:rsidR="001B2EC3" w:rsidRPr="000451C6">
        <w:t>,</w:t>
      </w:r>
      <w:r w:rsidR="0065137D">
        <w:t xml:space="preserve"> it is not clear why any limit on the number of players should exist. Moreover,</w:t>
      </w:r>
      <w:r w:rsidR="001B2EC3" w:rsidRPr="000451C6">
        <w:t xml:space="preserve"> hol</w:t>
      </w:r>
      <w:r w:rsidR="0065137D" w:rsidRPr="0065137D">
        <w:t xml:space="preserve">ding competitive open auctions </w:t>
      </w:r>
      <w:r w:rsidR="0065137D">
        <w:t>w</w:t>
      </w:r>
      <w:r w:rsidR="001B2EC3" w:rsidRPr="000451C6">
        <w:t>ould inject an additional degree of competition into the market and could rais</w:t>
      </w:r>
      <w:r w:rsidR="00C56ED3" w:rsidRPr="00C15378">
        <w:t xml:space="preserve">e the value the </w:t>
      </w:r>
      <w:proofErr w:type="spellStart"/>
      <w:r w:rsidR="00C56ED3" w:rsidRPr="00C15378">
        <w:t>GoA</w:t>
      </w:r>
      <w:proofErr w:type="spellEnd"/>
      <w:r w:rsidR="00C56ED3" w:rsidRPr="00C15378">
        <w:t xml:space="preserve"> could reali</w:t>
      </w:r>
      <w:r w:rsidR="00C56ED3">
        <w:t>z</w:t>
      </w:r>
      <w:r w:rsidR="001B2EC3" w:rsidRPr="000451C6">
        <w:t>e for spectrum.</w:t>
      </w:r>
      <w:bookmarkEnd w:id="17"/>
    </w:p>
    <w:p w14:paraId="3DDB2B92" w14:textId="3FCABA80" w:rsidR="004726F6" w:rsidRDefault="002E3BF9" w:rsidP="00246D05">
      <w:pPr>
        <w:pStyle w:val="ListParagraph"/>
        <w:numPr>
          <w:ilvl w:val="0"/>
          <w:numId w:val="38"/>
        </w:numPr>
        <w:spacing w:after="160" w:line="259" w:lineRule="auto"/>
        <w:ind w:left="360"/>
        <w:jc w:val="both"/>
      </w:pPr>
      <w:r w:rsidRPr="00246D05">
        <w:rPr>
          <w:b/>
        </w:rPr>
        <w:t>Operators reported that issues in laying fiber were often faced at the municipal level</w:t>
      </w:r>
      <w:r>
        <w:t xml:space="preserve"> </w:t>
      </w:r>
      <w:proofErr w:type="gramStart"/>
      <w:r>
        <w:t>with regard to</w:t>
      </w:r>
      <w:proofErr w:type="gramEnd"/>
      <w:r>
        <w:t xml:space="preserve"> hindrances in access to underground ducts.</w:t>
      </w:r>
    </w:p>
    <w:p w14:paraId="088737E9" w14:textId="72FC70A3" w:rsidR="004726F6" w:rsidRDefault="002E3BF9" w:rsidP="00246D05">
      <w:pPr>
        <w:pStyle w:val="ListParagraph"/>
        <w:numPr>
          <w:ilvl w:val="0"/>
          <w:numId w:val="38"/>
        </w:numPr>
        <w:spacing w:after="160" w:line="259" w:lineRule="auto"/>
        <w:ind w:left="360"/>
        <w:jc w:val="both"/>
      </w:pPr>
      <w:r w:rsidRPr="00E56AAE">
        <w:rPr>
          <w:b/>
        </w:rPr>
        <w:t>Informal restrictions on smaller players.</w:t>
      </w:r>
      <w:r>
        <w:t xml:space="preserve"> Before the change in government</w:t>
      </w:r>
      <w:r w:rsidR="008F3187">
        <w:t>,</w:t>
      </w:r>
      <w:r>
        <w:t xml:space="preserve"> some large operators appear to have </w:t>
      </w:r>
      <w:r w:rsidR="00F24A29">
        <w:t>put</w:t>
      </w:r>
      <w:r>
        <w:t xml:space="preserve"> smaller providers </w:t>
      </w:r>
      <w:r w:rsidR="00F24A29">
        <w:t>at a disadvantage</w:t>
      </w:r>
      <w:r>
        <w:t xml:space="preserve"> by using government connections (e.g. to influence tax audits).</w:t>
      </w:r>
    </w:p>
    <w:p w14:paraId="66E79BB0" w14:textId="5B499FA6" w:rsidR="009A3D07" w:rsidRDefault="009A3D07" w:rsidP="00246D05">
      <w:pPr>
        <w:pStyle w:val="ListParagraph"/>
        <w:numPr>
          <w:ilvl w:val="0"/>
          <w:numId w:val="38"/>
        </w:numPr>
        <w:spacing w:after="160" w:line="259" w:lineRule="auto"/>
        <w:ind w:left="360"/>
        <w:jc w:val="both"/>
      </w:pPr>
      <w:r w:rsidRPr="00E56AAE">
        <w:rPr>
          <w:b/>
        </w:rPr>
        <w:t xml:space="preserve">Operators do not currently share infrastructure – </w:t>
      </w:r>
      <w:r w:rsidR="00A854D9" w:rsidRPr="00E56AAE">
        <w:rPr>
          <w:b/>
        </w:rPr>
        <w:t xml:space="preserve">and </w:t>
      </w:r>
      <w:r w:rsidRPr="00E56AAE">
        <w:rPr>
          <w:b/>
        </w:rPr>
        <w:t xml:space="preserve">this may become </w:t>
      </w:r>
      <w:r w:rsidR="00A854D9" w:rsidRPr="00E56AAE">
        <w:rPr>
          <w:b/>
        </w:rPr>
        <w:t xml:space="preserve">more </w:t>
      </w:r>
      <w:r w:rsidRPr="00E56AAE">
        <w:rPr>
          <w:b/>
        </w:rPr>
        <w:t>important as 5G roll out begins.</w:t>
      </w:r>
      <w:r>
        <w:t xml:space="preserve"> After attempts to share infrastructure on a voluntary basis failed four years ago, operators all invested in their own infrastructure. This has not</w:t>
      </w:r>
      <w:r w:rsidR="00A854D9">
        <w:t xml:space="preserve"> yet</w:t>
      </w:r>
      <w:r>
        <w:t xml:space="preserve"> been a major issue given the small size of the </w:t>
      </w:r>
      <w:r w:rsidR="00277959">
        <w:t>country,</w:t>
      </w:r>
      <w:r>
        <w:t xml:space="preserve"> but it may become more relevant in </w:t>
      </w:r>
      <w:r w:rsidR="00A854D9">
        <w:t>the next three</w:t>
      </w:r>
      <w:r>
        <w:t xml:space="preserve"> years</w:t>
      </w:r>
      <w:r w:rsidR="00A854D9">
        <w:t xml:space="preserve"> (particularly for active equipment)</w:t>
      </w:r>
      <w:r>
        <w:t xml:space="preserve"> as new investments will come online </w:t>
      </w:r>
      <w:r w:rsidR="00A854D9">
        <w:t xml:space="preserve">for 5G </w:t>
      </w:r>
      <w:r>
        <w:t>and infrastructure will be renewed. At this point, interventions by the PSRC on infrastructure sharing would become important</w:t>
      </w:r>
      <w:r w:rsidR="001641B1">
        <w:t xml:space="preserve"> </w:t>
      </w:r>
      <w:r w:rsidR="001641B1" w:rsidRPr="00246D05">
        <w:t>and the existing rules under the RA Law on E-Communications should be further reviewed and specified for sound implementation</w:t>
      </w:r>
      <w:r w:rsidR="008E1668">
        <w:t>.</w:t>
      </w:r>
    </w:p>
    <w:p w14:paraId="5E4C8F5E" w14:textId="77777777" w:rsidR="00D724EB" w:rsidRDefault="00D724EB" w:rsidP="00246D05">
      <w:pPr>
        <w:pStyle w:val="Heading5"/>
      </w:pPr>
      <w:r>
        <w:t>Energy</w:t>
      </w:r>
    </w:p>
    <w:p w14:paraId="3A250096" w14:textId="77777777" w:rsidR="00E56AAE" w:rsidRDefault="00E56AAE" w:rsidP="00E56AAE">
      <w:pPr>
        <w:jc w:val="both"/>
        <w:rPr>
          <w:b/>
        </w:rPr>
      </w:pPr>
    </w:p>
    <w:p w14:paraId="38944280" w14:textId="3C990353" w:rsidR="00E56AAE" w:rsidRDefault="00C77830" w:rsidP="00E56AAE">
      <w:pPr>
        <w:pStyle w:val="ListParagraph"/>
        <w:numPr>
          <w:ilvl w:val="0"/>
          <w:numId w:val="34"/>
        </w:numPr>
        <w:spacing w:after="160" w:line="259" w:lineRule="auto"/>
        <w:ind w:left="0" w:firstLine="0"/>
        <w:jc w:val="both"/>
      </w:pPr>
      <w:r w:rsidRPr="00E56AAE">
        <w:rPr>
          <w:b/>
        </w:rPr>
        <w:t>In the electricity sector, a</w:t>
      </w:r>
      <w:r w:rsidR="00CC3F87" w:rsidRPr="00E56AAE">
        <w:rPr>
          <w:b/>
        </w:rPr>
        <w:t>mendments to the energy law allows for the vertical separation of distribution and supply to allow for more competition i</w:t>
      </w:r>
      <w:r w:rsidRPr="00E56AAE">
        <w:rPr>
          <w:b/>
        </w:rPr>
        <w:t>n</w:t>
      </w:r>
      <w:r w:rsidR="00CC3F87" w:rsidRPr="00E56AAE">
        <w:rPr>
          <w:b/>
        </w:rPr>
        <w:t xml:space="preserve"> supply but this is yet to be implemented.</w:t>
      </w:r>
      <w:r w:rsidR="008A00FA">
        <w:t xml:space="preserve"> </w:t>
      </w:r>
      <w:proofErr w:type="spellStart"/>
      <w:r w:rsidR="008A00FA">
        <w:t>GoA</w:t>
      </w:r>
      <w:proofErr w:type="spellEnd"/>
      <w:r w:rsidR="008A00FA">
        <w:t xml:space="preserve"> is being supported</w:t>
      </w:r>
      <w:r w:rsidR="00CC3F87">
        <w:t xml:space="preserve"> by USAID and W</w:t>
      </w:r>
      <w:r w:rsidR="00A619D9">
        <w:t>orld Bank Group</w:t>
      </w:r>
      <w:r w:rsidR="00CC3F87">
        <w:t xml:space="preserve"> to issue contracts under new market rules. </w:t>
      </w:r>
      <w:r w:rsidRPr="000451C6">
        <w:t>Relevant amendments in the energy sector legislation and</w:t>
      </w:r>
      <w:r w:rsidR="00F56F96">
        <w:t xml:space="preserve"> a </w:t>
      </w:r>
      <w:r w:rsidRPr="000451C6">
        <w:t xml:space="preserve">market liberalization concept/strategy have been supported and advised by USAID. The World Bank is supporting the </w:t>
      </w:r>
      <w:r w:rsidR="00A619D9">
        <w:t>PSRC</w:t>
      </w:r>
      <w:r w:rsidRPr="000451C6">
        <w:t xml:space="preserve"> with drafting new model Power Purchase Agreement for small renewable energy projects under 30MW that will operate under new market rules. </w:t>
      </w:r>
      <w:r w:rsidR="00CC3F87">
        <w:t>The aim is to complete this process by 2020.</w:t>
      </w:r>
    </w:p>
    <w:p w14:paraId="2AC7F155" w14:textId="77777777" w:rsidR="00A619D9" w:rsidRDefault="00A619D9" w:rsidP="00A619D9">
      <w:pPr>
        <w:pStyle w:val="ListParagraph"/>
        <w:spacing w:after="160" w:line="259" w:lineRule="auto"/>
        <w:ind w:left="0"/>
        <w:jc w:val="both"/>
      </w:pPr>
    </w:p>
    <w:p w14:paraId="538212A2" w14:textId="77777777" w:rsidR="00E56AAE" w:rsidRDefault="00CC3F87" w:rsidP="00E56AAE">
      <w:pPr>
        <w:pStyle w:val="ListParagraph"/>
        <w:numPr>
          <w:ilvl w:val="0"/>
          <w:numId w:val="34"/>
        </w:numPr>
        <w:spacing w:after="160" w:line="259" w:lineRule="auto"/>
        <w:ind w:left="0" w:firstLine="0"/>
        <w:jc w:val="both"/>
      </w:pPr>
      <w:r w:rsidRPr="00E56AAE">
        <w:rPr>
          <w:b/>
        </w:rPr>
        <w:t xml:space="preserve">The gas sector is completely monopolized by one Russian supplier, which is protected by an intergovernmental agreement. </w:t>
      </w:r>
      <w:r>
        <w:t xml:space="preserve">There are no plans to </w:t>
      </w:r>
      <w:proofErr w:type="gramStart"/>
      <w:r>
        <w:t>open up</w:t>
      </w:r>
      <w:proofErr w:type="gramEnd"/>
      <w:r>
        <w:t xml:space="preserve"> this sector at present.</w:t>
      </w:r>
      <w:bookmarkStart w:id="18" w:name="_Hlk529694616"/>
      <w:r w:rsidR="002C0462">
        <w:t xml:space="preserve"> No customer choice or </w:t>
      </w:r>
      <w:proofErr w:type="gramStart"/>
      <w:r w:rsidR="002C0462">
        <w:t>third party</w:t>
      </w:r>
      <w:proofErr w:type="gramEnd"/>
      <w:r w:rsidR="002C0462">
        <w:t xml:space="preserve"> access is possible.</w:t>
      </w:r>
    </w:p>
    <w:p w14:paraId="4011B901" w14:textId="77777777" w:rsidR="00E5359C" w:rsidRDefault="00E5359C" w:rsidP="00E5359C">
      <w:pPr>
        <w:pStyle w:val="ListParagraph"/>
        <w:spacing w:after="160" w:line="259" w:lineRule="auto"/>
        <w:ind w:left="0"/>
        <w:jc w:val="both"/>
      </w:pPr>
    </w:p>
    <w:p w14:paraId="02F32147" w14:textId="4DEFC755" w:rsidR="002C0462" w:rsidRPr="002C0462" w:rsidRDefault="00EC7B71" w:rsidP="00E5359C">
      <w:pPr>
        <w:pStyle w:val="ListParagraph"/>
        <w:numPr>
          <w:ilvl w:val="0"/>
          <w:numId w:val="34"/>
        </w:numPr>
        <w:spacing w:after="160" w:line="259" w:lineRule="auto"/>
        <w:ind w:left="0" w:firstLine="0"/>
        <w:jc w:val="both"/>
        <w:rPr>
          <w:b/>
        </w:rPr>
      </w:pPr>
      <w:r>
        <w:rPr>
          <w:b/>
        </w:rPr>
        <w:t>While there have been positive moves in electricity sector in Armenia, p</w:t>
      </w:r>
      <w:r w:rsidR="00E5359C">
        <w:rPr>
          <w:b/>
        </w:rPr>
        <w:t xml:space="preserve">eer countries </w:t>
      </w:r>
      <w:r>
        <w:rPr>
          <w:b/>
        </w:rPr>
        <w:t xml:space="preserve">generally perform better across electricity and gas when considering openness of </w:t>
      </w:r>
      <w:r w:rsidR="00E5359C">
        <w:rPr>
          <w:b/>
        </w:rPr>
        <w:t xml:space="preserve">their energy markets to customer choice. </w:t>
      </w:r>
      <w:r w:rsidR="00DA5314" w:rsidRPr="00246D05">
        <w:t>Although</w:t>
      </w:r>
      <w:r w:rsidR="00E5359C" w:rsidRPr="00246D05">
        <w:t xml:space="preserve"> </w:t>
      </w:r>
      <w:r w:rsidR="00DA5314" w:rsidRPr="004631D9">
        <w:t>c</w:t>
      </w:r>
      <w:r w:rsidR="00E5359C" w:rsidRPr="00E5359C">
        <w:t>ur</w:t>
      </w:r>
      <w:r w:rsidR="00E5359C">
        <w:t>rent reform processes</w:t>
      </w:r>
      <w:r w:rsidR="002C0462">
        <w:t xml:space="preserve"> in Armenia</w:t>
      </w:r>
      <w:r w:rsidR="00E5359C">
        <w:t xml:space="preserve"> aim at allowing for customer choice of supplier</w:t>
      </w:r>
      <w:r w:rsidR="00A619D9">
        <w:t>s</w:t>
      </w:r>
      <w:r w:rsidR="00E5359C">
        <w:t xml:space="preserve"> and</w:t>
      </w:r>
      <w:r w:rsidR="002C0462">
        <w:t xml:space="preserve"> at enabling</w:t>
      </w:r>
      <w:r w:rsidR="00E5359C">
        <w:t xml:space="preserve"> </w:t>
      </w:r>
      <w:r w:rsidR="002C0462">
        <w:t xml:space="preserve">third party access in </w:t>
      </w:r>
      <w:r w:rsidR="00A619D9">
        <w:t>electricity sector</w:t>
      </w:r>
      <w:r w:rsidR="002C0462">
        <w:t xml:space="preserve">. However, the 2013 OECD Product Market Regulation data shows that </w:t>
      </w:r>
      <w:r w:rsidR="00A619D9">
        <w:t xml:space="preserve">most </w:t>
      </w:r>
      <w:r w:rsidR="002C0462">
        <w:t xml:space="preserve">comparator countries have already allowed choice and entry. In case of gas Armenia lags behind most comparator countries in the degree of market opening </w:t>
      </w:r>
      <w:r w:rsidR="00A619D9">
        <w:t>(</w:t>
      </w:r>
      <w:r w:rsidR="002C0462">
        <w:t>See</w:t>
      </w:r>
      <w:r w:rsidR="004631D9">
        <w:t xml:space="preserve"> </w:t>
      </w:r>
      <w:r w:rsidR="004631D9" w:rsidRPr="004631D9">
        <w:fldChar w:fldCharType="begin"/>
      </w:r>
      <w:r w:rsidR="004631D9" w:rsidRPr="00E67EB7">
        <w:instrText xml:space="preserve"> REF _Ref11847291 \h </w:instrText>
      </w:r>
      <w:r w:rsidR="004631D9" w:rsidRPr="00246D05">
        <w:instrText xml:space="preserve"> \* MERGEFORMAT </w:instrText>
      </w:r>
      <w:r w:rsidR="004631D9" w:rsidRPr="004631D9">
        <w:fldChar w:fldCharType="separate"/>
      </w:r>
      <w:r w:rsidR="00A31FAC" w:rsidRPr="00383CD1">
        <w:t xml:space="preserve">Table </w:t>
      </w:r>
      <w:r w:rsidR="00A31FAC" w:rsidRPr="00383CD1">
        <w:rPr>
          <w:noProof/>
        </w:rPr>
        <w:t>3</w:t>
      </w:r>
      <w:r w:rsidR="004631D9" w:rsidRPr="004631D9">
        <w:fldChar w:fldCharType="end"/>
      </w:r>
      <w:r w:rsidR="002C0462" w:rsidRPr="004631D9">
        <w:t xml:space="preserve"> </w:t>
      </w:r>
      <w:r w:rsidR="00A619D9" w:rsidRPr="004631D9">
        <w:t xml:space="preserve">and </w:t>
      </w:r>
      <w:r w:rsidR="004631D9" w:rsidRPr="004631D9">
        <w:fldChar w:fldCharType="begin"/>
      </w:r>
      <w:r w:rsidR="004631D9" w:rsidRPr="00E67EB7">
        <w:instrText xml:space="preserve"> REF _Ref11847303 \h </w:instrText>
      </w:r>
      <w:r w:rsidR="004631D9" w:rsidRPr="00246D05">
        <w:instrText xml:space="preserve"> \* MERGEFORMAT </w:instrText>
      </w:r>
      <w:r w:rsidR="004631D9" w:rsidRPr="004631D9">
        <w:fldChar w:fldCharType="separate"/>
      </w:r>
      <w:r w:rsidR="00A31FAC" w:rsidRPr="00383CD1">
        <w:t>Table 4</w:t>
      </w:r>
      <w:r w:rsidR="004631D9" w:rsidRPr="004631D9">
        <w:fldChar w:fldCharType="end"/>
      </w:r>
      <w:r w:rsidR="00A619D9">
        <w:t xml:space="preserve"> below).</w:t>
      </w:r>
    </w:p>
    <w:p w14:paraId="44503FF7" w14:textId="77777777" w:rsidR="002C0462" w:rsidRPr="002C0462" w:rsidRDefault="002C0462" w:rsidP="002C0462">
      <w:pPr>
        <w:pStyle w:val="ListParagraph"/>
        <w:rPr>
          <w:b/>
        </w:rPr>
      </w:pPr>
    </w:p>
    <w:p w14:paraId="55B2AFC9" w14:textId="31FF579E" w:rsidR="002C0462" w:rsidRPr="00246D05" w:rsidRDefault="002C0462" w:rsidP="002C0462">
      <w:pPr>
        <w:jc w:val="both"/>
        <w:rPr>
          <w:color w:val="323E4F" w:themeColor="text2" w:themeShade="BF"/>
          <w:sz w:val="18"/>
          <w:szCs w:val="20"/>
        </w:rPr>
      </w:pPr>
      <w:r w:rsidRPr="00246D05">
        <w:rPr>
          <w:color w:val="323E4F" w:themeColor="text2" w:themeShade="BF"/>
          <w:sz w:val="18"/>
          <w:szCs w:val="20"/>
        </w:rPr>
        <w:t xml:space="preserve"> </w:t>
      </w:r>
      <w:bookmarkStart w:id="19" w:name="_Ref11847291"/>
      <w:r w:rsidR="008405A5" w:rsidRPr="00246D05">
        <w:rPr>
          <w:b/>
          <w:sz w:val="18"/>
          <w:szCs w:val="20"/>
        </w:rPr>
        <w:t xml:space="preserve">Table </w:t>
      </w:r>
      <w:r w:rsidR="008405A5" w:rsidRPr="00246D05">
        <w:rPr>
          <w:b/>
          <w:sz w:val="18"/>
          <w:szCs w:val="20"/>
        </w:rPr>
        <w:fldChar w:fldCharType="begin"/>
      </w:r>
      <w:r w:rsidR="008405A5" w:rsidRPr="00246D05">
        <w:rPr>
          <w:b/>
          <w:sz w:val="18"/>
          <w:szCs w:val="20"/>
        </w:rPr>
        <w:instrText xml:space="preserve"> SEQ Table \* ARABIC </w:instrText>
      </w:r>
      <w:r w:rsidR="008405A5" w:rsidRPr="00246D05">
        <w:rPr>
          <w:b/>
          <w:sz w:val="18"/>
          <w:szCs w:val="20"/>
        </w:rPr>
        <w:fldChar w:fldCharType="separate"/>
      </w:r>
      <w:r w:rsidR="00A31FAC">
        <w:rPr>
          <w:b/>
          <w:noProof/>
          <w:sz w:val="18"/>
          <w:szCs w:val="20"/>
        </w:rPr>
        <w:t>3</w:t>
      </w:r>
      <w:r w:rsidR="008405A5" w:rsidRPr="00246D05">
        <w:rPr>
          <w:b/>
          <w:sz w:val="18"/>
          <w:szCs w:val="20"/>
        </w:rPr>
        <w:fldChar w:fldCharType="end"/>
      </w:r>
      <w:bookmarkEnd w:id="19"/>
      <w:r w:rsidR="008405A5" w:rsidRPr="00246D05">
        <w:rPr>
          <w:b/>
          <w:sz w:val="18"/>
          <w:szCs w:val="20"/>
        </w:rPr>
        <w:t xml:space="preserve">. </w:t>
      </w:r>
      <w:r w:rsidR="001264F3" w:rsidRPr="00246D05">
        <w:rPr>
          <w:b/>
          <w:sz w:val="18"/>
          <w:szCs w:val="20"/>
        </w:rPr>
        <w:t>How are the terms and conditions of third-party access (TPA) to the electricity/gas transmission grid determined?</w:t>
      </w:r>
    </w:p>
    <w:tbl>
      <w:tblPr>
        <w:tblW w:w="9360" w:type="dxa"/>
        <w:tblCellMar>
          <w:left w:w="0" w:type="dxa"/>
          <w:right w:w="0" w:type="dxa"/>
        </w:tblCellMar>
        <w:tblLook w:val="04A0" w:firstRow="1" w:lastRow="0" w:firstColumn="1" w:lastColumn="0" w:noHBand="0" w:noVBand="1"/>
      </w:tblPr>
      <w:tblGrid>
        <w:gridCol w:w="1440"/>
        <w:gridCol w:w="1440"/>
        <w:gridCol w:w="1350"/>
        <w:gridCol w:w="1080"/>
        <w:gridCol w:w="20"/>
        <w:gridCol w:w="1420"/>
        <w:gridCol w:w="1350"/>
        <w:gridCol w:w="1260"/>
      </w:tblGrid>
      <w:tr w:rsidR="002C0462" w14:paraId="4B12902F" w14:textId="77777777" w:rsidTr="002C0462">
        <w:trPr>
          <w:trHeight w:val="292"/>
        </w:trPr>
        <w:tc>
          <w:tcPr>
            <w:tcW w:w="1440" w:type="dxa"/>
            <w:tcBorders>
              <w:top w:val="single" w:sz="8" w:space="0" w:color="4472C4"/>
              <w:left w:val="nil"/>
              <w:bottom w:val="single" w:sz="8" w:space="0" w:color="4472C4"/>
              <w:right w:val="nil"/>
            </w:tcBorders>
            <w:shd w:val="clear" w:color="auto" w:fill="auto"/>
            <w:noWrap/>
            <w:tcMar>
              <w:top w:w="0" w:type="dxa"/>
              <w:left w:w="108" w:type="dxa"/>
              <w:bottom w:w="0" w:type="dxa"/>
              <w:right w:w="108" w:type="dxa"/>
            </w:tcMar>
          </w:tcPr>
          <w:p w14:paraId="241D5A4C" w14:textId="77777777" w:rsidR="002C0462" w:rsidRDefault="002C0462" w:rsidP="002C0462"/>
        </w:tc>
        <w:tc>
          <w:tcPr>
            <w:tcW w:w="3870" w:type="dxa"/>
            <w:gridSpan w:val="3"/>
            <w:tcBorders>
              <w:top w:val="single" w:sz="8" w:space="0" w:color="4472C4"/>
              <w:left w:val="nil"/>
              <w:bottom w:val="single" w:sz="8" w:space="0" w:color="4472C4"/>
              <w:right w:val="nil"/>
            </w:tcBorders>
            <w:shd w:val="clear" w:color="auto" w:fill="auto"/>
            <w:noWrap/>
            <w:tcMar>
              <w:top w:w="0" w:type="dxa"/>
              <w:left w:w="108" w:type="dxa"/>
              <w:bottom w:w="0" w:type="dxa"/>
              <w:right w:w="108" w:type="dxa"/>
            </w:tcMar>
          </w:tcPr>
          <w:p w14:paraId="151DDD78" w14:textId="77777777" w:rsidR="002C0462" w:rsidRDefault="002C0462" w:rsidP="002C0462">
            <w:pPr>
              <w:jc w:val="center"/>
              <w:rPr>
                <w:b/>
                <w:bCs/>
                <w:color w:val="000000"/>
                <w:sz w:val="18"/>
                <w:szCs w:val="18"/>
              </w:rPr>
            </w:pPr>
            <w:r>
              <w:rPr>
                <w:b/>
                <w:bCs/>
                <w:color w:val="000000"/>
                <w:sz w:val="18"/>
                <w:szCs w:val="18"/>
              </w:rPr>
              <w:t>Electricity</w:t>
            </w:r>
          </w:p>
        </w:tc>
        <w:tc>
          <w:tcPr>
            <w:tcW w:w="20" w:type="dxa"/>
            <w:tcBorders>
              <w:top w:val="single" w:sz="8" w:space="0" w:color="4472C4"/>
              <w:left w:val="nil"/>
              <w:bottom w:val="single" w:sz="8" w:space="0" w:color="4472C4"/>
              <w:right w:val="nil"/>
            </w:tcBorders>
            <w:shd w:val="clear" w:color="auto" w:fill="auto"/>
          </w:tcPr>
          <w:p w14:paraId="35C5FF7D" w14:textId="77777777" w:rsidR="002C0462" w:rsidRDefault="002C0462" w:rsidP="002C0462">
            <w:pPr>
              <w:jc w:val="center"/>
              <w:rPr>
                <w:b/>
                <w:bCs/>
                <w:color w:val="000000"/>
                <w:sz w:val="18"/>
                <w:szCs w:val="18"/>
              </w:rPr>
            </w:pPr>
          </w:p>
        </w:tc>
        <w:tc>
          <w:tcPr>
            <w:tcW w:w="4030" w:type="dxa"/>
            <w:gridSpan w:val="3"/>
            <w:tcBorders>
              <w:top w:val="single" w:sz="8" w:space="0" w:color="4472C4"/>
              <w:left w:val="nil"/>
              <w:bottom w:val="single" w:sz="8" w:space="0" w:color="4472C4"/>
              <w:right w:val="nil"/>
            </w:tcBorders>
            <w:shd w:val="clear" w:color="auto" w:fill="auto"/>
          </w:tcPr>
          <w:p w14:paraId="07E72F69" w14:textId="77777777" w:rsidR="002C0462" w:rsidRDefault="001264F3" w:rsidP="002C0462">
            <w:pPr>
              <w:jc w:val="center"/>
              <w:rPr>
                <w:b/>
                <w:bCs/>
                <w:color w:val="000000"/>
                <w:sz w:val="18"/>
                <w:szCs w:val="18"/>
              </w:rPr>
            </w:pPr>
            <w:r>
              <w:rPr>
                <w:b/>
                <w:bCs/>
                <w:color w:val="000000"/>
                <w:sz w:val="18"/>
                <w:szCs w:val="18"/>
              </w:rPr>
              <w:t>G</w:t>
            </w:r>
            <w:r w:rsidR="002C0462">
              <w:rPr>
                <w:b/>
                <w:bCs/>
                <w:color w:val="000000"/>
                <w:sz w:val="18"/>
                <w:szCs w:val="18"/>
              </w:rPr>
              <w:t>as</w:t>
            </w:r>
          </w:p>
        </w:tc>
      </w:tr>
      <w:tr w:rsidR="002C0462" w14:paraId="23027952" w14:textId="77777777" w:rsidTr="002C0462">
        <w:trPr>
          <w:trHeight w:val="292"/>
        </w:trPr>
        <w:tc>
          <w:tcPr>
            <w:tcW w:w="1440" w:type="dxa"/>
            <w:tcBorders>
              <w:top w:val="single" w:sz="8" w:space="0" w:color="4472C4"/>
              <w:left w:val="nil"/>
              <w:bottom w:val="single" w:sz="8" w:space="0" w:color="4472C4"/>
              <w:right w:val="nil"/>
            </w:tcBorders>
            <w:shd w:val="clear" w:color="auto" w:fill="D9E2F3" w:themeFill="accent1" w:themeFillTint="33"/>
            <w:noWrap/>
            <w:tcMar>
              <w:top w:w="0" w:type="dxa"/>
              <w:left w:w="108" w:type="dxa"/>
              <w:bottom w:w="0" w:type="dxa"/>
              <w:right w:w="108" w:type="dxa"/>
            </w:tcMar>
            <w:hideMark/>
          </w:tcPr>
          <w:p w14:paraId="22322807" w14:textId="77777777" w:rsidR="002C0462" w:rsidRDefault="002C0462" w:rsidP="002C0462"/>
        </w:tc>
        <w:tc>
          <w:tcPr>
            <w:tcW w:w="1440" w:type="dxa"/>
            <w:tcBorders>
              <w:top w:val="single" w:sz="8" w:space="0" w:color="4472C4"/>
              <w:left w:val="nil"/>
              <w:bottom w:val="single" w:sz="8" w:space="0" w:color="4472C4"/>
              <w:right w:val="nil"/>
            </w:tcBorders>
            <w:shd w:val="clear" w:color="auto" w:fill="D9E2F3" w:themeFill="accent1" w:themeFillTint="33"/>
            <w:noWrap/>
            <w:tcMar>
              <w:top w:w="0" w:type="dxa"/>
              <w:left w:w="108" w:type="dxa"/>
              <w:bottom w:w="0" w:type="dxa"/>
              <w:right w:w="108" w:type="dxa"/>
            </w:tcMar>
            <w:hideMark/>
          </w:tcPr>
          <w:p w14:paraId="79365CEC" w14:textId="77777777" w:rsidR="002C0462" w:rsidRDefault="002C0462" w:rsidP="002C0462">
            <w:pPr>
              <w:jc w:val="center"/>
              <w:rPr>
                <w:b/>
                <w:bCs/>
                <w:color w:val="000000"/>
                <w:sz w:val="18"/>
                <w:szCs w:val="18"/>
              </w:rPr>
            </w:pPr>
            <w:r>
              <w:rPr>
                <w:b/>
                <w:bCs/>
                <w:color w:val="000000"/>
                <w:sz w:val="18"/>
                <w:szCs w:val="18"/>
              </w:rPr>
              <w:t xml:space="preserve">regulated TPA </w:t>
            </w:r>
          </w:p>
          <w:p w14:paraId="3597B568" w14:textId="77777777" w:rsidR="002C0462" w:rsidRDefault="002C0462" w:rsidP="002C0462">
            <w:pPr>
              <w:jc w:val="center"/>
              <w:rPr>
                <w:rFonts w:ascii="Times New Roman" w:hAnsi="Times New Roman" w:cs="Times New Roman"/>
                <w:b/>
                <w:bCs/>
                <w:color w:val="000000"/>
                <w:sz w:val="18"/>
                <w:szCs w:val="18"/>
              </w:rPr>
            </w:pPr>
          </w:p>
        </w:tc>
        <w:tc>
          <w:tcPr>
            <w:tcW w:w="1350" w:type="dxa"/>
            <w:tcBorders>
              <w:top w:val="single" w:sz="8" w:space="0" w:color="4472C4"/>
              <w:left w:val="nil"/>
              <w:bottom w:val="single" w:sz="8" w:space="0" w:color="4472C4"/>
              <w:right w:val="nil"/>
            </w:tcBorders>
            <w:shd w:val="clear" w:color="auto" w:fill="D9E2F3" w:themeFill="accent1" w:themeFillTint="33"/>
          </w:tcPr>
          <w:p w14:paraId="1817315F" w14:textId="77777777" w:rsidR="002C0462" w:rsidRDefault="002C0462" w:rsidP="002C0462">
            <w:pPr>
              <w:jc w:val="center"/>
              <w:rPr>
                <w:b/>
                <w:bCs/>
                <w:color w:val="000000"/>
                <w:sz w:val="18"/>
                <w:szCs w:val="18"/>
              </w:rPr>
            </w:pPr>
            <w:r>
              <w:rPr>
                <w:b/>
                <w:bCs/>
                <w:color w:val="000000"/>
                <w:sz w:val="18"/>
                <w:szCs w:val="18"/>
              </w:rPr>
              <w:t>negotiated TPA</w:t>
            </w:r>
          </w:p>
        </w:tc>
        <w:tc>
          <w:tcPr>
            <w:tcW w:w="1080" w:type="dxa"/>
            <w:tcBorders>
              <w:top w:val="single" w:sz="8" w:space="0" w:color="4472C4"/>
              <w:left w:val="nil"/>
              <w:bottom w:val="single" w:sz="8" w:space="0" w:color="4472C4"/>
              <w:right w:val="nil"/>
            </w:tcBorders>
            <w:shd w:val="clear" w:color="auto" w:fill="D9E2F3" w:themeFill="accent1" w:themeFillTint="33"/>
          </w:tcPr>
          <w:p w14:paraId="4CCDD424" w14:textId="77777777" w:rsidR="002C0462" w:rsidRDefault="002C0462" w:rsidP="002C0462">
            <w:pPr>
              <w:jc w:val="center"/>
              <w:rPr>
                <w:b/>
                <w:bCs/>
                <w:color w:val="000000"/>
                <w:sz w:val="18"/>
                <w:szCs w:val="18"/>
              </w:rPr>
            </w:pPr>
            <w:r>
              <w:rPr>
                <w:b/>
                <w:bCs/>
                <w:color w:val="000000"/>
                <w:sz w:val="18"/>
                <w:szCs w:val="18"/>
              </w:rPr>
              <w:t>no TPA</w:t>
            </w:r>
          </w:p>
        </w:tc>
        <w:tc>
          <w:tcPr>
            <w:tcW w:w="20" w:type="dxa"/>
            <w:tcBorders>
              <w:top w:val="single" w:sz="8" w:space="0" w:color="4472C4"/>
              <w:left w:val="nil"/>
              <w:bottom w:val="single" w:sz="8" w:space="0" w:color="4472C4"/>
              <w:right w:val="nil"/>
            </w:tcBorders>
            <w:shd w:val="clear" w:color="auto" w:fill="D9E2F3" w:themeFill="accent1" w:themeFillTint="33"/>
          </w:tcPr>
          <w:p w14:paraId="0F503FA0" w14:textId="77777777" w:rsidR="002C0462" w:rsidRDefault="002C0462" w:rsidP="002C0462">
            <w:pPr>
              <w:jc w:val="center"/>
              <w:rPr>
                <w:b/>
                <w:bCs/>
                <w:color w:val="000000"/>
                <w:sz w:val="18"/>
                <w:szCs w:val="18"/>
              </w:rPr>
            </w:pPr>
          </w:p>
        </w:tc>
        <w:tc>
          <w:tcPr>
            <w:tcW w:w="1420" w:type="dxa"/>
            <w:tcBorders>
              <w:top w:val="single" w:sz="8" w:space="0" w:color="4472C4"/>
              <w:left w:val="nil"/>
              <w:bottom w:val="single" w:sz="8" w:space="0" w:color="4472C4"/>
              <w:right w:val="nil"/>
            </w:tcBorders>
            <w:shd w:val="clear" w:color="auto" w:fill="D9E2F3" w:themeFill="accent1" w:themeFillTint="33"/>
          </w:tcPr>
          <w:p w14:paraId="14A588BC" w14:textId="77777777" w:rsidR="002C0462" w:rsidRDefault="002C0462" w:rsidP="002C0462">
            <w:pPr>
              <w:jc w:val="center"/>
              <w:rPr>
                <w:b/>
                <w:bCs/>
                <w:color w:val="000000"/>
                <w:sz w:val="18"/>
                <w:szCs w:val="18"/>
              </w:rPr>
            </w:pPr>
            <w:r>
              <w:rPr>
                <w:b/>
                <w:bCs/>
                <w:color w:val="000000"/>
                <w:sz w:val="18"/>
                <w:szCs w:val="18"/>
              </w:rPr>
              <w:t>regulated TPA</w:t>
            </w:r>
          </w:p>
        </w:tc>
        <w:tc>
          <w:tcPr>
            <w:tcW w:w="1350" w:type="dxa"/>
            <w:tcBorders>
              <w:top w:val="single" w:sz="8" w:space="0" w:color="4472C4"/>
              <w:left w:val="nil"/>
              <w:bottom w:val="single" w:sz="8" w:space="0" w:color="4472C4"/>
              <w:right w:val="nil"/>
            </w:tcBorders>
            <w:shd w:val="clear" w:color="auto" w:fill="D9E2F3" w:themeFill="accent1" w:themeFillTint="33"/>
          </w:tcPr>
          <w:p w14:paraId="2D7B6333" w14:textId="77777777" w:rsidR="002C0462" w:rsidRDefault="002C0462" w:rsidP="002C0462">
            <w:pPr>
              <w:jc w:val="center"/>
              <w:rPr>
                <w:b/>
                <w:bCs/>
                <w:color w:val="000000"/>
                <w:sz w:val="18"/>
                <w:szCs w:val="18"/>
              </w:rPr>
            </w:pPr>
            <w:r>
              <w:rPr>
                <w:b/>
                <w:bCs/>
                <w:color w:val="000000"/>
                <w:sz w:val="18"/>
                <w:szCs w:val="18"/>
              </w:rPr>
              <w:t>negotiated TPA</w:t>
            </w:r>
          </w:p>
        </w:tc>
        <w:tc>
          <w:tcPr>
            <w:tcW w:w="1260" w:type="dxa"/>
            <w:tcBorders>
              <w:top w:val="single" w:sz="8" w:space="0" w:color="4472C4"/>
              <w:left w:val="nil"/>
              <w:bottom w:val="single" w:sz="8" w:space="0" w:color="4472C4"/>
              <w:right w:val="nil"/>
            </w:tcBorders>
            <w:shd w:val="clear" w:color="auto" w:fill="D9E2F3" w:themeFill="accent1" w:themeFillTint="33"/>
          </w:tcPr>
          <w:p w14:paraId="71995944" w14:textId="77777777" w:rsidR="002C0462" w:rsidRDefault="002C0462" w:rsidP="002C0462">
            <w:pPr>
              <w:jc w:val="center"/>
              <w:rPr>
                <w:b/>
                <w:bCs/>
                <w:color w:val="000000"/>
                <w:sz w:val="18"/>
                <w:szCs w:val="18"/>
              </w:rPr>
            </w:pPr>
            <w:r>
              <w:rPr>
                <w:b/>
                <w:bCs/>
                <w:color w:val="000000"/>
                <w:sz w:val="18"/>
                <w:szCs w:val="18"/>
              </w:rPr>
              <w:t>no TPA</w:t>
            </w:r>
          </w:p>
        </w:tc>
      </w:tr>
      <w:tr w:rsidR="00303462" w14:paraId="7208B3EF" w14:textId="77777777" w:rsidTr="00246D05">
        <w:trPr>
          <w:trHeight w:val="292"/>
        </w:trPr>
        <w:tc>
          <w:tcPr>
            <w:tcW w:w="1440" w:type="dxa"/>
            <w:shd w:val="clear" w:color="auto" w:fill="F7CAAC" w:themeFill="accent2" w:themeFillTint="66"/>
            <w:noWrap/>
            <w:tcMar>
              <w:top w:w="0" w:type="dxa"/>
              <w:left w:w="108" w:type="dxa"/>
              <w:bottom w:w="0" w:type="dxa"/>
              <w:right w:w="108" w:type="dxa"/>
            </w:tcMar>
            <w:hideMark/>
          </w:tcPr>
          <w:p w14:paraId="53CB3E43" w14:textId="6E99CEAB" w:rsidR="00303462" w:rsidRDefault="00303462" w:rsidP="00D11FD9">
            <w:pPr>
              <w:rPr>
                <w:rFonts w:ascii="Times New Roman" w:hAnsi="Times New Roman" w:cs="Times New Roman"/>
                <w:color w:val="000000"/>
                <w:sz w:val="18"/>
                <w:szCs w:val="18"/>
              </w:rPr>
            </w:pPr>
            <w:r>
              <w:rPr>
                <w:color w:val="000000"/>
                <w:sz w:val="18"/>
                <w:szCs w:val="18"/>
              </w:rPr>
              <w:t>Armenia</w:t>
            </w:r>
          </w:p>
        </w:tc>
        <w:tc>
          <w:tcPr>
            <w:tcW w:w="1440" w:type="dxa"/>
            <w:shd w:val="clear" w:color="auto" w:fill="F7CAAC" w:themeFill="accent2" w:themeFillTint="66"/>
            <w:noWrap/>
            <w:tcMar>
              <w:top w:w="0" w:type="dxa"/>
              <w:left w:w="108" w:type="dxa"/>
              <w:bottom w:w="0" w:type="dxa"/>
              <w:right w:w="108" w:type="dxa"/>
            </w:tcMar>
            <w:hideMark/>
          </w:tcPr>
          <w:p w14:paraId="37207678" w14:textId="77777777" w:rsidR="00303462" w:rsidRDefault="00303462" w:rsidP="00D11FD9">
            <w:pPr>
              <w:jc w:val="center"/>
              <w:rPr>
                <w:color w:val="000000"/>
                <w:sz w:val="18"/>
                <w:szCs w:val="18"/>
              </w:rPr>
            </w:pPr>
            <w:r>
              <w:rPr>
                <w:color w:val="000000"/>
                <w:sz w:val="18"/>
                <w:szCs w:val="18"/>
              </w:rPr>
              <w:t>√</w:t>
            </w:r>
          </w:p>
        </w:tc>
        <w:tc>
          <w:tcPr>
            <w:tcW w:w="1350" w:type="dxa"/>
            <w:shd w:val="clear" w:color="auto" w:fill="F7CAAC" w:themeFill="accent2" w:themeFillTint="66"/>
          </w:tcPr>
          <w:p w14:paraId="736DA32C" w14:textId="77777777" w:rsidR="00303462" w:rsidRDefault="00303462" w:rsidP="00D11FD9">
            <w:pPr>
              <w:jc w:val="center"/>
              <w:rPr>
                <w:color w:val="000000"/>
                <w:sz w:val="18"/>
                <w:szCs w:val="18"/>
              </w:rPr>
            </w:pPr>
          </w:p>
        </w:tc>
        <w:tc>
          <w:tcPr>
            <w:tcW w:w="1080" w:type="dxa"/>
            <w:shd w:val="clear" w:color="auto" w:fill="F7CAAC" w:themeFill="accent2" w:themeFillTint="66"/>
          </w:tcPr>
          <w:p w14:paraId="5019B70F" w14:textId="77777777" w:rsidR="00303462" w:rsidRDefault="00303462" w:rsidP="00D11FD9">
            <w:pPr>
              <w:jc w:val="center"/>
              <w:rPr>
                <w:color w:val="000000"/>
                <w:sz w:val="18"/>
                <w:szCs w:val="18"/>
              </w:rPr>
            </w:pPr>
          </w:p>
        </w:tc>
        <w:tc>
          <w:tcPr>
            <w:tcW w:w="20" w:type="dxa"/>
            <w:shd w:val="clear" w:color="auto" w:fill="F7CAAC" w:themeFill="accent2" w:themeFillTint="66"/>
          </w:tcPr>
          <w:p w14:paraId="05909FD5" w14:textId="77777777" w:rsidR="00303462" w:rsidRDefault="00303462" w:rsidP="00D11FD9">
            <w:pPr>
              <w:jc w:val="center"/>
              <w:rPr>
                <w:color w:val="000000"/>
                <w:sz w:val="18"/>
                <w:szCs w:val="18"/>
              </w:rPr>
            </w:pPr>
          </w:p>
        </w:tc>
        <w:tc>
          <w:tcPr>
            <w:tcW w:w="1420" w:type="dxa"/>
            <w:shd w:val="clear" w:color="auto" w:fill="F7CAAC" w:themeFill="accent2" w:themeFillTint="66"/>
          </w:tcPr>
          <w:p w14:paraId="185058A4" w14:textId="7E0C8737" w:rsidR="00303462" w:rsidRDefault="00303462" w:rsidP="00D11FD9">
            <w:pPr>
              <w:jc w:val="center"/>
              <w:rPr>
                <w:color w:val="000000"/>
                <w:sz w:val="18"/>
                <w:szCs w:val="18"/>
              </w:rPr>
            </w:pPr>
          </w:p>
        </w:tc>
        <w:tc>
          <w:tcPr>
            <w:tcW w:w="1350" w:type="dxa"/>
            <w:shd w:val="clear" w:color="auto" w:fill="F7CAAC" w:themeFill="accent2" w:themeFillTint="66"/>
          </w:tcPr>
          <w:p w14:paraId="5D655023" w14:textId="77777777" w:rsidR="00303462" w:rsidRDefault="00303462" w:rsidP="00D11FD9">
            <w:pPr>
              <w:jc w:val="center"/>
              <w:rPr>
                <w:color w:val="000000"/>
                <w:sz w:val="18"/>
                <w:szCs w:val="18"/>
              </w:rPr>
            </w:pPr>
          </w:p>
        </w:tc>
        <w:tc>
          <w:tcPr>
            <w:tcW w:w="1260" w:type="dxa"/>
            <w:shd w:val="clear" w:color="auto" w:fill="F7CAAC" w:themeFill="accent2" w:themeFillTint="66"/>
          </w:tcPr>
          <w:p w14:paraId="12C03046" w14:textId="606AD8D0" w:rsidR="00303462" w:rsidRDefault="002414A3" w:rsidP="00D11FD9">
            <w:pPr>
              <w:jc w:val="center"/>
              <w:rPr>
                <w:color w:val="000000"/>
                <w:sz w:val="18"/>
                <w:szCs w:val="18"/>
              </w:rPr>
            </w:pPr>
            <w:r>
              <w:rPr>
                <w:color w:val="000000"/>
                <w:sz w:val="18"/>
                <w:szCs w:val="18"/>
              </w:rPr>
              <w:t>√</w:t>
            </w:r>
          </w:p>
        </w:tc>
      </w:tr>
      <w:tr w:rsidR="002C0462" w:rsidRPr="002C0462" w14:paraId="262E53D2" w14:textId="77777777" w:rsidTr="002C0462">
        <w:trPr>
          <w:trHeight w:val="292"/>
        </w:trPr>
        <w:tc>
          <w:tcPr>
            <w:tcW w:w="1440" w:type="dxa"/>
            <w:shd w:val="clear" w:color="auto" w:fill="auto"/>
            <w:noWrap/>
            <w:tcMar>
              <w:top w:w="0" w:type="dxa"/>
              <w:left w:w="108" w:type="dxa"/>
              <w:bottom w:w="0" w:type="dxa"/>
              <w:right w:w="108" w:type="dxa"/>
            </w:tcMar>
            <w:hideMark/>
          </w:tcPr>
          <w:p w14:paraId="30F4FCC2" w14:textId="77777777" w:rsidR="002C0462" w:rsidRPr="002C0462" w:rsidRDefault="002C0462" w:rsidP="002C0462">
            <w:pPr>
              <w:rPr>
                <w:color w:val="000000"/>
                <w:sz w:val="18"/>
                <w:szCs w:val="18"/>
              </w:rPr>
            </w:pPr>
            <w:r>
              <w:rPr>
                <w:color w:val="000000"/>
                <w:sz w:val="18"/>
                <w:szCs w:val="18"/>
              </w:rPr>
              <w:t>Croatia</w:t>
            </w:r>
          </w:p>
        </w:tc>
        <w:tc>
          <w:tcPr>
            <w:tcW w:w="1440" w:type="dxa"/>
            <w:shd w:val="clear" w:color="auto" w:fill="auto"/>
            <w:noWrap/>
            <w:tcMar>
              <w:top w:w="0" w:type="dxa"/>
              <w:left w:w="108" w:type="dxa"/>
              <w:bottom w:w="0" w:type="dxa"/>
              <w:right w:w="108" w:type="dxa"/>
            </w:tcMar>
            <w:hideMark/>
          </w:tcPr>
          <w:p w14:paraId="41915A45"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auto"/>
          </w:tcPr>
          <w:p w14:paraId="0040E0F6" w14:textId="77777777" w:rsidR="002C0462" w:rsidRDefault="002C0462" w:rsidP="002C0462">
            <w:pPr>
              <w:jc w:val="center"/>
              <w:rPr>
                <w:color w:val="000000"/>
                <w:sz w:val="18"/>
                <w:szCs w:val="18"/>
              </w:rPr>
            </w:pPr>
          </w:p>
        </w:tc>
        <w:tc>
          <w:tcPr>
            <w:tcW w:w="1080" w:type="dxa"/>
            <w:shd w:val="clear" w:color="auto" w:fill="auto"/>
          </w:tcPr>
          <w:p w14:paraId="5402F351" w14:textId="77777777" w:rsidR="002C0462" w:rsidRDefault="002C0462" w:rsidP="002C0462">
            <w:pPr>
              <w:jc w:val="center"/>
              <w:rPr>
                <w:color w:val="000000"/>
                <w:sz w:val="18"/>
                <w:szCs w:val="18"/>
              </w:rPr>
            </w:pPr>
          </w:p>
        </w:tc>
        <w:tc>
          <w:tcPr>
            <w:tcW w:w="20" w:type="dxa"/>
            <w:shd w:val="clear" w:color="auto" w:fill="auto"/>
          </w:tcPr>
          <w:p w14:paraId="103D3BE1" w14:textId="77777777" w:rsidR="002C0462" w:rsidRDefault="002C0462" w:rsidP="002C0462">
            <w:pPr>
              <w:jc w:val="center"/>
              <w:rPr>
                <w:color w:val="000000"/>
                <w:sz w:val="18"/>
                <w:szCs w:val="18"/>
              </w:rPr>
            </w:pPr>
          </w:p>
        </w:tc>
        <w:tc>
          <w:tcPr>
            <w:tcW w:w="1420" w:type="dxa"/>
            <w:shd w:val="clear" w:color="auto" w:fill="auto"/>
          </w:tcPr>
          <w:p w14:paraId="182ED340"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auto"/>
          </w:tcPr>
          <w:p w14:paraId="576AEDAE" w14:textId="77777777" w:rsidR="002C0462" w:rsidRDefault="002C0462" w:rsidP="002C0462">
            <w:pPr>
              <w:jc w:val="center"/>
              <w:rPr>
                <w:color w:val="000000"/>
                <w:sz w:val="18"/>
                <w:szCs w:val="18"/>
              </w:rPr>
            </w:pPr>
          </w:p>
        </w:tc>
        <w:tc>
          <w:tcPr>
            <w:tcW w:w="1260" w:type="dxa"/>
            <w:shd w:val="clear" w:color="auto" w:fill="auto"/>
          </w:tcPr>
          <w:p w14:paraId="3C2D053A" w14:textId="77777777" w:rsidR="002C0462" w:rsidRDefault="002C0462" w:rsidP="002C0462">
            <w:pPr>
              <w:jc w:val="center"/>
              <w:rPr>
                <w:color w:val="000000"/>
                <w:sz w:val="18"/>
                <w:szCs w:val="18"/>
              </w:rPr>
            </w:pPr>
          </w:p>
        </w:tc>
      </w:tr>
      <w:tr w:rsidR="002C0462" w14:paraId="01F4EA83" w14:textId="77777777" w:rsidTr="002C0462">
        <w:trPr>
          <w:trHeight w:val="292"/>
        </w:trPr>
        <w:tc>
          <w:tcPr>
            <w:tcW w:w="1440" w:type="dxa"/>
            <w:shd w:val="clear" w:color="auto" w:fill="D9E2F3" w:themeFill="accent1" w:themeFillTint="33"/>
            <w:noWrap/>
            <w:tcMar>
              <w:top w:w="0" w:type="dxa"/>
              <w:left w:w="108" w:type="dxa"/>
              <w:bottom w:w="0" w:type="dxa"/>
              <w:right w:w="108" w:type="dxa"/>
            </w:tcMar>
            <w:hideMark/>
          </w:tcPr>
          <w:p w14:paraId="5A525948" w14:textId="77777777" w:rsidR="002C0462" w:rsidRDefault="002C0462" w:rsidP="002C0462">
            <w:pPr>
              <w:rPr>
                <w:rFonts w:ascii="Times New Roman" w:hAnsi="Times New Roman" w:cs="Times New Roman"/>
                <w:color w:val="000000"/>
                <w:sz w:val="18"/>
                <w:szCs w:val="18"/>
              </w:rPr>
            </w:pPr>
            <w:r>
              <w:rPr>
                <w:color w:val="000000"/>
                <w:sz w:val="18"/>
                <w:szCs w:val="18"/>
              </w:rPr>
              <w:t>Estonia</w:t>
            </w:r>
          </w:p>
        </w:tc>
        <w:tc>
          <w:tcPr>
            <w:tcW w:w="1440" w:type="dxa"/>
            <w:shd w:val="clear" w:color="auto" w:fill="D9E2F3" w:themeFill="accent1" w:themeFillTint="33"/>
            <w:noWrap/>
            <w:tcMar>
              <w:top w:w="0" w:type="dxa"/>
              <w:left w:w="108" w:type="dxa"/>
              <w:bottom w:w="0" w:type="dxa"/>
              <w:right w:w="108" w:type="dxa"/>
            </w:tcMar>
            <w:hideMark/>
          </w:tcPr>
          <w:p w14:paraId="24380FA0"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D9E2F3" w:themeFill="accent1" w:themeFillTint="33"/>
          </w:tcPr>
          <w:p w14:paraId="15BC3941" w14:textId="77777777" w:rsidR="002C0462" w:rsidRDefault="002C0462" w:rsidP="002C0462">
            <w:pPr>
              <w:jc w:val="center"/>
              <w:rPr>
                <w:color w:val="000000"/>
                <w:sz w:val="18"/>
                <w:szCs w:val="18"/>
              </w:rPr>
            </w:pPr>
          </w:p>
        </w:tc>
        <w:tc>
          <w:tcPr>
            <w:tcW w:w="1080" w:type="dxa"/>
            <w:shd w:val="clear" w:color="auto" w:fill="D9E2F3" w:themeFill="accent1" w:themeFillTint="33"/>
          </w:tcPr>
          <w:p w14:paraId="70ED3B11" w14:textId="77777777" w:rsidR="002C0462" w:rsidRDefault="002C0462" w:rsidP="002C0462">
            <w:pPr>
              <w:jc w:val="center"/>
              <w:rPr>
                <w:color w:val="000000"/>
                <w:sz w:val="18"/>
                <w:szCs w:val="18"/>
              </w:rPr>
            </w:pPr>
          </w:p>
        </w:tc>
        <w:tc>
          <w:tcPr>
            <w:tcW w:w="20" w:type="dxa"/>
            <w:shd w:val="clear" w:color="auto" w:fill="D9E2F3" w:themeFill="accent1" w:themeFillTint="33"/>
          </w:tcPr>
          <w:p w14:paraId="57FFEDD1" w14:textId="77777777" w:rsidR="002C0462" w:rsidRDefault="002C0462" w:rsidP="002C0462">
            <w:pPr>
              <w:jc w:val="center"/>
              <w:rPr>
                <w:color w:val="000000"/>
                <w:sz w:val="18"/>
                <w:szCs w:val="18"/>
              </w:rPr>
            </w:pPr>
          </w:p>
        </w:tc>
        <w:tc>
          <w:tcPr>
            <w:tcW w:w="1420" w:type="dxa"/>
            <w:shd w:val="clear" w:color="auto" w:fill="D9E2F3" w:themeFill="accent1" w:themeFillTint="33"/>
          </w:tcPr>
          <w:p w14:paraId="10534179"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D9E2F3" w:themeFill="accent1" w:themeFillTint="33"/>
          </w:tcPr>
          <w:p w14:paraId="65036A90" w14:textId="77777777" w:rsidR="002C0462" w:rsidRDefault="002C0462" w:rsidP="002C0462">
            <w:pPr>
              <w:jc w:val="center"/>
              <w:rPr>
                <w:color w:val="000000"/>
                <w:sz w:val="18"/>
                <w:szCs w:val="18"/>
              </w:rPr>
            </w:pPr>
          </w:p>
        </w:tc>
        <w:tc>
          <w:tcPr>
            <w:tcW w:w="1260" w:type="dxa"/>
            <w:shd w:val="clear" w:color="auto" w:fill="D9E2F3" w:themeFill="accent1" w:themeFillTint="33"/>
          </w:tcPr>
          <w:p w14:paraId="4F1C0B93" w14:textId="77777777" w:rsidR="002C0462" w:rsidRDefault="002C0462" w:rsidP="002C0462">
            <w:pPr>
              <w:jc w:val="center"/>
              <w:rPr>
                <w:color w:val="000000"/>
                <w:sz w:val="18"/>
                <w:szCs w:val="18"/>
              </w:rPr>
            </w:pPr>
          </w:p>
        </w:tc>
      </w:tr>
      <w:tr w:rsidR="002C0462" w14:paraId="71817F7F" w14:textId="77777777" w:rsidTr="002C0462">
        <w:trPr>
          <w:trHeight w:val="292"/>
        </w:trPr>
        <w:tc>
          <w:tcPr>
            <w:tcW w:w="1440" w:type="dxa"/>
            <w:shd w:val="clear" w:color="auto" w:fill="auto"/>
            <w:noWrap/>
            <w:tcMar>
              <w:top w:w="0" w:type="dxa"/>
              <w:left w:w="108" w:type="dxa"/>
              <w:bottom w:w="0" w:type="dxa"/>
              <w:right w:w="108" w:type="dxa"/>
            </w:tcMar>
            <w:hideMark/>
          </w:tcPr>
          <w:p w14:paraId="2BD54A7B" w14:textId="77777777" w:rsidR="002C0462" w:rsidRDefault="002C0462" w:rsidP="002C0462">
            <w:pPr>
              <w:rPr>
                <w:rFonts w:ascii="Times New Roman" w:hAnsi="Times New Roman" w:cs="Times New Roman"/>
                <w:color w:val="000000"/>
                <w:sz w:val="18"/>
                <w:szCs w:val="18"/>
              </w:rPr>
            </w:pPr>
            <w:r>
              <w:rPr>
                <w:color w:val="000000"/>
                <w:sz w:val="18"/>
                <w:szCs w:val="18"/>
              </w:rPr>
              <w:t>Latvia</w:t>
            </w:r>
          </w:p>
        </w:tc>
        <w:tc>
          <w:tcPr>
            <w:tcW w:w="1440" w:type="dxa"/>
            <w:shd w:val="clear" w:color="auto" w:fill="auto"/>
            <w:noWrap/>
            <w:tcMar>
              <w:top w:w="0" w:type="dxa"/>
              <w:left w:w="108" w:type="dxa"/>
              <w:bottom w:w="0" w:type="dxa"/>
              <w:right w:w="108" w:type="dxa"/>
            </w:tcMar>
            <w:hideMark/>
          </w:tcPr>
          <w:p w14:paraId="30970E94"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auto"/>
          </w:tcPr>
          <w:p w14:paraId="2E170F98" w14:textId="77777777" w:rsidR="002C0462" w:rsidRDefault="002C0462" w:rsidP="002C0462">
            <w:pPr>
              <w:jc w:val="center"/>
              <w:rPr>
                <w:color w:val="000000"/>
                <w:sz w:val="18"/>
                <w:szCs w:val="18"/>
              </w:rPr>
            </w:pPr>
          </w:p>
        </w:tc>
        <w:tc>
          <w:tcPr>
            <w:tcW w:w="1080" w:type="dxa"/>
            <w:shd w:val="clear" w:color="auto" w:fill="auto"/>
          </w:tcPr>
          <w:p w14:paraId="45BE0D2A" w14:textId="77777777" w:rsidR="002C0462" w:rsidRDefault="002C0462" w:rsidP="002C0462">
            <w:pPr>
              <w:jc w:val="center"/>
              <w:rPr>
                <w:color w:val="000000"/>
                <w:sz w:val="18"/>
                <w:szCs w:val="18"/>
              </w:rPr>
            </w:pPr>
          </w:p>
        </w:tc>
        <w:tc>
          <w:tcPr>
            <w:tcW w:w="20" w:type="dxa"/>
            <w:shd w:val="clear" w:color="auto" w:fill="auto"/>
          </w:tcPr>
          <w:p w14:paraId="270BE105" w14:textId="77777777" w:rsidR="002C0462" w:rsidRDefault="002C0462" w:rsidP="002C0462">
            <w:pPr>
              <w:jc w:val="center"/>
              <w:rPr>
                <w:color w:val="000000"/>
                <w:sz w:val="18"/>
                <w:szCs w:val="18"/>
              </w:rPr>
            </w:pPr>
          </w:p>
        </w:tc>
        <w:tc>
          <w:tcPr>
            <w:tcW w:w="1420" w:type="dxa"/>
            <w:shd w:val="clear" w:color="auto" w:fill="auto"/>
          </w:tcPr>
          <w:p w14:paraId="0DC451B7" w14:textId="77777777" w:rsidR="002C0462" w:rsidRDefault="002C0462" w:rsidP="002C0462">
            <w:pPr>
              <w:jc w:val="center"/>
              <w:rPr>
                <w:color w:val="000000"/>
                <w:sz w:val="18"/>
                <w:szCs w:val="18"/>
              </w:rPr>
            </w:pPr>
          </w:p>
        </w:tc>
        <w:tc>
          <w:tcPr>
            <w:tcW w:w="1350" w:type="dxa"/>
            <w:shd w:val="clear" w:color="auto" w:fill="auto"/>
          </w:tcPr>
          <w:p w14:paraId="3F7F853D" w14:textId="77777777" w:rsidR="002C0462" w:rsidRDefault="002C0462" w:rsidP="002C0462">
            <w:pPr>
              <w:jc w:val="center"/>
              <w:rPr>
                <w:color w:val="000000"/>
                <w:sz w:val="18"/>
                <w:szCs w:val="18"/>
              </w:rPr>
            </w:pPr>
          </w:p>
        </w:tc>
        <w:tc>
          <w:tcPr>
            <w:tcW w:w="1260" w:type="dxa"/>
            <w:shd w:val="clear" w:color="auto" w:fill="auto"/>
          </w:tcPr>
          <w:p w14:paraId="1A275200" w14:textId="77777777" w:rsidR="002C0462" w:rsidRDefault="002C0462" w:rsidP="002C0462">
            <w:pPr>
              <w:jc w:val="center"/>
              <w:rPr>
                <w:color w:val="000000"/>
                <w:sz w:val="18"/>
                <w:szCs w:val="18"/>
              </w:rPr>
            </w:pPr>
            <w:r>
              <w:rPr>
                <w:color w:val="000000"/>
                <w:sz w:val="18"/>
                <w:szCs w:val="18"/>
              </w:rPr>
              <w:t>√</w:t>
            </w:r>
          </w:p>
        </w:tc>
      </w:tr>
      <w:tr w:rsidR="002C0462" w:rsidRPr="00412217" w14:paraId="281BB0E6" w14:textId="77777777" w:rsidTr="002C0462">
        <w:trPr>
          <w:trHeight w:val="292"/>
        </w:trPr>
        <w:tc>
          <w:tcPr>
            <w:tcW w:w="1440" w:type="dxa"/>
            <w:shd w:val="clear" w:color="auto" w:fill="D9E2F3" w:themeFill="accent1" w:themeFillTint="33"/>
            <w:noWrap/>
            <w:tcMar>
              <w:top w:w="0" w:type="dxa"/>
              <w:left w:w="108" w:type="dxa"/>
              <w:bottom w:w="0" w:type="dxa"/>
              <w:right w:w="108" w:type="dxa"/>
            </w:tcMar>
            <w:hideMark/>
          </w:tcPr>
          <w:p w14:paraId="10051F81" w14:textId="77777777" w:rsidR="002C0462" w:rsidRDefault="002C0462" w:rsidP="002C0462">
            <w:pPr>
              <w:rPr>
                <w:rFonts w:ascii="Times New Roman" w:hAnsi="Times New Roman" w:cs="Times New Roman"/>
                <w:color w:val="000000"/>
                <w:sz w:val="18"/>
                <w:szCs w:val="18"/>
              </w:rPr>
            </w:pPr>
            <w:r>
              <w:rPr>
                <w:color w:val="000000"/>
                <w:sz w:val="18"/>
                <w:szCs w:val="18"/>
              </w:rPr>
              <w:t>Lithuania</w:t>
            </w:r>
          </w:p>
        </w:tc>
        <w:tc>
          <w:tcPr>
            <w:tcW w:w="1440" w:type="dxa"/>
            <w:shd w:val="clear" w:color="auto" w:fill="D9E2F3" w:themeFill="accent1" w:themeFillTint="33"/>
            <w:noWrap/>
            <w:tcMar>
              <w:top w:w="0" w:type="dxa"/>
              <w:left w:w="108" w:type="dxa"/>
              <w:bottom w:w="0" w:type="dxa"/>
              <w:right w:w="108" w:type="dxa"/>
            </w:tcMar>
            <w:hideMark/>
          </w:tcPr>
          <w:p w14:paraId="2F964EC9"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D9E2F3" w:themeFill="accent1" w:themeFillTint="33"/>
          </w:tcPr>
          <w:p w14:paraId="34595454" w14:textId="77777777" w:rsidR="002C0462" w:rsidRDefault="002C0462" w:rsidP="002C0462">
            <w:pPr>
              <w:jc w:val="center"/>
              <w:rPr>
                <w:color w:val="000000"/>
                <w:sz w:val="18"/>
                <w:szCs w:val="18"/>
              </w:rPr>
            </w:pPr>
          </w:p>
        </w:tc>
        <w:tc>
          <w:tcPr>
            <w:tcW w:w="1080" w:type="dxa"/>
            <w:shd w:val="clear" w:color="auto" w:fill="D9E2F3" w:themeFill="accent1" w:themeFillTint="33"/>
          </w:tcPr>
          <w:p w14:paraId="6204F627" w14:textId="77777777" w:rsidR="002C0462" w:rsidRDefault="002C0462" w:rsidP="002C0462">
            <w:pPr>
              <w:rPr>
                <w:color w:val="000000"/>
                <w:sz w:val="18"/>
                <w:szCs w:val="18"/>
              </w:rPr>
            </w:pPr>
          </w:p>
        </w:tc>
        <w:tc>
          <w:tcPr>
            <w:tcW w:w="20" w:type="dxa"/>
            <w:shd w:val="clear" w:color="auto" w:fill="D9E2F3" w:themeFill="accent1" w:themeFillTint="33"/>
          </w:tcPr>
          <w:p w14:paraId="736415A0" w14:textId="77777777" w:rsidR="002C0462" w:rsidRDefault="002C0462" w:rsidP="002C0462">
            <w:pPr>
              <w:jc w:val="center"/>
              <w:rPr>
                <w:color w:val="000000"/>
                <w:sz w:val="18"/>
                <w:szCs w:val="18"/>
              </w:rPr>
            </w:pPr>
          </w:p>
        </w:tc>
        <w:tc>
          <w:tcPr>
            <w:tcW w:w="1420" w:type="dxa"/>
            <w:shd w:val="clear" w:color="auto" w:fill="D9E2F3" w:themeFill="accent1" w:themeFillTint="33"/>
          </w:tcPr>
          <w:p w14:paraId="619E84B2"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D9E2F3" w:themeFill="accent1" w:themeFillTint="33"/>
          </w:tcPr>
          <w:p w14:paraId="19559E52" w14:textId="77777777" w:rsidR="002C0462" w:rsidRDefault="002C0462" w:rsidP="002C0462">
            <w:pPr>
              <w:rPr>
                <w:color w:val="000000"/>
                <w:sz w:val="18"/>
                <w:szCs w:val="18"/>
              </w:rPr>
            </w:pPr>
          </w:p>
        </w:tc>
        <w:tc>
          <w:tcPr>
            <w:tcW w:w="1260" w:type="dxa"/>
            <w:shd w:val="clear" w:color="auto" w:fill="D9E2F3" w:themeFill="accent1" w:themeFillTint="33"/>
          </w:tcPr>
          <w:p w14:paraId="04A77AB9" w14:textId="77777777" w:rsidR="002C0462" w:rsidRDefault="002C0462" w:rsidP="002C0462">
            <w:pPr>
              <w:rPr>
                <w:color w:val="000000"/>
                <w:sz w:val="18"/>
                <w:szCs w:val="18"/>
              </w:rPr>
            </w:pPr>
          </w:p>
        </w:tc>
      </w:tr>
      <w:tr w:rsidR="002C0462" w14:paraId="22AC60A7" w14:textId="77777777" w:rsidTr="002C0462">
        <w:trPr>
          <w:trHeight w:val="292"/>
        </w:trPr>
        <w:tc>
          <w:tcPr>
            <w:tcW w:w="1440" w:type="dxa"/>
            <w:shd w:val="clear" w:color="auto" w:fill="auto"/>
            <w:noWrap/>
            <w:tcMar>
              <w:top w:w="0" w:type="dxa"/>
              <w:left w:w="108" w:type="dxa"/>
              <w:bottom w:w="0" w:type="dxa"/>
              <w:right w:w="108" w:type="dxa"/>
            </w:tcMar>
            <w:hideMark/>
          </w:tcPr>
          <w:p w14:paraId="495E290B" w14:textId="77777777" w:rsidR="002C0462" w:rsidRPr="00DB2797" w:rsidRDefault="002C0462" w:rsidP="002C0462">
            <w:pPr>
              <w:rPr>
                <w:rFonts w:asciiTheme="minorHAnsi" w:hAnsiTheme="minorHAnsi" w:cstheme="minorHAnsi"/>
                <w:color w:val="000000"/>
                <w:sz w:val="18"/>
                <w:szCs w:val="18"/>
              </w:rPr>
            </w:pPr>
            <w:r w:rsidRPr="00DB2797">
              <w:rPr>
                <w:rFonts w:asciiTheme="minorHAnsi" w:hAnsiTheme="minorHAnsi" w:cstheme="minorHAnsi"/>
                <w:color w:val="000000"/>
                <w:sz w:val="18"/>
                <w:szCs w:val="18"/>
              </w:rPr>
              <w:t>Russia</w:t>
            </w:r>
          </w:p>
        </w:tc>
        <w:tc>
          <w:tcPr>
            <w:tcW w:w="1440" w:type="dxa"/>
            <w:shd w:val="clear" w:color="auto" w:fill="auto"/>
            <w:noWrap/>
            <w:tcMar>
              <w:top w:w="0" w:type="dxa"/>
              <w:left w:w="108" w:type="dxa"/>
              <w:bottom w:w="0" w:type="dxa"/>
              <w:right w:w="108" w:type="dxa"/>
            </w:tcMar>
            <w:hideMark/>
          </w:tcPr>
          <w:p w14:paraId="3C595B65" w14:textId="77777777" w:rsidR="002C0462" w:rsidRPr="00DB2797" w:rsidRDefault="002C0462" w:rsidP="002C0462">
            <w:pPr>
              <w:jc w:val="center"/>
              <w:rPr>
                <w:rFonts w:asciiTheme="minorHAnsi" w:hAnsiTheme="minorHAnsi" w:cstheme="minorHAnsi"/>
                <w:color w:val="000000"/>
                <w:sz w:val="18"/>
                <w:szCs w:val="18"/>
              </w:rPr>
            </w:pPr>
            <w:r>
              <w:rPr>
                <w:color w:val="000000"/>
                <w:sz w:val="18"/>
                <w:szCs w:val="18"/>
              </w:rPr>
              <w:t>√</w:t>
            </w:r>
          </w:p>
        </w:tc>
        <w:tc>
          <w:tcPr>
            <w:tcW w:w="1350" w:type="dxa"/>
            <w:shd w:val="clear" w:color="auto" w:fill="auto"/>
          </w:tcPr>
          <w:p w14:paraId="4B1407B5" w14:textId="77777777" w:rsidR="002C0462" w:rsidRDefault="002C0462" w:rsidP="002C0462">
            <w:pPr>
              <w:jc w:val="center"/>
              <w:rPr>
                <w:rFonts w:ascii="Times New Roman" w:hAnsi="Times New Roman" w:cs="Times New Roman"/>
                <w:color w:val="000000"/>
                <w:sz w:val="18"/>
                <w:szCs w:val="18"/>
              </w:rPr>
            </w:pPr>
          </w:p>
        </w:tc>
        <w:tc>
          <w:tcPr>
            <w:tcW w:w="1080" w:type="dxa"/>
            <w:shd w:val="clear" w:color="auto" w:fill="auto"/>
          </w:tcPr>
          <w:p w14:paraId="5A7898AC" w14:textId="77777777" w:rsidR="002C0462" w:rsidRDefault="002C0462" w:rsidP="002C0462">
            <w:pPr>
              <w:jc w:val="center"/>
              <w:rPr>
                <w:rFonts w:ascii="Times New Roman" w:hAnsi="Times New Roman" w:cs="Times New Roman"/>
                <w:color w:val="000000"/>
                <w:sz w:val="18"/>
                <w:szCs w:val="18"/>
              </w:rPr>
            </w:pPr>
          </w:p>
        </w:tc>
        <w:tc>
          <w:tcPr>
            <w:tcW w:w="20" w:type="dxa"/>
            <w:shd w:val="clear" w:color="auto" w:fill="auto"/>
          </w:tcPr>
          <w:p w14:paraId="5F85EA3B" w14:textId="77777777" w:rsidR="002C0462" w:rsidRDefault="002C0462" w:rsidP="002C0462">
            <w:pPr>
              <w:jc w:val="center"/>
              <w:rPr>
                <w:color w:val="000000"/>
                <w:sz w:val="18"/>
                <w:szCs w:val="18"/>
              </w:rPr>
            </w:pPr>
          </w:p>
        </w:tc>
        <w:tc>
          <w:tcPr>
            <w:tcW w:w="1420" w:type="dxa"/>
            <w:shd w:val="clear" w:color="auto" w:fill="auto"/>
          </w:tcPr>
          <w:p w14:paraId="2F77BAEB" w14:textId="77777777" w:rsidR="002C0462" w:rsidRDefault="002C0462" w:rsidP="002C0462">
            <w:pPr>
              <w:jc w:val="center"/>
              <w:rPr>
                <w:rFonts w:ascii="Times New Roman" w:hAnsi="Times New Roman" w:cs="Times New Roman"/>
                <w:color w:val="000000"/>
                <w:sz w:val="18"/>
                <w:szCs w:val="18"/>
              </w:rPr>
            </w:pPr>
            <w:r>
              <w:rPr>
                <w:color w:val="000000"/>
                <w:sz w:val="18"/>
                <w:szCs w:val="18"/>
              </w:rPr>
              <w:t>√</w:t>
            </w:r>
          </w:p>
        </w:tc>
        <w:tc>
          <w:tcPr>
            <w:tcW w:w="1350" w:type="dxa"/>
            <w:shd w:val="clear" w:color="auto" w:fill="auto"/>
          </w:tcPr>
          <w:p w14:paraId="1F4A88EA" w14:textId="77777777" w:rsidR="002C0462" w:rsidRDefault="002C0462" w:rsidP="002C0462">
            <w:pPr>
              <w:jc w:val="center"/>
              <w:rPr>
                <w:rFonts w:ascii="Times New Roman" w:hAnsi="Times New Roman" w:cs="Times New Roman"/>
                <w:color w:val="000000"/>
                <w:sz w:val="18"/>
                <w:szCs w:val="18"/>
              </w:rPr>
            </w:pPr>
          </w:p>
        </w:tc>
        <w:tc>
          <w:tcPr>
            <w:tcW w:w="1260" w:type="dxa"/>
            <w:shd w:val="clear" w:color="auto" w:fill="auto"/>
          </w:tcPr>
          <w:p w14:paraId="09732DB0" w14:textId="77777777" w:rsidR="002C0462" w:rsidRDefault="002C0462" w:rsidP="002C0462">
            <w:pPr>
              <w:jc w:val="center"/>
              <w:rPr>
                <w:rFonts w:ascii="Times New Roman" w:hAnsi="Times New Roman" w:cs="Times New Roman"/>
                <w:color w:val="000000"/>
                <w:sz w:val="18"/>
                <w:szCs w:val="18"/>
              </w:rPr>
            </w:pPr>
          </w:p>
        </w:tc>
      </w:tr>
      <w:tr w:rsidR="002C0462" w14:paraId="143C1E00" w14:textId="77777777" w:rsidTr="002C0462">
        <w:trPr>
          <w:trHeight w:val="292"/>
        </w:trPr>
        <w:tc>
          <w:tcPr>
            <w:tcW w:w="1440" w:type="dxa"/>
            <w:shd w:val="clear" w:color="auto" w:fill="D9E2F3" w:themeFill="accent1" w:themeFillTint="33"/>
            <w:noWrap/>
            <w:tcMar>
              <w:top w:w="0" w:type="dxa"/>
              <w:left w:w="108" w:type="dxa"/>
              <w:bottom w:w="0" w:type="dxa"/>
              <w:right w:w="108" w:type="dxa"/>
            </w:tcMar>
            <w:hideMark/>
          </w:tcPr>
          <w:p w14:paraId="4A04A47C" w14:textId="77777777" w:rsidR="002C0462" w:rsidRDefault="002C0462" w:rsidP="002C0462">
            <w:pPr>
              <w:rPr>
                <w:color w:val="000000"/>
                <w:sz w:val="18"/>
                <w:szCs w:val="18"/>
              </w:rPr>
            </w:pPr>
            <w:r>
              <w:rPr>
                <w:color w:val="000000"/>
                <w:sz w:val="18"/>
                <w:szCs w:val="18"/>
              </w:rPr>
              <w:t>Slovak Republic</w:t>
            </w:r>
          </w:p>
        </w:tc>
        <w:tc>
          <w:tcPr>
            <w:tcW w:w="1440" w:type="dxa"/>
            <w:shd w:val="clear" w:color="auto" w:fill="D9E2F3" w:themeFill="accent1" w:themeFillTint="33"/>
            <w:noWrap/>
            <w:tcMar>
              <w:top w:w="0" w:type="dxa"/>
              <w:left w:w="108" w:type="dxa"/>
              <w:bottom w:w="0" w:type="dxa"/>
              <w:right w:w="108" w:type="dxa"/>
            </w:tcMar>
            <w:hideMark/>
          </w:tcPr>
          <w:p w14:paraId="2F26FD45" w14:textId="77777777" w:rsidR="002C0462" w:rsidRDefault="002C0462" w:rsidP="002C0462">
            <w:pPr>
              <w:jc w:val="center"/>
              <w:rPr>
                <w:color w:val="000000"/>
                <w:sz w:val="18"/>
                <w:szCs w:val="18"/>
              </w:rPr>
            </w:pPr>
            <w:r>
              <w:rPr>
                <w:color w:val="000000"/>
                <w:sz w:val="18"/>
                <w:szCs w:val="18"/>
              </w:rPr>
              <w:t>√</w:t>
            </w:r>
          </w:p>
        </w:tc>
        <w:tc>
          <w:tcPr>
            <w:tcW w:w="1350" w:type="dxa"/>
            <w:shd w:val="clear" w:color="auto" w:fill="D9E2F3" w:themeFill="accent1" w:themeFillTint="33"/>
          </w:tcPr>
          <w:p w14:paraId="05CEF9D7" w14:textId="77777777" w:rsidR="002C0462" w:rsidRDefault="002C0462" w:rsidP="002C0462">
            <w:pPr>
              <w:jc w:val="center"/>
              <w:rPr>
                <w:rFonts w:ascii="Times New Roman" w:hAnsi="Times New Roman" w:cs="Times New Roman"/>
                <w:color w:val="000000"/>
                <w:sz w:val="18"/>
                <w:szCs w:val="18"/>
              </w:rPr>
            </w:pPr>
          </w:p>
        </w:tc>
        <w:tc>
          <w:tcPr>
            <w:tcW w:w="1080" w:type="dxa"/>
            <w:shd w:val="clear" w:color="auto" w:fill="D9E2F3" w:themeFill="accent1" w:themeFillTint="33"/>
          </w:tcPr>
          <w:p w14:paraId="7053624D" w14:textId="77777777" w:rsidR="002C0462" w:rsidRDefault="002C0462" w:rsidP="002C0462">
            <w:pPr>
              <w:jc w:val="center"/>
              <w:rPr>
                <w:rFonts w:ascii="Times New Roman" w:hAnsi="Times New Roman" w:cs="Times New Roman"/>
                <w:color w:val="000000"/>
                <w:sz w:val="18"/>
                <w:szCs w:val="18"/>
              </w:rPr>
            </w:pPr>
          </w:p>
        </w:tc>
        <w:tc>
          <w:tcPr>
            <w:tcW w:w="20" w:type="dxa"/>
            <w:shd w:val="clear" w:color="auto" w:fill="D9E2F3" w:themeFill="accent1" w:themeFillTint="33"/>
          </w:tcPr>
          <w:p w14:paraId="49EF22D3" w14:textId="77777777" w:rsidR="002C0462" w:rsidRDefault="002C0462" w:rsidP="002C0462">
            <w:pPr>
              <w:jc w:val="center"/>
              <w:rPr>
                <w:color w:val="000000"/>
                <w:sz w:val="18"/>
                <w:szCs w:val="18"/>
              </w:rPr>
            </w:pPr>
          </w:p>
        </w:tc>
        <w:tc>
          <w:tcPr>
            <w:tcW w:w="1420" w:type="dxa"/>
            <w:shd w:val="clear" w:color="auto" w:fill="D9E2F3" w:themeFill="accent1" w:themeFillTint="33"/>
          </w:tcPr>
          <w:p w14:paraId="7617E66B" w14:textId="77777777" w:rsidR="002C0462" w:rsidRDefault="002C0462" w:rsidP="002C0462">
            <w:pPr>
              <w:jc w:val="center"/>
              <w:rPr>
                <w:rFonts w:ascii="Times New Roman" w:hAnsi="Times New Roman" w:cs="Times New Roman"/>
                <w:color w:val="000000"/>
                <w:sz w:val="18"/>
                <w:szCs w:val="18"/>
              </w:rPr>
            </w:pPr>
            <w:r>
              <w:rPr>
                <w:color w:val="000000"/>
                <w:sz w:val="18"/>
                <w:szCs w:val="18"/>
              </w:rPr>
              <w:t>√</w:t>
            </w:r>
          </w:p>
        </w:tc>
        <w:tc>
          <w:tcPr>
            <w:tcW w:w="1350" w:type="dxa"/>
            <w:shd w:val="clear" w:color="auto" w:fill="D9E2F3" w:themeFill="accent1" w:themeFillTint="33"/>
          </w:tcPr>
          <w:p w14:paraId="0DEF9B0C" w14:textId="77777777" w:rsidR="002C0462" w:rsidRDefault="002C0462" w:rsidP="002C0462">
            <w:pPr>
              <w:jc w:val="center"/>
              <w:rPr>
                <w:rFonts w:ascii="Times New Roman" w:hAnsi="Times New Roman" w:cs="Times New Roman"/>
                <w:color w:val="000000"/>
                <w:sz w:val="18"/>
                <w:szCs w:val="18"/>
              </w:rPr>
            </w:pPr>
          </w:p>
        </w:tc>
        <w:tc>
          <w:tcPr>
            <w:tcW w:w="1260" w:type="dxa"/>
            <w:shd w:val="clear" w:color="auto" w:fill="D9E2F3" w:themeFill="accent1" w:themeFillTint="33"/>
          </w:tcPr>
          <w:p w14:paraId="3C1BDEB8" w14:textId="77777777" w:rsidR="002C0462" w:rsidRDefault="002C0462" w:rsidP="002C0462">
            <w:pPr>
              <w:jc w:val="center"/>
              <w:rPr>
                <w:rFonts w:ascii="Times New Roman" w:hAnsi="Times New Roman" w:cs="Times New Roman"/>
                <w:color w:val="000000"/>
                <w:sz w:val="18"/>
                <w:szCs w:val="18"/>
              </w:rPr>
            </w:pPr>
          </w:p>
        </w:tc>
      </w:tr>
      <w:tr w:rsidR="002C0462" w14:paraId="715C3AD1" w14:textId="77777777" w:rsidTr="002C0462">
        <w:trPr>
          <w:trHeight w:val="207"/>
        </w:trPr>
        <w:tc>
          <w:tcPr>
            <w:tcW w:w="1440" w:type="dxa"/>
            <w:tcBorders>
              <w:bottom w:val="single" w:sz="4" w:space="0" w:color="4472C4" w:themeColor="accent1"/>
            </w:tcBorders>
            <w:shd w:val="clear" w:color="auto" w:fill="auto"/>
            <w:noWrap/>
            <w:tcMar>
              <w:top w:w="0" w:type="dxa"/>
              <w:left w:w="108" w:type="dxa"/>
              <w:bottom w:w="0" w:type="dxa"/>
              <w:right w:w="108" w:type="dxa"/>
            </w:tcMar>
            <w:hideMark/>
          </w:tcPr>
          <w:p w14:paraId="6157A1B7" w14:textId="77777777" w:rsidR="002C0462" w:rsidRDefault="002C0462" w:rsidP="002C0462">
            <w:pPr>
              <w:rPr>
                <w:color w:val="000000"/>
                <w:sz w:val="18"/>
                <w:szCs w:val="18"/>
              </w:rPr>
            </w:pPr>
            <w:r>
              <w:rPr>
                <w:color w:val="000000"/>
                <w:sz w:val="18"/>
                <w:szCs w:val="18"/>
              </w:rPr>
              <w:t>Turkey</w:t>
            </w:r>
          </w:p>
        </w:tc>
        <w:tc>
          <w:tcPr>
            <w:tcW w:w="1440" w:type="dxa"/>
            <w:tcBorders>
              <w:bottom w:val="single" w:sz="4" w:space="0" w:color="4472C4" w:themeColor="accent1"/>
            </w:tcBorders>
            <w:shd w:val="clear" w:color="auto" w:fill="auto"/>
            <w:noWrap/>
            <w:tcMar>
              <w:top w:w="0" w:type="dxa"/>
              <w:left w:w="108" w:type="dxa"/>
              <w:bottom w:w="0" w:type="dxa"/>
              <w:right w:w="108" w:type="dxa"/>
            </w:tcMar>
            <w:hideMark/>
          </w:tcPr>
          <w:p w14:paraId="79E3E0C3" w14:textId="77777777" w:rsidR="002C0462" w:rsidRDefault="002C0462" w:rsidP="002C0462">
            <w:pPr>
              <w:jc w:val="center"/>
              <w:rPr>
                <w:color w:val="000000"/>
                <w:sz w:val="18"/>
                <w:szCs w:val="18"/>
              </w:rPr>
            </w:pPr>
            <w:r>
              <w:rPr>
                <w:color w:val="000000"/>
                <w:sz w:val="18"/>
                <w:szCs w:val="18"/>
              </w:rPr>
              <w:t>√</w:t>
            </w:r>
          </w:p>
        </w:tc>
        <w:tc>
          <w:tcPr>
            <w:tcW w:w="1350" w:type="dxa"/>
            <w:tcBorders>
              <w:bottom w:val="single" w:sz="4" w:space="0" w:color="4472C4" w:themeColor="accent1"/>
            </w:tcBorders>
            <w:shd w:val="clear" w:color="auto" w:fill="auto"/>
          </w:tcPr>
          <w:p w14:paraId="36329FA3" w14:textId="77777777" w:rsidR="002C0462" w:rsidRDefault="002C0462" w:rsidP="002C0462">
            <w:pPr>
              <w:jc w:val="center"/>
              <w:rPr>
                <w:color w:val="000000"/>
                <w:sz w:val="18"/>
                <w:szCs w:val="18"/>
              </w:rPr>
            </w:pPr>
          </w:p>
        </w:tc>
        <w:tc>
          <w:tcPr>
            <w:tcW w:w="1080" w:type="dxa"/>
            <w:tcBorders>
              <w:bottom w:val="single" w:sz="4" w:space="0" w:color="4472C4" w:themeColor="accent1"/>
            </w:tcBorders>
            <w:shd w:val="clear" w:color="auto" w:fill="auto"/>
          </w:tcPr>
          <w:p w14:paraId="4F23015D" w14:textId="77777777" w:rsidR="002C0462" w:rsidRDefault="002C0462" w:rsidP="002C0462">
            <w:pPr>
              <w:jc w:val="center"/>
              <w:rPr>
                <w:color w:val="000000"/>
                <w:sz w:val="18"/>
                <w:szCs w:val="18"/>
              </w:rPr>
            </w:pPr>
          </w:p>
        </w:tc>
        <w:tc>
          <w:tcPr>
            <w:tcW w:w="20" w:type="dxa"/>
            <w:tcBorders>
              <w:bottom w:val="single" w:sz="4" w:space="0" w:color="4472C4" w:themeColor="accent1"/>
            </w:tcBorders>
            <w:shd w:val="clear" w:color="auto" w:fill="auto"/>
          </w:tcPr>
          <w:p w14:paraId="0CF81BC3" w14:textId="77777777" w:rsidR="002C0462" w:rsidRDefault="002C0462" w:rsidP="002C0462">
            <w:pPr>
              <w:jc w:val="center"/>
              <w:rPr>
                <w:color w:val="000000"/>
                <w:sz w:val="18"/>
                <w:szCs w:val="18"/>
              </w:rPr>
            </w:pPr>
          </w:p>
        </w:tc>
        <w:tc>
          <w:tcPr>
            <w:tcW w:w="1420" w:type="dxa"/>
            <w:tcBorders>
              <w:bottom w:val="single" w:sz="4" w:space="0" w:color="4472C4" w:themeColor="accent1"/>
            </w:tcBorders>
            <w:shd w:val="clear" w:color="auto" w:fill="auto"/>
          </w:tcPr>
          <w:p w14:paraId="254DCC8D" w14:textId="77777777" w:rsidR="002C0462" w:rsidRDefault="002C0462" w:rsidP="002C0462">
            <w:pPr>
              <w:jc w:val="center"/>
              <w:rPr>
                <w:color w:val="000000"/>
                <w:sz w:val="18"/>
                <w:szCs w:val="18"/>
              </w:rPr>
            </w:pPr>
            <w:r>
              <w:rPr>
                <w:color w:val="000000"/>
                <w:sz w:val="18"/>
                <w:szCs w:val="18"/>
              </w:rPr>
              <w:t>√</w:t>
            </w:r>
          </w:p>
        </w:tc>
        <w:tc>
          <w:tcPr>
            <w:tcW w:w="1350" w:type="dxa"/>
            <w:tcBorders>
              <w:bottom w:val="single" w:sz="4" w:space="0" w:color="4472C4" w:themeColor="accent1"/>
            </w:tcBorders>
            <w:shd w:val="clear" w:color="auto" w:fill="auto"/>
          </w:tcPr>
          <w:p w14:paraId="34AD065B" w14:textId="77777777" w:rsidR="002C0462" w:rsidRDefault="002C0462" w:rsidP="002C0462">
            <w:pPr>
              <w:jc w:val="center"/>
              <w:rPr>
                <w:color w:val="000000"/>
                <w:sz w:val="18"/>
                <w:szCs w:val="18"/>
              </w:rPr>
            </w:pPr>
          </w:p>
        </w:tc>
        <w:tc>
          <w:tcPr>
            <w:tcW w:w="1260" w:type="dxa"/>
            <w:tcBorders>
              <w:bottom w:val="single" w:sz="4" w:space="0" w:color="4472C4" w:themeColor="accent1"/>
            </w:tcBorders>
            <w:shd w:val="clear" w:color="auto" w:fill="auto"/>
          </w:tcPr>
          <w:p w14:paraId="6CD98F52" w14:textId="77777777" w:rsidR="002C0462" w:rsidRDefault="002C0462" w:rsidP="002C0462">
            <w:pPr>
              <w:jc w:val="center"/>
              <w:rPr>
                <w:color w:val="000000"/>
                <w:sz w:val="18"/>
                <w:szCs w:val="18"/>
              </w:rPr>
            </w:pPr>
          </w:p>
        </w:tc>
      </w:tr>
    </w:tbl>
    <w:p w14:paraId="290F793D" w14:textId="77777777" w:rsidR="00FF2A13" w:rsidRPr="00246D05" w:rsidRDefault="00FF2A13" w:rsidP="00FF2A13">
      <w:pPr>
        <w:jc w:val="right"/>
        <w:rPr>
          <w:sz w:val="16"/>
          <w:szCs w:val="18"/>
          <w:highlight w:val="yellow"/>
        </w:rPr>
      </w:pPr>
      <w:r w:rsidRPr="00246D05">
        <w:rPr>
          <w:i/>
          <w:sz w:val="16"/>
          <w:szCs w:val="18"/>
        </w:rPr>
        <w:t>Source: Product Market Regulation Database OECD 2013 and Armenia Product Market Regulation World Bank 2018</w:t>
      </w:r>
    </w:p>
    <w:p w14:paraId="51AAE18A" w14:textId="77777777" w:rsidR="00FF2A13" w:rsidRDefault="00FF2A13" w:rsidP="00FF2A13">
      <w:pPr>
        <w:jc w:val="both"/>
        <w:rPr>
          <w:b/>
        </w:rPr>
      </w:pPr>
    </w:p>
    <w:p w14:paraId="69D5B74A" w14:textId="02BEDC67" w:rsidR="002C0462" w:rsidRPr="00246D05" w:rsidRDefault="008405A5" w:rsidP="002C0462">
      <w:pPr>
        <w:jc w:val="both"/>
        <w:rPr>
          <w:b/>
          <w:sz w:val="18"/>
          <w:szCs w:val="20"/>
        </w:rPr>
      </w:pPr>
      <w:bookmarkStart w:id="20" w:name="_Ref11847303"/>
      <w:r w:rsidRPr="00246D05">
        <w:rPr>
          <w:b/>
          <w:sz w:val="18"/>
          <w:szCs w:val="20"/>
        </w:rPr>
        <w:t xml:space="preserve">Table </w:t>
      </w:r>
      <w:r w:rsidRPr="00246D05">
        <w:rPr>
          <w:b/>
          <w:sz w:val="18"/>
          <w:szCs w:val="20"/>
        </w:rPr>
        <w:fldChar w:fldCharType="begin"/>
      </w:r>
      <w:r w:rsidRPr="00246D05">
        <w:rPr>
          <w:b/>
          <w:sz w:val="18"/>
          <w:szCs w:val="20"/>
        </w:rPr>
        <w:instrText xml:space="preserve"> SEQ Table \* ARABIC </w:instrText>
      </w:r>
      <w:r w:rsidRPr="00246D05">
        <w:rPr>
          <w:b/>
          <w:sz w:val="18"/>
          <w:szCs w:val="20"/>
        </w:rPr>
        <w:fldChar w:fldCharType="separate"/>
      </w:r>
      <w:r w:rsidR="00A31FAC">
        <w:rPr>
          <w:b/>
          <w:noProof/>
          <w:sz w:val="18"/>
          <w:szCs w:val="20"/>
        </w:rPr>
        <w:t>4</w:t>
      </w:r>
      <w:r w:rsidRPr="00246D05">
        <w:rPr>
          <w:b/>
          <w:sz w:val="18"/>
          <w:szCs w:val="20"/>
        </w:rPr>
        <w:fldChar w:fldCharType="end"/>
      </w:r>
      <w:bookmarkEnd w:id="20"/>
      <w:r w:rsidRPr="00246D05">
        <w:rPr>
          <w:b/>
          <w:sz w:val="18"/>
          <w:szCs w:val="20"/>
        </w:rPr>
        <w:t xml:space="preserve">. </w:t>
      </w:r>
      <w:r w:rsidR="001264F3" w:rsidRPr="00246D05">
        <w:rPr>
          <w:b/>
          <w:sz w:val="18"/>
          <w:szCs w:val="20"/>
        </w:rPr>
        <w:t>Can consumers choose their electricity / gas supplier?</w:t>
      </w:r>
    </w:p>
    <w:tbl>
      <w:tblPr>
        <w:tblW w:w="9360" w:type="dxa"/>
        <w:tblCellMar>
          <w:left w:w="0" w:type="dxa"/>
          <w:right w:w="0" w:type="dxa"/>
        </w:tblCellMar>
        <w:tblLook w:val="04A0" w:firstRow="1" w:lastRow="0" w:firstColumn="1" w:lastColumn="0" w:noHBand="0" w:noVBand="1"/>
      </w:tblPr>
      <w:tblGrid>
        <w:gridCol w:w="1890"/>
        <w:gridCol w:w="1690"/>
        <w:gridCol w:w="2000"/>
        <w:gridCol w:w="1890"/>
        <w:gridCol w:w="1890"/>
      </w:tblGrid>
      <w:tr w:rsidR="002C0462" w14:paraId="70B94607" w14:textId="77777777" w:rsidTr="002C0462">
        <w:trPr>
          <w:trHeight w:val="292"/>
        </w:trPr>
        <w:tc>
          <w:tcPr>
            <w:tcW w:w="5580" w:type="dxa"/>
            <w:gridSpan w:val="3"/>
            <w:tcBorders>
              <w:top w:val="single" w:sz="8" w:space="0" w:color="4472C4"/>
              <w:left w:val="nil"/>
              <w:bottom w:val="single" w:sz="8" w:space="0" w:color="4472C4"/>
              <w:right w:val="nil"/>
            </w:tcBorders>
            <w:noWrap/>
            <w:tcMar>
              <w:top w:w="0" w:type="dxa"/>
              <w:left w:w="108" w:type="dxa"/>
              <w:bottom w:w="0" w:type="dxa"/>
              <w:right w:w="108" w:type="dxa"/>
            </w:tcMar>
          </w:tcPr>
          <w:p w14:paraId="6C95D087" w14:textId="77777777" w:rsidR="002C0462" w:rsidRDefault="002C0462" w:rsidP="002C0462">
            <w:pPr>
              <w:jc w:val="center"/>
              <w:rPr>
                <w:b/>
                <w:bCs/>
                <w:color w:val="000000"/>
                <w:sz w:val="18"/>
                <w:szCs w:val="18"/>
              </w:rPr>
            </w:pPr>
            <w:r>
              <w:rPr>
                <w:b/>
                <w:bCs/>
                <w:color w:val="000000"/>
                <w:sz w:val="18"/>
                <w:szCs w:val="18"/>
              </w:rPr>
              <w:t>Electricity</w:t>
            </w:r>
          </w:p>
        </w:tc>
        <w:tc>
          <w:tcPr>
            <w:tcW w:w="3780" w:type="dxa"/>
            <w:gridSpan w:val="2"/>
            <w:tcBorders>
              <w:top w:val="single" w:sz="8" w:space="0" w:color="4472C4"/>
              <w:left w:val="nil"/>
              <w:bottom w:val="single" w:sz="8" w:space="0" w:color="4472C4"/>
              <w:right w:val="nil"/>
            </w:tcBorders>
          </w:tcPr>
          <w:p w14:paraId="4A6DC8B3" w14:textId="77777777" w:rsidR="002C0462" w:rsidRDefault="001264F3" w:rsidP="002C0462">
            <w:pPr>
              <w:jc w:val="center"/>
              <w:rPr>
                <w:b/>
                <w:bCs/>
                <w:color w:val="000000"/>
                <w:sz w:val="18"/>
                <w:szCs w:val="18"/>
              </w:rPr>
            </w:pPr>
            <w:r>
              <w:rPr>
                <w:b/>
                <w:bCs/>
                <w:color w:val="000000"/>
                <w:sz w:val="18"/>
                <w:szCs w:val="18"/>
              </w:rPr>
              <w:t>G</w:t>
            </w:r>
            <w:r w:rsidR="002C0462">
              <w:rPr>
                <w:b/>
                <w:bCs/>
                <w:color w:val="000000"/>
                <w:sz w:val="18"/>
                <w:szCs w:val="18"/>
              </w:rPr>
              <w:t>as</w:t>
            </w:r>
          </w:p>
        </w:tc>
      </w:tr>
      <w:tr w:rsidR="002C0462" w14:paraId="3934E6D8" w14:textId="77777777" w:rsidTr="002C0462">
        <w:trPr>
          <w:trHeight w:val="292"/>
        </w:trPr>
        <w:tc>
          <w:tcPr>
            <w:tcW w:w="1890" w:type="dxa"/>
            <w:tcBorders>
              <w:top w:val="single" w:sz="8" w:space="0" w:color="4472C4"/>
              <w:left w:val="nil"/>
              <w:bottom w:val="single" w:sz="8" w:space="0" w:color="4472C4"/>
              <w:right w:val="nil"/>
            </w:tcBorders>
            <w:shd w:val="clear" w:color="auto" w:fill="D9E2F3" w:themeFill="accent1" w:themeFillTint="33"/>
            <w:noWrap/>
            <w:tcMar>
              <w:top w:w="0" w:type="dxa"/>
              <w:left w:w="108" w:type="dxa"/>
              <w:bottom w:w="0" w:type="dxa"/>
              <w:right w:w="108" w:type="dxa"/>
            </w:tcMar>
            <w:hideMark/>
          </w:tcPr>
          <w:p w14:paraId="0EC073EE" w14:textId="77777777" w:rsidR="002C0462" w:rsidRDefault="002C0462" w:rsidP="002C0462"/>
        </w:tc>
        <w:tc>
          <w:tcPr>
            <w:tcW w:w="1690" w:type="dxa"/>
            <w:tcBorders>
              <w:top w:val="single" w:sz="8" w:space="0" w:color="4472C4"/>
              <w:left w:val="nil"/>
              <w:bottom w:val="single" w:sz="8" w:space="0" w:color="4472C4"/>
              <w:right w:val="nil"/>
            </w:tcBorders>
            <w:shd w:val="clear" w:color="auto" w:fill="D9E2F3" w:themeFill="accent1" w:themeFillTint="33"/>
            <w:noWrap/>
            <w:tcMar>
              <w:top w:w="0" w:type="dxa"/>
              <w:left w:w="108" w:type="dxa"/>
              <w:bottom w:w="0" w:type="dxa"/>
              <w:right w:w="108" w:type="dxa"/>
            </w:tcMar>
            <w:hideMark/>
          </w:tcPr>
          <w:p w14:paraId="082C2ED5" w14:textId="77777777" w:rsidR="002C0462" w:rsidRDefault="002C0462" w:rsidP="002C0462">
            <w:pPr>
              <w:jc w:val="center"/>
              <w:rPr>
                <w:b/>
                <w:bCs/>
                <w:color w:val="000000"/>
                <w:sz w:val="18"/>
                <w:szCs w:val="18"/>
              </w:rPr>
            </w:pPr>
            <w:r>
              <w:rPr>
                <w:b/>
                <w:bCs/>
                <w:color w:val="000000"/>
                <w:sz w:val="18"/>
                <w:szCs w:val="18"/>
              </w:rPr>
              <w:t>consumer choice</w:t>
            </w:r>
          </w:p>
          <w:p w14:paraId="220D4BCA" w14:textId="77777777" w:rsidR="002C0462" w:rsidRDefault="002C0462" w:rsidP="002C0462">
            <w:pPr>
              <w:jc w:val="center"/>
              <w:rPr>
                <w:rFonts w:ascii="Times New Roman" w:hAnsi="Times New Roman" w:cs="Times New Roman"/>
                <w:b/>
                <w:bCs/>
                <w:color w:val="000000"/>
                <w:sz w:val="18"/>
                <w:szCs w:val="18"/>
              </w:rPr>
            </w:pPr>
          </w:p>
        </w:tc>
        <w:tc>
          <w:tcPr>
            <w:tcW w:w="2000" w:type="dxa"/>
            <w:tcBorders>
              <w:top w:val="single" w:sz="8" w:space="0" w:color="4472C4"/>
              <w:left w:val="nil"/>
              <w:bottom w:val="single" w:sz="8" w:space="0" w:color="4472C4"/>
              <w:right w:val="nil"/>
            </w:tcBorders>
            <w:shd w:val="clear" w:color="auto" w:fill="D9E2F3" w:themeFill="accent1" w:themeFillTint="33"/>
          </w:tcPr>
          <w:p w14:paraId="732156E0" w14:textId="77777777" w:rsidR="002C0462" w:rsidRDefault="002C0462" w:rsidP="002C0462">
            <w:pPr>
              <w:jc w:val="center"/>
              <w:rPr>
                <w:b/>
                <w:bCs/>
                <w:color w:val="000000"/>
                <w:sz w:val="18"/>
                <w:szCs w:val="18"/>
              </w:rPr>
            </w:pPr>
            <w:r>
              <w:rPr>
                <w:b/>
                <w:bCs/>
                <w:color w:val="000000"/>
                <w:sz w:val="18"/>
                <w:szCs w:val="18"/>
              </w:rPr>
              <w:t>no consumer choice</w:t>
            </w:r>
          </w:p>
        </w:tc>
        <w:tc>
          <w:tcPr>
            <w:tcW w:w="1890" w:type="dxa"/>
            <w:tcBorders>
              <w:top w:val="single" w:sz="8" w:space="0" w:color="4472C4"/>
              <w:left w:val="nil"/>
              <w:bottom w:val="single" w:sz="8" w:space="0" w:color="4472C4"/>
              <w:right w:val="nil"/>
            </w:tcBorders>
            <w:shd w:val="clear" w:color="auto" w:fill="D9E2F3" w:themeFill="accent1" w:themeFillTint="33"/>
          </w:tcPr>
          <w:p w14:paraId="610ECF0D" w14:textId="77777777" w:rsidR="002C0462" w:rsidRDefault="002C0462" w:rsidP="002C0462">
            <w:pPr>
              <w:jc w:val="center"/>
              <w:rPr>
                <w:b/>
                <w:bCs/>
                <w:color w:val="000000"/>
                <w:sz w:val="18"/>
                <w:szCs w:val="18"/>
              </w:rPr>
            </w:pPr>
            <w:r>
              <w:rPr>
                <w:b/>
                <w:bCs/>
                <w:color w:val="000000"/>
                <w:sz w:val="18"/>
                <w:szCs w:val="18"/>
              </w:rPr>
              <w:t>consumer choice</w:t>
            </w:r>
          </w:p>
        </w:tc>
        <w:tc>
          <w:tcPr>
            <w:tcW w:w="1890" w:type="dxa"/>
            <w:tcBorders>
              <w:top w:val="single" w:sz="8" w:space="0" w:color="4472C4"/>
              <w:left w:val="nil"/>
              <w:bottom w:val="single" w:sz="8" w:space="0" w:color="4472C4"/>
              <w:right w:val="nil"/>
            </w:tcBorders>
            <w:shd w:val="clear" w:color="auto" w:fill="D9E2F3" w:themeFill="accent1" w:themeFillTint="33"/>
          </w:tcPr>
          <w:p w14:paraId="102A1359" w14:textId="77777777" w:rsidR="002C0462" w:rsidRDefault="002C0462" w:rsidP="002C0462">
            <w:pPr>
              <w:jc w:val="center"/>
              <w:rPr>
                <w:b/>
                <w:bCs/>
                <w:color w:val="000000"/>
                <w:sz w:val="18"/>
                <w:szCs w:val="18"/>
              </w:rPr>
            </w:pPr>
            <w:r>
              <w:rPr>
                <w:b/>
                <w:bCs/>
                <w:color w:val="000000"/>
                <w:sz w:val="18"/>
                <w:szCs w:val="18"/>
              </w:rPr>
              <w:t>no consumer choice</w:t>
            </w:r>
          </w:p>
        </w:tc>
      </w:tr>
      <w:tr w:rsidR="004631D9" w14:paraId="3D0F1845" w14:textId="77777777" w:rsidTr="00246D05">
        <w:trPr>
          <w:trHeight w:val="292"/>
        </w:trPr>
        <w:tc>
          <w:tcPr>
            <w:tcW w:w="1890" w:type="dxa"/>
            <w:shd w:val="clear" w:color="auto" w:fill="F7CAAC" w:themeFill="accent2" w:themeFillTint="66"/>
            <w:noWrap/>
            <w:tcMar>
              <w:top w:w="0" w:type="dxa"/>
              <w:left w:w="108" w:type="dxa"/>
              <w:bottom w:w="0" w:type="dxa"/>
              <w:right w:w="108" w:type="dxa"/>
            </w:tcMar>
          </w:tcPr>
          <w:p w14:paraId="7270F4BD" w14:textId="3D6A98AC" w:rsidR="004631D9" w:rsidRDefault="004631D9" w:rsidP="002C0462">
            <w:pPr>
              <w:rPr>
                <w:color w:val="000000"/>
                <w:sz w:val="18"/>
                <w:szCs w:val="18"/>
              </w:rPr>
            </w:pPr>
            <w:r>
              <w:rPr>
                <w:color w:val="000000"/>
                <w:sz w:val="18"/>
                <w:szCs w:val="18"/>
              </w:rPr>
              <w:t>Armenia</w:t>
            </w:r>
          </w:p>
        </w:tc>
        <w:tc>
          <w:tcPr>
            <w:tcW w:w="1690" w:type="dxa"/>
            <w:shd w:val="clear" w:color="auto" w:fill="F7CAAC" w:themeFill="accent2" w:themeFillTint="66"/>
            <w:noWrap/>
            <w:tcMar>
              <w:top w:w="0" w:type="dxa"/>
              <w:left w:w="108" w:type="dxa"/>
              <w:bottom w:w="0" w:type="dxa"/>
              <w:right w:w="108" w:type="dxa"/>
            </w:tcMar>
          </w:tcPr>
          <w:p w14:paraId="7269EFF7" w14:textId="3CCE6D7B" w:rsidR="004631D9" w:rsidRDefault="00835A4A" w:rsidP="002C0462">
            <w:pPr>
              <w:jc w:val="center"/>
              <w:rPr>
                <w:color w:val="000000"/>
                <w:sz w:val="18"/>
                <w:szCs w:val="18"/>
              </w:rPr>
            </w:pPr>
            <w:r>
              <w:rPr>
                <w:color w:val="000000"/>
                <w:sz w:val="18"/>
                <w:szCs w:val="18"/>
              </w:rPr>
              <w:t>√</w:t>
            </w:r>
          </w:p>
        </w:tc>
        <w:tc>
          <w:tcPr>
            <w:tcW w:w="2000" w:type="dxa"/>
            <w:shd w:val="clear" w:color="auto" w:fill="F7CAAC" w:themeFill="accent2" w:themeFillTint="66"/>
          </w:tcPr>
          <w:p w14:paraId="6527D9EE" w14:textId="77777777" w:rsidR="004631D9" w:rsidRDefault="004631D9" w:rsidP="002C0462">
            <w:pPr>
              <w:jc w:val="center"/>
              <w:rPr>
                <w:color w:val="000000"/>
                <w:sz w:val="18"/>
                <w:szCs w:val="18"/>
              </w:rPr>
            </w:pPr>
          </w:p>
        </w:tc>
        <w:tc>
          <w:tcPr>
            <w:tcW w:w="1890" w:type="dxa"/>
            <w:shd w:val="clear" w:color="auto" w:fill="F7CAAC" w:themeFill="accent2" w:themeFillTint="66"/>
          </w:tcPr>
          <w:p w14:paraId="44E05B66" w14:textId="77777777" w:rsidR="004631D9" w:rsidRDefault="004631D9" w:rsidP="002C0462">
            <w:pPr>
              <w:jc w:val="center"/>
              <w:rPr>
                <w:color w:val="000000"/>
                <w:sz w:val="18"/>
                <w:szCs w:val="18"/>
              </w:rPr>
            </w:pPr>
          </w:p>
        </w:tc>
        <w:tc>
          <w:tcPr>
            <w:tcW w:w="1890" w:type="dxa"/>
            <w:shd w:val="clear" w:color="auto" w:fill="F7CAAC" w:themeFill="accent2" w:themeFillTint="66"/>
          </w:tcPr>
          <w:p w14:paraId="6E1F2D05" w14:textId="564AD8AE" w:rsidR="004631D9" w:rsidRDefault="00835A4A" w:rsidP="002C0462">
            <w:pPr>
              <w:jc w:val="center"/>
              <w:rPr>
                <w:color w:val="000000"/>
                <w:sz w:val="18"/>
                <w:szCs w:val="18"/>
              </w:rPr>
            </w:pPr>
            <w:r>
              <w:rPr>
                <w:color w:val="000000"/>
                <w:sz w:val="18"/>
                <w:szCs w:val="18"/>
              </w:rPr>
              <w:t>√</w:t>
            </w:r>
          </w:p>
        </w:tc>
      </w:tr>
      <w:tr w:rsidR="002C0462" w14:paraId="6369E7EA" w14:textId="77777777" w:rsidTr="002C0462">
        <w:trPr>
          <w:trHeight w:val="292"/>
        </w:trPr>
        <w:tc>
          <w:tcPr>
            <w:tcW w:w="1890" w:type="dxa"/>
            <w:noWrap/>
            <w:tcMar>
              <w:top w:w="0" w:type="dxa"/>
              <w:left w:w="108" w:type="dxa"/>
              <w:bottom w:w="0" w:type="dxa"/>
              <w:right w:w="108" w:type="dxa"/>
            </w:tcMar>
            <w:hideMark/>
          </w:tcPr>
          <w:p w14:paraId="3D88B812" w14:textId="77777777" w:rsidR="002C0462" w:rsidRDefault="002C0462" w:rsidP="002C0462">
            <w:pPr>
              <w:rPr>
                <w:rFonts w:ascii="Times New Roman" w:hAnsi="Times New Roman" w:cs="Times New Roman"/>
                <w:color w:val="000000"/>
                <w:sz w:val="18"/>
                <w:szCs w:val="18"/>
              </w:rPr>
            </w:pPr>
            <w:r>
              <w:rPr>
                <w:color w:val="000000"/>
                <w:sz w:val="18"/>
                <w:szCs w:val="18"/>
              </w:rPr>
              <w:t>Croatia</w:t>
            </w:r>
          </w:p>
        </w:tc>
        <w:tc>
          <w:tcPr>
            <w:tcW w:w="1690" w:type="dxa"/>
            <w:noWrap/>
            <w:tcMar>
              <w:top w:w="0" w:type="dxa"/>
              <w:left w:w="108" w:type="dxa"/>
              <w:bottom w:w="0" w:type="dxa"/>
              <w:right w:w="108" w:type="dxa"/>
            </w:tcMar>
            <w:hideMark/>
          </w:tcPr>
          <w:p w14:paraId="410A6EF1" w14:textId="77777777" w:rsidR="002C0462" w:rsidRDefault="002C0462" w:rsidP="002C0462">
            <w:pPr>
              <w:jc w:val="center"/>
              <w:rPr>
                <w:color w:val="000000"/>
                <w:sz w:val="18"/>
                <w:szCs w:val="18"/>
              </w:rPr>
            </w:pPr>
            <w:r>
              <w:rPr>
                <w:color w:val="000000"/>
                <w:sz w:val="18"/>
                <w:szCs w:val="18"/>
              </w:rPr>
              <w:t>√</w:t>
            </w:r>
          </w:p>
        </w:tc>
        <w:tc>
          <w:tcPr>
            <w:tcW w:w="2000" w:type="dxa"/>
          </w:tcPr>
          <w:p w14:paraId="484EFCAD" w14:textId="77777777" w:rsidR="002C0462" w:rsidRDefault="002C0462" w:rsidP="002C0462">
            <w:pPr>
              <w:jc w:val="center"/>
              <w:rPr>
                <w:color w:val="000000"/>
                <w:sz w:val="18"/>
                <w:szCs w:val="18"/>
              </w:rPr>
            </w:pPr>
          </w:p>
        </w:tc>
        <w:tc>
          <w:tcPr>
            <w:tcW w:w="1890" w:type="dxa"/>
          </w:tcPr>
          <w:p w14:paraId="19404C9F" w14:textId="77777777" w:rsidR="002C0462" w:rsidRDefault="002C0462" w:rsidP="002C0462">
            <w:pPr>
              <w:jc w:val="center"/>
              <w:rPr>
                <w:color w:val="000000"/>
                <w:sz w:val="18"/>
                <w:szCs w:val="18"/>
              </w:rPr>
            </w:pPr>
            <w:r>
              <w:rPr>
                <w:color w:val="000000"/>
                <w:sz w:val="18"/>
                <w:szCs w:val="18"/>
              </w:rPr>
              <w:t>√</w:t>
            </w:r>
          </w:p>
        </w:tc>
        <w:tc>
          <w:tcPr>
            <w:tcW w:w="1890" w:type="dxa"/>
          </w:tcPr>
          <w:p w14:paraId="52C82615" w14:textId="77777777" w:rsidR="002C0462" w:rsidRDefault="002C0462" w:rsidP="002C0462">
            <w:pPr>
              <w:jc w:val="center"/>
              <w:rPr>
                <w:color w:val="000000"/>
                <w:sz w:val="18"/>
                <w:szCs w:val="18"/>
              </w:rPr>
            </w:pPr>
          </w:p>
        </w:tc>
      </w:tr>
      <w:tr w:rsidR="002C0462" w14:paraId="75ACEFA2" w14:textId="77777777" w:rsidTr="002C0462">
        <w:trPr>
          <w:trHeight w:val="292"/>
        </w:trPr>
        <w:tc>
          <w:tcPr>
            <w:tcW w:w="1890" w:type="dxa"/>
            <w:shd w:val="clear" w:color="auto" w:fill="D9E2F3" w:themeFill="accent1" w:themeFillTint="33"/>
            <w:noWrap/>
            <w:tcMar>
              <w:top w:w="0" w:type="dxa"/>
              <w:left w:w="108" w:type="dxa"/>
              <w:bottom w:w="0" w:type="dxa"/>
              <w:right w:w="108" w:type="dxa"/>
            </w:tcMar>
            <w:hideMark/>
          </w:tcPr>
          <w:p w14:paraId="70F2F89C" w14:textId="77777777" w:rsidR="002C0462" w:rsidRDefault="002C0462" w:rsidP="002C0462">
            <w:pPr>
              <w:rPr>
                <w:rFonts w:ascii="Times New Roman" w:hAnsi="Times New Roman" w:cs="Times New Roman"/>
                <w:color w:val="000000"/>
                <w:sz w:val="18"/>
                <w:szCs w:val="18"/>
              </w:rPr>
            </w:pPr>
            <w:r>
              <w:rPr>
                <w:color w:val="000000"/>
                <w:sz w:val="18"/>
                <w:szCs w:val="18"/>
              </w:rPr>
              <w:t>Estonia</w:t>
            </w:r>
          </w:p>
        </w:tc>
        <w:tc>
          <w:tcPr>
            <w:tcW w:w="1690" w:type="dxa"/>
            <w:shd w:val="clear" w:color="auto" w:fill="D9E2F3" w:themeFill="accent1" w:themeFillTint="33"/>
            <w:noWrap/>
            <w:tcMar>
              <w:top w:w="0" w:type="dxa"/>
              <w:left w:w="108" w:type="dxa"/>
              <w:bottom w:w="0" w:type="dxa"/>
              <w:right w:w="108" w:type="dxa"/>
            </w:tcMar>
            <w:hideMark/>
          </w:tcPr>
          <w:p w14:paraId="34387B7F" w14:textId="77777777" w:rsidR="002C0462" w:rsidRDefault="002C0462" w:rsidP="002C0462">
            <w:pPr>
              <w:jc w:val="center"/>
              <w:rPr>
                <w:color w:val="000000"/>
                <w:sz w:val="18"/>
                <w:szCs w:val="18"/>
              </w:rPr>
            </w:pPr>
            <w:r>
              <w:rPr>
                <w:color w:val="000000"/>
                <w:sz w:val="18"/>
                <w:szCs w:val="18"/>
              </w:rPr>
              <w:t>√</w:t>
            </w:r>
          </w:p>
        </w:tc>
        <w:tc>
          <w:tcPr>
            <w:tcW w:w="2000" w:type="dxa"/>
            <w:shd w:val="clear" w:color="auto" w:fill="D9E2F3" w:themeFill="accent1" w:themeFillTint="33"/>
          </w:tcPr>
          <w:p w14:paraId="75E696AB" w14:textId="77777777" w:rsidR="002C0462" w:rsidRDefault="002C0462" w:rsidP="002C0462">
            <w:pPr>
              <w:jc w:val="center"/>
              <w:rPr>
                <w:color w:val="000000"/>
                <w:sz w:val="18"/>
                <w:szCs w:val="18"/>
              </w:rPr>
            </w:pPr>
          </w:p>
        </w:tc>
        <w:tc>
          <w:tcPr>
            <w:tcW w:w="1890" w:type="dxa"/>
            <w:shd w:val="clear" w:color="auto" w:fill="D9E2F3" w:themeFill="accent1" w:themeFillTint="33"/>
          </w:tcPr>
          <w:p w14:paraId="2A2F0EAA" w14:textId="77777777" w:rsidR="002C0462" w:rsidRDefault="002C0462" w:rsidP="002C0462">
            <w:pPr>
              <w:jc w:val="center"/>
              <w:rPr>
                <w:color w:val="000000"/>
                <w:sz w:val="18"/>
                <w:szCs w:val="18"/>
              </w:rPr>
            </w:pPr>
            <w:r>
              <w:rPr>
                <w:color w:val="000000"/>
                <w:sz w:val="18"/>
                <w:szCs w:val="18"/>
              </w:rPr>
              <w:t>√</w:t>
            </w:r>
          </w:p>
        </w:tc>
        <w:tc>
          <w:tcPr>
            <w:tcW w:w="1890" w:type="dxa"/>
            <w:shd w:val="clear" w:color="auto" w:fill="D9E2F3" w:themeFill="accent1" w:themeFillTint="33"/>
          </w:tcPr>
          <w:p w14:paraId="6A526300" w14:textId="77777777" w:rsidR="002C0462" w:rsidRDefault="002C0462" w:rsidP="002C0462">
            <w:pPr>
              <w:jc w:val="center"/>
              <w:rPr>
                <w:color w:val="000000"/>
                <w:sz w:val="18"/>
                <w:szCs w:val="18"/>
              </w:rPr>
            </w:pPr>
          </w:p>
        </w:tc>
      </w:tr>
      <w:tr w:rsidR="002C0462" w14:paraId="0806743F" w14:textId="77777777" w:rsidTr="002C0462">
        <w:trPr>
          <w:trHeight w:val="292"/>
        </w:trPr>
        <w:tc>
          <w:tcPr>
            <w:tcW w:w="1890" w:type="dxa"/>
            <w:noWrap/>
            <w:tcMar>
              <w:top w:w="0" w:type="dxa"/>
              <w:left w:w="108" w:type="dxa"/>
              <w:bottom w:w="0" w:type="dxa"/>
              <w:right w:w="108" w:type="dxa"/>
            </w:tcMar>
            <w:hideMark/>
          </w:tcPr>
          <w:p w14:paraId="067204A1" w14:textId="77777777" w:rsidR="002C0462" w:rsidRDefault="002C0462" w:rsidP="002C0462">
            <w:pPr>
              <w:rPr>
                <w:rFonts w:ascii="Times New Roman" w:hAnsi="Times New Roman" w:cs="Times New Roman"/>
                <w:color w:val="000000"/>
                <w:sz w:val="18"/>
                <w:szCs w:val="18"/>
              </w:rPr>
            </w:pPr>
            <w:r>
              <w:rPr>
                <w:color w:val="000000"/>
                <w:sz w:val="18"/>
                <w:szCs w:val="18"/>
              </w:rPr>
              <w:t>Latvia</w:t>
            </w:r>
          </w:p>
        </w:tc>
        <w:tc>
          <w:tcPr>
            <w:tcW w:w="1690" w:type="dxa"/>
            <w:noWrap/>
            <w:tcMar>
              <w:top w:w="0" w:type="dxa"/>
              <w:left w:w="108" w:type="dxa"/>
              <w:bottom w:w="0" w:type="dxa"/>
              <w:right w:w="108" w:type="dxa"/>
            </w:tcMar>
            <w:hideMark/>
          </w:tcPr>
          <w:p w14:paraId="5F2841D1" w14:textId="77777777" w:rsidR="002C0462" w:rsidRDefault="002C0462" w:rsidP="002C0462">
            <w:pPr>
              <w:jc w:val="center"/>
              <w:rPr>
                <w:color w:val="000000"/>
                <w:sz w:val="18"/>
                <w:szCs w:val="18"/>
              </w:rPr>
            </w:pPr>
            <w:r>
              <w:rPr>
                <w:color w:val="000000"/>
                <w:sz w:val="18"/>
                <w:szCs w:val="18"/>
              </w:rPr>
              <w:t>√</w:t>
            </w:r>
          </w:p>
        </w:tc>
        <w:tc>
          <w:tcPr>
            <w:tcW w:w="2000" w:type="dxa"/>
          </w:tcPr>
          <w:p w14:paraId="2671EB02" w14:textId="77777777" w:rsidR="002C0462" w:rsidRDefault="002C0462" w:rsidP="002C0462">
            <w:pPr>
              <w:jc w:val="center"/>
              <w:rPr>
                <w:color w:val="000000"/>
                <w:sz w:val="18"/>
                <w:szCs w:val="18"/>
              </w:rPr>
            </w:pPr>
          </w:p>
        </w:tc>
        <w:tc>
          <w:tcPr>
            <w:tcW w:w="1890" w:type="dxa"/>
          </w:tcPr>
          <w:p w14:paraId="7B517DC5" w14:textId="77777777" w:rsidR="002C0462" w:rsidRDefault="002C0462" w:rsidP="002C0462">
            <w:pPr>
              <w:jc w:val="center"/>
              <w:rPr>
                <w:color w:val="000000"/>
                <w:sz w:val="18"/>
                <w:szCs w:val="18"/>
              </w:rPr>
            </w:pPr>
          </w:p>
        </w:tc>
        <w:tc>
          <w:tcPr>
            <w:tcW w:w="1890" w:type="dxa"/>
          </w:tcPr>
          <w:p w14:paraId="0052EACD" w14:textId="77777777" w:rsidR="002C0462" w:rsidRDefault="002C0462" w:rsidP="002C0462">
            <w:pPr>
              <w:jc w:val="center"/>
              <w:rPr>
                <w:color w:val="000000"/>
                <w:sz w:val="18"/>
                <w:szCs w:val="18"/>
              </w:rPr>
            </w:pPr>
            <w:r>
              <w:rPr>
                <w:color w:val="000000"/>
                <w:sz w:val="18"/>
                <w:szCs w:val="18"/>
              </w:rPr>
              <w:t>√</w:t>
            </w:r>
          </w:p>
        </w:tc>
      </w:tr>
      <w:tr w:rsidR="002C0462" w14:paraId="7DB46000" w14:textId="77777777" w:rsidTr="002C0462">
        <w:trPr>
          <w:trHeight w:val="292"/>
        </w:trPr>
        <w:tc>
          <w:tcPr>
            <w:tcW w:w="1890" w:type="dxa"/>
            <w:shd w:val="clear" w:color="auto" w:fill="D9E2F3" w:themeFill="accent1" w:themeFillTint="33"/>
            <w:noWrap/>
            <w:tcMar>
              <w:top w:w="0" w:type="dxa"/>
              <w:left w:w="108" w:type="dxa"/>
              <w:bottom w:w="0" w:type="dxa"/>
              <w:right w:w="108" w:type="dxa"/>
            </w:tcMar>
            <w:hideMark/>
          </w:tcPr>
          <w:p w14:paraId="7AA64A16" w14:textId="77777777" w:rsidR="002C0462" w:rsidRDefault="002C0462" w:rsidP="002C0462">
            <w:pPr>
              <w:rPr>
                <w:rFonts w:ascii="Times New Roman" w:hAnsi="Times New Roman" w:cs="Times New Roman"/>
                <w:color w:val="000000"/>
                <w:sz w:val="18"/>
                <w:szCs w:val="18"/>
              </w:rPr>
            </w:pPr>
            <w:r>
              <w:rPr>
                <w:color w:val="000000"/>
                <w:sz w:val="18"/>
                <w:szCs w:val="18"/>
              </w:rPr>
              <w:t>Lithuania</w:t>
            </w:r>
          </w:p>
        </w:tc>
        <w:tc>
          <w:tcPr>
            <w:tcW w:w="1690" w:type="dxa"/>
            <w:shd w:val="clear" w:color="auto" w:fill="D9E2F3" w:themeFill="accent1" w:themeFillTint="33"/>
            <w:noWrap/>
            <w:tcMar>
              <w:top w:w="0" w:type="dxa"/>
              <w:left w:w="108" w:type="dxa"/>
              <w:bottom w:w="0" w:type="dxa"/>
              <w:right w:w="108" w:type="dxa"/>
            </w:tcMar>
            <w:hideMark/>
          </w:tcPr>
          <w:p w14:paraId="587514DC" w14:textId="77777777" w:rsidR="002C0462" w:rsidRDefault="002C0462" w:rsidP="002C0462">
            <w:pPr>
              <w:jc w:val="center"/>
              <w:rPr>
                <w:color w:val="000000"/>
                <w:sz w:val="18"/>
                <w:szCs w:val="18"/>
              </w:rPr>
            </w:pPr>
            <w:r>
              <w:rPr>
                <w:color w:val="000000"/>
                <w:sz w:val="18"/>
                <w:szCs w:val="18"/>
              </w:rPr>
              <w:t>√</w:t>
            </w:r>
          </w:p>
        </w:tc>
        <w:tc>
          <w:tcPr>
            <w:tcW w:w="2000" w:type="dxa"/>
            <w:shd w:val="clear" w:color="auto" w:fill="D9E2F3" w:themeFill="accent1" w:themeFillTint="33"/>
          </w:tcPr>
          <w:p w14:paraId="1EAE159D" w14:textId="77777777" w:rsidR="002C0462" w:rsidRDefault="002C0462" w:rsidP="002C0462">
            <w:pPr>
              <w:jc w:val="center"/>
              <w:rPr>
                <w:color w:val="000000"/>
                <w:sz w:val="18"/>
                <w:szCs w:val="18"/>
              </w:rPr>
            </w:pPr>
          </w:p>
        </w:tc>
        <w:tc>
          <w:tcPr>
            <w:tcW w:w="1890" w:type="dxa"/>
            <w:shd w:val="clear" w:color="auto" w:fill="D9E2F3" w:themeFill="accent1" w:themeFillTint="33"/>
          </w:tcPr>
          <w:p w14:paraId="177FEBC6" w14:textId="77777777" w:rsidR="002C0462" w:rsidRDefault="002C0462" w:rsidP="002C0462">
            <w:pPr>
              <w:jc w:val="center"/>
              <w:rPr>
                <w:color w:val="000000"/>
                <w:sz w:val="18"/>
                <w:szCs w:val="18"/>
              </w:rPr>
            </w:pPr>
            <w:r>
              <w:rPr>
                <w:color w:val="000000"/>
                <w:sz w:val="18"/>
                <w:szCs w:val="18"/>
              </w:rPr>
              <w:t>√</w:t>
            </w:r>
          </w:p>
        </w:tc>
        <w:tc>
          <w:tcPr>
            <w:tcW w:w="1890" w:type="dxa"/>
            <w:shd w:val="clear" w:color="auto" w:fill="D9E2F3" w:themeFill="accent1" w:themeFillTint="33"/>
          </w:tcPr>
          <w:p w14:paraId="2184C633" w14:textId="77777777" w:rsidR="002C0462" w:rsidRDefault="002C0462" w:rsidP="002C0462">
            <w:pPr>
              <w:jc w:val="center"/>
              <w:rPr>
                <w:color w:val="000000"/>
                <w:sz w:val="18"/>
                <w:szCs w:val="18"/>
              </w:rPr>
            </w:pPr>
          </w:p>
        </w:tc>
      </w:tr>
      <w:tr w:rsidR="002C0462" w14:paraId="7194FB4E" w14:textId="77777777" w:rsidTr="002C0462">
        <w:trPr>
          <w:trHeight w:val="292"/>
        </w:trPr>
        <w:tc>
          <w:tcPr>
            <w:tcW w:w="1890" w:type="dxa"/>
            <w:noWrap/>
            <w:tcMar>
              <w:top w:w="0" w:type="dxa"/>
              <w:left w:w="108" w:type="dxa"/>
              <w:bottom w:w="0" w:type="dxa"/>
              <w:right w:w="108" w:type="dxa"/>
            </w:tcMar>
            <w:hideMark/>
          </w:tcPr>
          <w:p w14:paraId="0BD3D92A" w14:textId="77777777" w:rsidR="002C0462" w:rsidRPr="00DB2797" w:rsidRDefault="002C0462" w:rsidP="002C0462">
            <w:pPr>
              <w:rPr>
                <w:rFonts w:asciiTheme="minorHAnsi" w:hAnsiTheme="minorHAnsi" w:cstheme="minorHAnsi"/>
                <w:color w:val="000000"/>
                <w:sz w:val="18"/>
                <w:szCs w:val="18"/>
              </w:rPr>
            </w:pPr>
            <w:r w:rsidRPr="00DB2797">
              <w:rPr>
                <w:rFonts w:asciiTheme="minorHAnsi" w:hAnsiTheme="minorHAnsi" w:cstheme="minorHAnsi"/>
                <w:color w:val="000000"/>
                <w:sz w:val="18"/>
                <w:szCs w:val="18"/>
              </w:rPr>
              <w:t>Russia</w:t>
            </w:r>
          </w:p>
        </w:tc>
        <w:tc>
          <w:tcPr>
            <w:tcW w:w="1690" w:type="dxa"/>
            <w:noWrap/>
            <w:tcMar>
              <w:top w:w="0" w:type="dxa"/>
              <w:left w:w="108" w:type="dxa"/>
              <w:bottom w:w="0" w:type="dxa"/>
              <w:right w:w="108" w:type="dxa"/>
            </w:tcMar>
            <w:hideMark/>
          </w:tcPr>
          <w:p w14:paraId="593EC8CB" w14:textId="77777777" w:rsidR="002C0462" w:rsidRPr="00DB2797" w:rsidRDefault="002C0462" w:rsidP="002C0462">
            <w:pPr>
              <w:jc w:val="center"/>
              <w:rPr>
                <w:rFonts w:asciiTheme="minorHAnsi" w:hAnsiTheme="minorHAnsi" w:cstheme="minorHAnsi"/>
                <w:color w:val="000000"/>
                <w:sz w:val="18"/>
                <w:szCs w:val="18"/>
              </w:rPr>
            </w:pPr>
            <w:r>
              <w:rPr>
                <w:color w:val="000000"/>
                <w:sz w:val="18"/>
                <w:szCs w:val="18"/>
              </w:rPr>
              <w:t>√</w:t>
            </w:r>
          </w:p>
        </w:tc>
        <w:tc>
          <w:tcPr>
            <w:tcW w:w="2000" w:type="dxa"/>
          </w:tcPr>
          <w:p w14:paraId="58A9F7D9" w14:textId="77777777" w:rsidR="002C0462" w:rsidRDefault="002C0462" w:rsidP="002C0462">
            <w:pPr>
              <w:jc w:val="center"/>
              <w:rPr>
                <w:rFonts w:ascii="Times New Roman" w:hAnsi="Times New Roman" w:cs="Times New Roman"/>
                <w:color w:val="000000"/>
                <w:sz w:val="18"/>
                <w:szCs w:val="18"/>
              </w:rPr>
            </w:pPr>
          </w:p>
        </w:tc>
        <w:tc>
          <w:tcPr>
            <w:tcW w:w="1890" w:type="dxa"/>
          </w:tcPr>
          <w:p w14:paraId="0B963373" w14:textId="77777777" w:rsidR="002C0462" w:rsidRDefault="002C0462" w:rsidP="002C0462">
            <w:pPr>
              <w:jc w:val="center"/>
              <w:rPr>
                <w:rFonts w:ascii="Times New Roman" w:hAnsi="Times New Roman" w:cs="Times New Roman"/>
                <w:color w:val="000000"/>
                <w:sz w:val="18"/>
                <w:szCs w:val="18"/>
              </w:rPr>
            </w:pPr>
            <w:r>
              <w:rPr>
                <w:color w:val="000000"/>
                <w:sz w:val="18"/>
                <w:szCs w:val="18"/>
              </w:rPr>
              <w:t>√</w:t>
            </w:r>
          </w:p>
        </w:tc>
        <w:tc>
          <w:tcPr>
            <w:tcW w:w="1890" w:type="dxa"/>
          </w:tcPr>
          <w:p w14:paraId="1C4080AC" w14:textId="77777777" w:rsidR="002C0462" w:rsidRDefault="002C0462" w:rsidP="002C0462">
            <w:pPr>
              <w:jc w:val="center"/>
              <w:rPr>
                <w:rFonts w:ascii="Times New Roman" w:hAnsi="Times New Roman" w:cs="Times New Roman"/>
                <w:color w:val="000000"/>
                <w:sz w:val="18"/>
                <w:szCs w:val="18"/>
              </w:rPr>
            </w:pPr>
          </w:p>
        </w:tc>
      </w:tr>
      <w:tr w:rsidR="002C0462" w14:paraId="5E072440" w14:textId="77777777" w:rsidTr="002C0462">
        <w:trPr>
          <w:trHeight w:val="292"/>
        </w:trPr>
        <w:tc>
          <w:tcPr>
            <w:tcW w:w="1890" w:type="dxa"/>
            <w:shd w:val="clear" w:color="auto" w:fill="D9E2F3" w:themeFill="accent1" w:themeFillTint="33"/>
            <w:noWrap/>
            <w:tcMar>
              <w:top w:w="0" w:type="dxa"/>
              <w:left w:w="108" w:type="dxa"/>
              <w:bottom w:w="0" w:type="dxa"/>
              <w:right w:w="108" w:type="dxa"/>
            </w:tcMar>
            <w:hideMark/>
          </w:tcPr>
          <w:p w14:paraId="7B79E1B5" w14:textId="77777777" w:rsidR="002C0462" w:rsidRDefault="002C0462" w:rsidP="002C0462">
            <w:pPr>
              <w:rPr>
                <w:color w:val="000000"/>
                <w:sz w:val="18"/>
                <w:szCs w:val="18"/>
              </w:rPr>
            </w:pPr>
            <w:r>
              <w:rPr>
                <w:color w:val="000000"/>
                <w:sz w:val="18"/>
                <w:szCs w:val="18"/>
              </w:rPr>
              <w:t>Slovak Republic</w:t>
            </w:r>
          </w:p>
        </w:tc>
        <w:tc>
          <w:tcPr>
            <w:tcW w:w="1690" w:type="dxa"/>
            <w:shd w:val="clear" w:color="auto" w:fill="D9E2F3" w:themeFill="accent1" w:themeFillTint="33"/>
            <w:noWrap/>
            <w:tcMar>
              <w:top w:w="0" w:type="dxa"/>
              <w:left w:w="108" w:type="dxa"/>
              <w:bottom w:w="0" w:type="dxa"/>
              <w:right w:w="108" w:type="dxa"/>
            </w:tcMar>
            <w:hideMark/>
          </w:tcPr>
          <w:p w14:paraId="0DD4DF0F" w14:textId="77777777" w:rsidR="002C0462" w:rsidRDefault="002C0462" w:rsidP="002C0462">
            <w:pPr>
              <w:jc w:val="center"/>
              <w:rPr>
                <w:color w:val="000000"/>
                <w:sz w:val="18"/>
                <w:szCs w:val="18"/>
              </w:rPr>
            </w:pPr>
            <w:r>
              <w:rPr>
                <w:color w:val="000000"/>
                <w:sz w:val="18"/>
                <w:szCs w:val="18"/>
              </w:rPr>
              <w:t>√</w:t>
            </w:r>
          </w:p>
        </w:tc>
        <w:tc>
          <w:tcPr>
            <w:tcW w:w="2000" w:type="dxa"/>
            <w:shd w:val="clear" w:color="auto" w:fill="D9E2F3" w:themeFill="accent1" w:themeFillTint="33"/>
          </w:tcPr>
          <w:p w14:paraId="3A7DF121" w14:textId="77777777" w:rsidR="002C0462" w:rsidRDefault="002C0462" w:rsidP="002C0462">
            <w:pPr>
              <w:jc w:val="center"/>
              <w:rPr>
                <w:rFonts w:ascii="Times New Roman" w:hAnsi="Times New Roman" w:cs="Times New Roman"/>
                <w:color w:val="000000"/>
                <w:sz w:val="18"/>
                <w:szCs w:val="18"/>
              </w:rPr>
            </w:pPr>
          </w:p>
        </w:tc>
        <w:tc>
          <w:tcPr>
            <w:tcW w:w="1890" w:type="dxa"/>
            <w:shd w:val="clear" w:color="auto" w:fill="D9E2F3" w:themeFill="accent1" w:themeFillTint="33"/>
          </w:tcPr>
          <w:p w14:paraId="0C985F0D" w14:textId="77777777" w:rsidR="002C0462" w:rsidRDefault="002C0462" w:rsidP="002C0462">
            <w:pPr>
              <w:jc w:val="center"/>
              <w:rPr>
                <w:rFonts w:ascii="Times New Roman" w:hAnsi="Times New Roman" w:cs="Times New Roman"/>
                <w:color w:val="000000"/>
                <w:sz w:val="18"/>
                <w:szCs w:val="18"/>
              </w:rPr>
            </w:pPr>
            <w:r>
              <w:rPr>
                <w:color w:val="000000"/>
                <w:sz w:val="18"/>
                <w:szCs w:val="18"/>
              </w:rPr>
              <w:t>√</w:t>
            </w:r>
          </w:p>
        </w:tc>
        <w:tc>
          <w:tcPr>
            <w:tcW w:w="1890" w:type="dxa"/>
            <w:shd w:val="clear" w:color="auto" w:fill="D9E2F3" w:themeFill="accent1" w:themeFillTint="33"/>
          </w:tcPr>
          <w:p w14:paraId="4C8323F4" w14:textId="77777777" w:rsidR="002C0462" w:rsidRDefault="002C0462" w:rsidP="002C0462">
            <w:pPr>
              <w:jc w:val="center"/>
              <w:rPr>
                <w:rFonts w:ascii="Times New Roman" w:hAnsi="Times New Roman" w:cs="Times New Roman"/>
                <w:color w:val="000000"/>
                <w:sz w:val="18"/>
                <w:szCs w:val="18"/>
              </w:rPr>
            </w:pPr>
          </w:p>
        </w:tc>
      </w:tr>
      <w:tr w:rsidR="002C0462" w14:paraId="58A002F9" w14:textId="77777777" w:rsidTr="002C0462">
        <w:trPr>
          <w:trHeight w:val="292"/>
        </w:trPr>
        <w:tc>
          <w:tcPr>
            <w:tcW w:w="1890" w:type="dxa"/>
            <w:tcBorders>
              <w:bottom w:val="single" w:sz="4" w:space="0" w:color="4472C4" w:themeColor="accent1"/>
            </w:tcBorders>
            <w:noWrap/>
            <w:tcMar>
              <w:top w:w="0" w:type="dxa"/>
              <w:left w:w="108" w:type="dxa"/>
              <w:bottom w:w="0" w:type="dxa"/>
              <w:right w:w="108" w:type="dxa"/>
            </w:tcMar>
            <w:hideMark/>
          </w:tcPr>
          <w:p w14:paraId="53069892" w14:textId="77777777" w:rsidR="002C0462" w:rsidRDefault="002C0462" w:rsidP="002C0462">
            <w:pPr>
              <w:rPr>
                <w:color w:val="000000"/>
                <w:sz w:val="18"/>
                <w:szCs w:val="18"/>
              </w:rPr>
            </w:pPr>
            <w:r>
              <w:rPr>
                <w:color w:val="000000"/>
                <w:sz w:val="18"/>
                <w:szCs w:val="18"/>
              </w:rPr>
              <w:t>Turkey</w:t>
            </w:r>
          </w:p>
        </w:tc>
        <w:tc>
          <w:tcPr>
            <w:tcW w:w="1690" w:type="dxa"/>
            <w:tcBorders>
              <w:bottom w:val="single" w:sz="4" w:space="0" w:color="4472C4" w:themeColor="accent1"/>
            </w:tcBorders>
            <w:noWrap/>
            <w:tcMar>
              <w:top w:w="0" w:type="dxa"/>
              <w:left w:w="108" w:type="dxa"/>
              <w:bottom w:w="0" w:type="dxa"/>
              <w:right w:w="108" w:type="dxa"/>
            </w:tcMar>
            <w:hideMark/>
          </w:tcPr>
          <w:p w14:paraId="3F17F367" w14:textId="77777777" w:rsidR="002C0462" w:rsidRDefault="002C0462" w:rsidP="002C0462">
            <w:pPr>
              <w:jc w:val="center"/>
              <w:rPr>
                <w:color w:val="000000"/>
                <w:sz w:val="18"/>
                <w:szCs w:val="18"/>
              </w:rPr>
            </w:pPr>
            <w:r>
              <w:rPr>
                <w:color w:val="000000"/>
                <w:sz w:val="18"/>
                <w:szCs w:val="18"/>
              </w:rPr>
              <w:t>√</w:t>
            </w:r>
          </w:p>
        </w:tc>
        <w:tc>
          <w:tcPr>
            <w:tcW w:w="2000" w:type="dxa"/>
            <w:tcBorders>
              <w:bottom w:val="single" w:sz="4" w:space="0" w:color="4472C4" w:themeColor="accent1"/>
            </w:tcBorders>
          </w:tcPr>
          <w:p w14:paraId="14E19282" w14:textId="77777777" w:rsidR="002C0462" w:rsidRDefault="002C0462" w:rsidP="002C0462">
            <w:pPr>
              <w:jc w:val="center"/>
              <w:rPr>
                <w:color w:val="000000"/>
                <w:sz w:val="18"/>
                <w:szCs w:val="18"/>
              </w:rPr>
            </w:pPr>
          </w:p>
        </w:tc>
        <w:tc>
          <w:tcPr>
            <w:tcW w:w="1890" w:type="dxa"/>
            <w:tcBorders>
              <w:bottom w:val="single" w:sz="4" w:space="0" w:color="4472C4" w:themeColor="accent1"/>
            </w:tcBorders>
          </w:tcPr>
          <w:p w14:paraId="2CBE41C5" w14:textId="77777777" w:rsidR="002C0462" w:rsidRDefault="002C0462" w:rsidP="002C0462">
            <w:pPr>
              <w:jc w:val="center"/>
              <w:rPr>
                <w:color w:val="000000"/>
                <w:sz w:val="18"/>
                <w:szCs w:val="18"/>
              </w:rPr>
            </w:pPr>
            <w:r>
              <w:rPr>
                <w:color w:val="000000"/>
                <w:sz w:val="18"/>
                <w:szCs w:val="18"/>
              </w:rPr>
              <w:t>√</w:t>
            </w:r>
          </w:p>
        </w:tc>
        <w:tc>
          <w:tcPr>
            <w:tcW w:w="1890" w:type="dxa"/>
            <w:tcBorders>
              <w:bottom w:val="single" w:sz="4" w:space="0" w:color="4472C4" w:themeColor="accent1"/>
            </w:tcBorders>
          </w:tcPr>
          <w:p w14:paraId="19EDF36B" w14:textId="77777777" w:rsidR="002C0462" w:rsidRDefault="002C0462" w:rsidP="002C0462">
            <w:pPr>
              <w:jc w:val="center"/>
              <w:rPr>
                <w:color w:val="000000"/>
                <w:sz w:val="18"/>
                <w:szCs w:val="18"/>
              </w:rPr>
            </w:pPr>
          </w:p>
        </w:tc>
      </w:tr>
    </w:tbl>
    <w:p w14:paraId="734E914A" w14:textId="77777777" w:rsidR="00E67EB7" w:rsidRPr="00D11FD9" w:rsidRDefault="00E67EB7" w:rsidP="00E67EB7">
      <w:pPr>
        <w:jc w:val="right"/>
        <w:rPr>
          <w:sz w:val="16"/>
          <w:szCs w:val="18"/>
          <w:highlight w:val="yellow"/>
        </w:rPr>
      </w:pPr>
      <w:r w:rsidRPr="00D11FD9">
        <w:rPr>
          <w:i/>
          <w:sz w:val="16"/>
          <w:szCs w:val="18"/>
        </w:rPr>
        <w:t>Source: Product Market Regulation Database OECD 2013 and Armenia Product Market Regulation World Bank 2018</w:t>
      </w:r>
    </w:p>
    <w:p w14:paraId="71C84352" w14:textId="296D4FC5" w:rsidR="00E56AAE" w:rsidRDefault="002C0462" w:rsidP="00246D05">
      <w:pPr>
        <w:pStyle w:val="Heading5"/>
      </w:pPr>
      <w:r>
        <w:t xml:space="preserve"> </w:t>
      </w:r>
      <w:r w:rsidR="00E56AAE">
        <w:t>Agribusiness</w:t>
      </w:r>
    </w:p>
    <w:p w14:paraId="2ACBA484" w14:textId="77777777" w:rsidR="00E56AAE" w:rsidRDefault="00E56AAE" w:rsidP="00E56AAE">
      <w:pPr>
        <w:pStyle w:val="ListParagraph"/>
        <w:spacing w:after="160" w:line="259" w:lineRule="auto"/>
        <w:ind w:left="0"/>
        <w:jc w:val="both"/>
      </w:pPr>
    </w:p>
    <w:p w14:paraId="61731C04" w14:textId="77777777" w:rsidR="00E56AAE" w:rsidRDefault="004E7CE9" w:rsidP="00E56AAE">
      <w:pPr>
        <w:pStyle w:val="ListParagraph"/>
        <w:numPr>
          <w:ilvl w:val="0"/>
          <w:numId w:val="34"/>
        </w:numPr>
        <w:spacing w:after="160" w:line="259" w:lineRule="auto"/>
        <w:ind w:left="0" w:firstLine="0"/>
        <w:jc w:val="both"/>
      </w:pPr>
      <w:r w:rsidRPr="00E56AAE">
        <w:rPr>
          <w:b/>
        </w:rPr>
        <w:t>In general</w:t>
      </w:r>
      <w:r w:rsidR="007863B3" w:rsidRPr="00E56AAE">
        <w:rPr>
          <w:b/>
        </w:rPr>
        <w:t>,</w:t>
      </w:r>
      <w:r w:rsidRPr="00E56AAE">
        <w:rPr>
          <w:b/>
        </w:rPr>
        <w:t xml:space="preserve"> formal </w:t>
      </w:r>
      <w:r w:rsidR="005A7FED" w:rsidRPr="00E56AAE">
        <w:rPr>
          <w:b/>
        </w:rPr>
        <w:t xml:space="preserve">policy and </w:t>
      </w:r>
      <w:r w:rsidR="00817F6F" w:rsidRPr="00E56AAE">
        <w:rPr>
          <w:b/>
        </w:rPr>
        <w:t xml:space="preserve">regulatory </w:t>
      </w:r>
      <w:r w:rsidR="005A7FED" w:rsidRPr="00E56AAE">
        <w:rPr>
          <w:b/>
        </w:rPr>
        <w:t xml:space="preserve">interventions in the agriculture sector appear </w:t>
      </w:r>
      <w:r w:rsidR="007863B3" w:rsidRPr="00E56AAE">
        <w:rPr>
          <w:b/>
        </w:rPr>
        <w:t xml:space="preserve">to be relatively </w:t>
      </w:r>
      <w:r w:rsidR="005A7FED" w:rsidRPr="00E56AAE">
        <w:rPr>
          <w:b/>
        </w:rPr>
        <w:t>unrestrictive to competition</w:t>
      </w:r>
      <w:r w:rsidR="007863B3" w:rsidRPr="00E56AAE">
        <w:rPr>
          <w:b/>
        </w:rPr>
        <w:t xml:space="preserve">. </w:t>
      </w:r>
      <w:r w:rsidR="007863B3" w:rsidRPr="007863B3">
        <w:t>For example, p</w:t>
      </w:r>
      <w:r w:rsidR="007863B3">
        <w:t xml:space="preserve">rices </w:t>
      </w:r>
      <w:r w:rsidR="00115DEA">
        <w:t xml:space="preserve">of agricultural products </w:t>
      </w:r>
      <w:r w:rsidR="007863B3">
        <w:t>are not controlled in any market</w:t>
      </w:r>
      <w:r w:rsidR="00BF1037">
        <w:t xml:space="preserve">, </w:t>
      </w:r>
      <w:r w:rsidR="00115DEA">
        <w:t xml:space="preserve">licenses are generally easily obtainable and license fees are low (license fees for wine production are for example around USD60 per year), and overall subsidies to the agricultural sector are low compared to </w:t>
      </w:r>
      <w:r w:rsidR="00A619D9">
        <w:t>neighboring</w:t>
      </w:r>
      <w:r w:rsidR="00115DEA">
        <w:t xml:space="preserve"> countries (</w:t>
      </w:r>
      <w:r w:rsidR="005A7FED">
        <w:t xml:space="preserve">all direct support to the sector </w:t>
      </w:r>
      <w:r w:rsidR="00A619D9">
        <w:t>totaled</w:t>
      </w:r>
      <w:r w:rsidR="00115DEA">
        <w:t xml:space="preserve"> around c.</w:t>
      </w:r>
      <w:r w:rsidR="005A7FED">
        <w:t xml:space="preserve"> </w:t>
      </w:r>
      <w:r w:rsidR="00115DEA">
        <w:t>USD25 million</w:t>
      </w:r>
      <w:r w:rsidR="005A7FED">
        <w:t xml:space="preserve"> in 2016</w:t>
      </w:r>
      <w:r w:rsidR="00115DEA">
        <w:t>)</w:t>
      </w:r>
      <w:r w:rsidR="005A7FED">
        <w:t>.</w:t>
      </w:r>
    </w:p>
    <w:p w14:paraId="1806AAE9" w14:textId="77777777" w:rsidR="00E56AAE" w:rsidRDefault="00E56AAE" w:rsidP="00E56AAE">
      <w:pPr>
        <w:pStyle w:val="ListParagraph"/>
        <w:spacing w:after="160" w:line="259" w:lineRule="auto"/>
        <w:ind w:left="0"/>
        <w:jc w:val="both"/>
      </w:pPr>
    </w:p>
    <w:p w14:paraId="52D75DDF" w14:textId="77777777" w:rsidR="00E56AAE" w:rsidRDefault="00115DEA" w:rsidP="00E56AAE">
      <w:pPr>
        <w:pStyle w:val="ListParagraph"/>
        <w:numPr>
          <w:ilvl w:val="0"/>
          <w:numId w:val="34"/>
        </w:numPr>
        <w:spacing w:after="160" w:line="259" w:lineRule="auto"/>
        <w:ind w:left="0" w:firstLine="0"/>
        <w:jc w:val="both"/>
      </w:pPr>
      <w:r w:rsidRPr="00E56AAE">
        <w:rPr>
          <w:b/>
        </w:rPr>
        <w:t xml:space="preserve">Subsidized loans for agribusiness firms are the major </w:t>
      </w:r>
      <w:r w:rsidR="006156B9" w:rsidRPr="00E56AAE">
        <w:rPr>
          <w:b/>
        </w:rPr>
        <w:t>form</w:t>
      </w:r>
      <w:r w:rsidRPr="00E56AAE">
        <w:rPr>
          <w:b/>
        </w:rPr>
        <w:t xml:space="preserve"> of subsidy to market play</w:t>
      </w:r>
      <w:r w:rsidR="006156B9" w:rsidRPr="00E56AAE">
        <w:rPr>
          <w:b/>
        </w:rPr>
        <w:t>ers.</w:t>
      </w:r>
      <w:r w:rsidR="006156B9">
        <w:t xml:space="preserve"> These are provided through banks through reduced interest rates. In principle, a</w:t>
      </w:r>
      <w:r>
        <w:t>ny bank is eligible</w:t>
      </w:r>
      <w:r w:rsidR="006156B9">
        <w:t xml:space="preserve"> to be part of the scheme</w:t>
      </w:r>
      <w:r w:rsidR="005A7FED">
        <w:t>,</w:t>
      </w:r>
      <w:r w:rsidR="006156B9">
        <w:t xml:space="preserve"> but participation is ultimately </w:t>
      </w:r>
      <w:r>
        <w:t xml:space="preserve">determined through a negotiation with the Ministry of Agriculture over the subsidy the bank requires from the </w:t>
      </w:r>
      <w:proofErr w:type="spellStart"/>
      <w:r>
        <w:t>GoA</w:t>
      </w:r>
      <w:proofErr w:type="spellEnd"/>
      <w:r>
        <w:t xml:space="preserve"> </w:t>
      </w:r>
      <w:proofErr w:type="gramStart"/>
      <w:r>
        <w:t>in order to</w:t>
      </w:r>
      <w:proofErr w:type="gramEnd"/>
      <w:r>
        <w:t xml:space="preserve"> offer the government’s target interest rate.</w:t>
      </w:r>
      <w:r w:rsidR="000D5E8A">
        <w:rPr>
          <w:rStyle w:val="FootnoteReference"/>
        </w:rPr>
        <w:footnoteReference w:id="27"/>
      </w:r>
      <w:r>
        <w:t xml:space="preserve"> </w:t>
      </w:r>
    </w:p>
    <w:p w14:paraId="2B391AD1" w14:textId="77777777" w:rsidR="00E56AAE" w:rsidRPr="00E56AAE" w:rsidRDefault="00E56AAE" w:rsidP="00E56AAE">
      <w:pPr>
        <w:pStyle w:val="ListParagraph"/>
        <w:rPr>
          <w:b/>
        </w:rPr>
      </w:pPr>
    </w:p>
    <w:p w14:paraId="48C67F7E" w14:textId="77777777" w:rsidR="00E56AAE" w:rsidRDefault="00EB35DE" w:rsidP="00E56AAE">
      <w:pPr>
        <w:pStyle w:val="ListParagraph"/>
        <w:numPr>
          <w:ilvl w:val="0"/>
          <w:numId w:val="34"/>
        </w:numPr>
        <w:spacing w:after="160" w:line="259" w:lineRule="auto"/>
        <w:ind w:left="0" w:firstLine="0"/>
        <w:jc w:val="both"/>
      </w:pPr>
      <w:r w:rsidRPr="00E56AAE">
        <w:rPr>
          <w:b/>
        </w:rPr>
        <w:t xml:space="preserve">There have been </w:t>
      </w:r>
      <w:r w:rsidR="0049518B" w:rsidRPr="00E56AAE">
        <w:rPr>
          <w:b/>
        </w:rPr>
        <w:t xml:space="preserve">some </w:t>
      </w:r>
      <w:r w:rsidRPr="00E56AAE">
        <w:rPr>
          <w:b/>
        </w:rPr>
        <w:t xml:space="preserve">reforms in the structure of the fertilizer subsidy scheme in recent years. </w:t>
      </w:r>
      <w:proofErr w:type="spellStart"/>
      <w:r w:rsidR="00115DEA">
        <w:t>GoA</w:t>
      </w:r>
      <w:proofErr w:type="spellEnd"/>
      <w:r w:rsidR="00115DEA">
        <w:t xml:space="preserve"> had previousl</w:t>
      </w:r>
      <w:r w:rsidR="006156B9">
        <w:t>y</w:t>
      </w:r>
      <w:r w:rsidR="00115DEA">
        <w:t xml:space="preserve"> directly distributed subsidized fertilizer</w:t>
      </w:r>
      <w:r>
        <w:t xml:space="preserve"> to farmer</w:t>
      </w:r>
      <w:r w:rsidR="000D7BA5">
        <w:t>s</w:t>
      </w:r>
      <w:r>
        <w:t xml:space="preserve"> but in </w:t>
      </w:r>
      <w:r w:rsidR="00115DEA">
        <w:t>recent years</w:t>
      </w:r>
      <w:r>
        <w:t xml:space="preserve"> (since 2015/2016) had </w:t>
      </w:r>
      <w:r w:rsidR="00115DEA">
        <w:t>started holding tenders for private sector distribution under the subsidy scheme</w:t>
      </w:r>
      <w:r>
        <w:t>. There have now been some moves to remove the subsidy on nitrogen fertilizer</w:t>
      </w:r>
      <w:r w:rsidR="00115DEA">
        <w:t>.</w:t>
      </w:r>
      <w:r w:rsidR="000D5E8A">
        <w:rPr>
          <w:rStyle w:val="FootnoteReference"/>
        </w:rPr>
        <w:footnoteReference w:id="28"/>
      </w:r>
      <w:r>
        <w:t xml:space="preserve"> However, further details of these reforms could not be gathered during the mission and there</w:t>
      </w:r>
      <w:r w:rsidR="00115DEA">
        <w:t xml:space="preserve"> have been no market studies to assess the results</w:t>
      </w:r>
      <w:r>
        <w:t xml:space="preserve"> of these</w:t>
      </w:r>
      <w:r w:rsidR="00115DEA">
        <w:t xml:space="preserve"> reform</w:t>
      </w:r>
      <w:r>
        <w:t>s in terms of new entry or fertilizer availability</w:t>
      </w:r>
      <w:r w:rsidR="00115DEA">
        <w:t>.</w:t>
      </w:r>
      <w:r w:rsidR="00D65303">
        <w:t xml:space="preserve"> The </w:t>
      </w:r>
      <w:proofErr w:type="spellStart"/>
      <w:r w:rsidR="00D65303">
        <w:t>GoA</w:t>
      </w:r>
      <w:proofErr w:type="spellEnd"/>
      <w:r w:rsidR="00D65303">
        <w:t xml:space="preserve"> continues to </w:t>
      </w:r>
      <w:r w:rsidR="0049518B">
        <w:t>subsidize potassium and phosphate fertilizers (33% and 46% of the market price respectively up to a total amount of around USD590,000), as well as subsidizing diesel for farmers.</w:t>
      </w:r>
    </w:p>
    <w:p w14:paraId="0215EE20" w14:textId="77777777" w:rsidR="00E56AAE" w:rsidRPr="00E56AAE" w:rsidRDefault="00E56AAE" w:rsidP="00E56AAE">
      <w:pPr>
        <w:pStyle w:val="ListParagraph"/>
        <w:rPr>
          <w:b/>
        </w:rPr>
      </w:pPr>
    </w:p>
    <w:p w14:paraId="1E5D03F0" w14:textId="77777777" w:rsidR="00E56AAE" w:rsidRDefault="0049518B" w:rsidP="00E56AAE">
      <w:pPr>
        <w:pStyle w:val="ListParagraph"/>
        <w:numPr>
          <w:ilvl w:val="0"/>
          <w:numId w:val="34"/>
        </w:numPr>
        <w:spacing w:after="160" w:line="259" w:lineRule="auto"/>
        <w:ind w:left="0" w:firstLine="0"/>
        <w:jc w:val="both"/>
      </w:pPr>
      <w:r w:rsidRPr="00E56AAE">
        <w:rPr>
          <w:b/>
        </w:rPr>
        <w:t>There appears to be one large</w:t>
      </w:r>
      <w:r w:rsidR="00435981" w:rsidRPr="00E56AAE">
        <w:rPr>
          <w:b/>
        </w:rPr>
        <w:t xml:space="preserve"> Russian</w:t>
      </w:r>
      <w:r w:rsidRPr="00E56AAE">
        <w:rPr>
          <w:b/>
        </w:rPr>
        <w:t xml:space="preserve"> importer of </w:t>
      </w:r>
      <w:r w:rsidR="00435981" w:rsidRPr="00E56AAE">
        <w:rPr>
          <w:b/>
        </w:rPr>
        <w:t>seed</w:t>
      </w:r>
      <w:r w:rsidRPr="00E56AAE">
        <w:rPr>
          <w:b/>
        </w:rPr>
        <w:t>.</w:t>
      </w:r>
      <w:r>
        <w:t xml:space="preserve"> </w:t>
      </w:r>
      <w:r w:rsidR="00115DEA">
        <w:t xml:space="preserve">There is </w:t>
      </w:r>
      <w:r>
        <w:t>currently</w:t>
      </w:r>
      <w:r w:rsidR="00115DEA">
        <w:t xml:space="preserve"> no seed research facility in Armenia</w:t>
      </w:r>
      <w:r>
        <w:t xml:space="preserve"> and only</w:t>
      </w:r>
      <w:r w:rsidR="00115DEA">
        <w:t xml:space="preserve"> some very limited breeding.</w:t>
      </w:r>
    </w:p>
    <w:p w14:paraId="716CDE83" w14:textId="77777777" w:rsidR="00E56AAE" w:rsidRPr="00E56AAE" w:rsidRDefault="00E56AAE" w:rsidP="00E56AAE">
      <w:pPr>
        <w:pStyle w:val="ListParagraph"/>
        <w:rPr>
          <w:b/>
        </w:rPr>
      </w:pPr>
    </w:p>
    <w:p w14:paraId="78A12DA4" w14:textId="77777777" w:rsidR="00E56AAE" w:rsidRDefault="00115DEA" w:rsidP="00E56AAE">
      <w:pPr>
        <w:pStyle w:val="ListParagraph"/>
        <w:numPr>
          <w:ilvl w:val="0"/>
          <w:numId w:val="34"/>
        </w:numPr>
        <w:spacing w:after="160" w:line="259" w:lineRule="auto"/>
        <w:ind w:left="0" w:firstLine="0"/>
        <w:jc w:val="both"/>
      </w:pPr>
      <w:r w:rsidRPr="00E56AAE">
        <w:rPr>
          <w:b/>
        </w:rPr>
        <w:t xml:space="preserve">A major objective for </w:t>
      </w:r>
      <w:proofErr w:type="spellStart"/>
      <w:r w:rsidRPr="00E56AAE">
        <w:rPr>
          <w:b/>
        </w:rPr>
        <w:t>GoA</w:t>
      </w:r>
      <w:proofErr w:type="spellEnd"/>
      <w:r w:rsidRPr="00E56AAE">
        <w:rPr>
          <w:b/>
        </w:rPr>
        <w:t xml:space="preserve"> is boosting the currently relatively low </w:t>
      </w:r>
      <w:r w:rsidR="002269A9" w:rsidRPr="00E56AAE">
        <w:rPr>
          <w:b/>
        </w:rPr>
        <w:t xml:space="preserve">productivity </w:t>
      </w:r>
      <w:r w:rsidRPr="00E56AAE">
        <w:rPr>
          <w:b/>
        </w:rPr>
        <w:t xml:space="preserve">of Armenian </w:t>
      </w:r>
      <w:r w:rsidR="0049518B" w:rsidRPr="00E56AAE">
        <w:rPr>
          <w:b/>
        </w:rPr>
        <w:t xml:space="preserve">agriculture which </w:t>
      </w:r>
      <w:r w:rsidR="00135012" w:rsidRPr="00E56AAE">
        <w:rPr>
          <w:b/>
        </w:rPr>
        <w:t>is attributed</w:t>
      </w:r>
      <w:r w:rsidR="002269A9" w:rsidRPr="00E56AAE">
        <w:rPr>
          <w:b/>
        </w:rPr>
        <w:t xml:space="preserve"> mainly </w:t>
      </w:r>
      <w:r w:rsidR="00135012" w:rsidRPr="00E56AAE">
        <w:rPr>
          <w:b/>
        </w:rPr>
        <w:t xml:space="preserve">to the </w:t>
      </w:r>
      <w:r w:rsidR="002269A9" w:rsidRPr="00E56AAE">
        <w:rPr>
          <w:b/>
        </w:rPr>
        <w:t>small size</w:t>
      </w:r>
      <w:r w:rsidR="00135012" w:rsidRPr="00E56AAE">
        <w:rPr>
          <w:b/>
        </w:rPr>
        <w:t xml:space="preserve"> of landholdings</w:t>
      </w:r>
      <w:r w:rsidR="002269A9" w:rsidRPr="00E56AAE">
        <w:rPr>
          <w:b/>
        </w:rPr>
        <w:t xml:space="preserve">. </w:t>
      </w:r>
      <w:r w:rsidR="002269A9">
        <w:t>The governme</w:t>
      </w:r>
      <w:r>
        <w:t>n</w:t>
      </w:r>
      <w:r w:rsidR="002269A9">
        <w:t>t is looking to implement</w:t>
      </w:r>
      <w:r w:rsidR="0002341E">
        <w:t xml:space="preserve"> a policy of</w:t>
      </w:r>
      <w:r w:rsidR="002269A9">
        <w:t xml:space="preserve"> </w:t>
      </w:r>
      <w:r w:rsidR="0002341E" w:rsidRPr="0002341E">
        <w:t>p</w:t>
      </w:r>
      <w:r w:rsidR="002269A9" w:rsidRPr="0002341E">
        <w:t>rogressive</w:t>
      </w:r>
      <w:r w:rsidR="000D7BA5">
        <w:t>ly</w:t>
      </w:r>
      <w:r w:rsidR="002269A9" w:rsidRPr="0002341E">
        <w:t xml:space="preserve"> taxing of </w:t>
      </w:r>
      <w:r w:rsidR="0002341E">
        <w:t xml:space="preserve">idle </w:t>
      </w:r>
      <w:r w:rsidR="002269A9" w:rsidRPr="0002341E">
        <w:t>lands</w:t>
      </w:r>
      <w:r w:rsidR="0002341E">
        <w:t xml:space="preserve"> </w:t>
      </w:r>
      <w:r w:rsidR="002269A9" w:rsidRPr="0002341E">
        <w:t>as well as providing direc</w:t>
      </w:r>
      <w:r w:rsidR="006156B9" w:rsidRPr="0002341E">
        <w:t>t support to landowners on land</w:t>
      </w:r>
      <w:r w:rsidR="0002341E">
        <w:t xml:space="preserve"> (although it is not clear whether this part of a broader investment promotion strategy)</w:t>
      </w:r>
      <w:r w:rsidR="006156B9" w:rsidRPr="0002341E">
        <w:t>.</w:t>
      </w:r>
      <w:r w:rsidR="006156B9" w:rsidRPr="00E56AAE">
        <w:rPr>
          <w:b/>
        </w:rPr>
        <w:t xml:space="preserve"> </w:t>
      </w:r>
      <w:r w:rsidR="006156B9" w:rsidRPr="0002341E">
        <w:t>In previous years</w:t>
      </w:r>
      <w:r w:rsidR="0002341E">
        <w:t>,</w:t>
      </w:r>
      <w:r w:rsidR="006156B9" w:rsidRPr="0002341E">
        <w:t xml:space="preserve"> </w:t>
      </w:r>
      <w:r w:rsidR="006156B9">
        <w:t xml:space="preserve">the Ministry of Agriculture </w:t>
      </w:r>
      <w:r w:rsidR="0002341E">
        <w:t xml:space="preserve">had </w:t>
      </w:r>
      <w:r w:rsidR="006156B9">
        <w:t>proposed subsidies for returning of non-utilized agricultural land into cultivation.</w:t>
      </w:r>
    </w:p>
    <w:p w14:paraId="5A60D5B4" w14:textId="77777777" w:rsidR="00E56AAE" w:rsidRPr="00E56AAE" w:rsidRDefault="00E56AAE" w:rsidP="00E56AAE">
      <w:pPr>
        <w:pStyle w:val="ListParagraph"/>
        <w:rPr>
          <w:b/>
        </w:rPr>
      </w:pPr>
    </w:p>
    <w:p w14:paraId="4FF32E3C" w14:textId="77777777" w:rsidR="00E56AAE" w:rsidRDefault="0002341E" w:rsidP="00E56AAE">
      <w:pPr>
        <w:pStyle w:val="ListParagraph"/>
        <w:numPr>
          <w:ilvl w:val="0"/>
          <w:numId w:val="34"/>
        </w:numPr>
        <w:spacing w:after="160" w:line="259" w:lineRule="auto"/>
        <w:ind w:left="0" w:firstLine="0"/>
        <w:jc w:val="both"/>
      </w:pPr>
      <w:r w:rsidRPr="00E56AAE">
        <w:rPr>
          <w:b/>
        </w:rPr>
        <w:t xml:space="preserve">The </w:t>
      </w:r>
      <w:proofErr w:type="spellStart"/>
      <w:r w:rsidRPr="00E56AAE">
        <w:rPr>
          <w:b/>
        </w:rPr>
        <w:t>GoA</w:t>
      </w:r>
      <w:proofErr w:type="spellEnd"/>
      <w:r w:rsidRPr="00E56AAE">
        <w:rPr>
          <w:b/>
        </w:rPr>
        <w:t xml:space="preserve"> is also aiming to encourage the use of contract farming which is n</w:t>
      </w:r>
      <w:r w:rsidR="004B134D" w:rsidRPr="00E56AAE">
        <w:rPr>
          <w:b/>
        </w:rPr>
        <w:t>ot widely used except in wine and brandy production</w:t>
      </w:r>
      <w:r w:rsidRPr="00177952">
        <w:t xml:space="preserve">. The strategy for pursuing this objective is not clear but it would be important to ensure that </w:t>
      </w:r>
      <w:r w:rsidR="00CC2F76">
        <w:t xml:space="preserve">while such </w:t>
      </w:r>
      <w:r w:rsidRPr="00177952">
        <w:t>contracts</w:t>
      </w:r>
      <w:r w:rsidR="00CC2F76">
        <w:t xml:space="preserve"> can be highly efficient, they should be</w:t>
      </w:r>
      <w:r w:rsidRPr="00177952">
        <w:t xml:space="preserve"> designed in a way that </w:t>
      </w:r>
      <w:r w:rsidR="00CC2F76">
        <w:t xml:space="preserve">does not </w:t>
      </w:r>
      <w:r w:rsidRPr="00177952">
        <w:t>unnecessarily hinder competition.</w:t>
      </w:r>
    </w:p>
    <w:p w14:paraId="3F419774" w14:textId="77777777" w:rsidR="00E56AAE" w:rsidRPr="00E56AAE" w:rsidRDefault="00E56AAE" w:rsidP="00E56AAE">
      <w:pPr>
        <w:pStyle w:val="ListParagraph"/>
        <w:rPr>
          <w:b/>
        </w:rPr>
      </w:pPr>
    </w:p>
    <w:p w14:paraId="525C06F2" w14:textId="77777777" w:rsidR="00E56AAE" w:rsidRDefault="005B2791" w:rsidP="00E56AAE">
      <w:pPr>
        <w:pStyle w:val="ListParagraph"/>
        <w:numPr>
          <w:ilvl w:val="0"/>
          <w:numId w:val="34"/>
        </w:numPr>
        <w:spacing w:after="160" w:line="259" w:lineRule="auto"/>
        <w:ind w:left="0" w:firstLine="0"/>
        <w:jc w:val="both"/>
      </w:pPr>
      <w:r w:rsidRPr="00E56AAE">
        <w:rPr>
          <w:b/>
        </w:rPr>
        <w:t>Coordination by processors in a</w:t>
      </w:r>
      <w:r w:rsidR="00A8528B" w:rsidRPr="00E56AAE">
        <w:rPr>
          <w:b/>
        </w:rPr>
        <w:t xml:space="preserve">gricultural associations may </w:t>
      </w:r>
      <w:r w:rsidRPr="00E56AAE">
        <w:rPr>
          <w:b/>
        </w:rPr>
        <w:t xml:space="preserve">affect price formation – leading to protests over low farmgate prices. </w:t>
      </w:r>
      <w:r w:rsidR="00A8528B" w:rsidRPr="00177952">
        <w:t>The Ministry of Agriculture has recently been concerned with protests from grape farmers</w:t>
      </w:r>
      <w:r w:rsidR="00D24794" w:rsidRPr="00177952">
        <w:t xml:space="preserve"> regarding the</w:t>
      </w:r>
      <w:r w:rsidR="00A8528B" w:rsidRPr="00177952">
        <w:t xml:space="preserve"> farmgate price they </w:t>
      </w:r>
      <w:r w:rsidR="00D24794" w:rsidRPr="00177952">
        <w:t>receive.</w:t>
      </w:r>
      <w:r w:rsidR="00A8528B" w:rsidRPr="00E56AAE">
        <w:rPr>
          <w:b/>
        </w:rPr>
        <w:t xml:space="preserve"> </w:t>
      </w:r>
      <w:r w:rsidR="00A8528B" w:rsidRPr="00177952">
        <w:t>While there is no formal regulation on prices, it is well known that all vineyards set the same price for purchasing grapes.</w:t>
      </w:r>
      <w:r w:rsidRPr="00177952">
        <w:t xml:space="preserve"> This price is transparently announced in the markets. The presence of a vineyards association and transparency on prices may facilitate this type of agreement on price which can depress the farmgate price. Vineyards claim that their prices reflect the relatively low quality/lesser variety of the grape they receive – although it is not clear whether farmers have the ability/incentive to grow better varieties given the price they receive.</w:t>
      </w:r>
    </w:p>
    <w:p w14:paraId="2F834888" w14:textId="77777777" w:rsidR="00E56AAE" w:rsidRPr="00E56AAE" w:rsidRDefault="00E56AAE" w:rsidP="00E56AAE">
      <w:pPr>
        <w:pStyle w:val="ListParagraph"/>
        <w:rPr>
          <w:b/>
        </w:rPr>
      </w:pPr>
    </w:p>
    <w:p w14:paraId="5A826258" w14:textId="36B702CD" w:rsidR="0002341E" w:rsidRPr="007F6AA2" w:rsidRDefault="007F6AA2" w:rsidP="00E56AAE">
      <w:pPr>
        <w:pStyle w:val="ListParagraph"/>
        <w:numPr>
          <w:ilvl w:val="0"/>
          <w:numId w:val="34"/>
        </w:numPr>
        <w:spacing w:after="160" w:line="259" w:lineRule="auto"/>
        <w:ind w:left="0" w:firstLine="0"/>
        <w:jc w:val="both"/>
      </w:pPr>
      <w:r w:rsidRPr="00E56AAE">
        <w:rPr>
          <w:b/>
        </w:rPr>
        <w:t>The main drivers of an u</w:t>
      </w:r>
      <w:r w:rsidR="0002341E" w:rsidRPr="00E56AAE">
        <w:rPr>
          <w:b/>
        </w:rPr>
        <w:t xml:space="preserve">nlevel playing field for processors </w:t>
      </w:r>
      <w:r w:rsidR="009D295E">
        <w:rPr>
          <w:b/>
        </w:rPr>
        <w:t>in the agriculture sector were reported</w:t>
      </w:r>
      <w:r w:rsidR="009D295E" w:rsidRPr="00E56AAE">
        <w:rPr>
          <w:b/>
        </w:rPr>
        <w:t xml:space="preserve"> </w:t>
      </w:r>
      <w:r w:rsidRPr="00E56AAE">
        <w:rPr>
          <w:b/>
        </w:rPr>
        <w:t>to be more informal factors</w:t>
      </w:r>
      <w:r w:rsidR="009D295E">
        <w:rPr>
          <w:b/>
        </w:rPr>
        <w:t xml:space="preserve">, </w:t>
      </w:r>
      <w:r w:rsidR="009D295E" w:rsidRPr="00246D05">
        <w:t>such as</w:t>
      </w:r>
      <w:r w:rsidR="0002341E" w:rsidRPr="007F6AA2">
        <w:t>:</w:t>
      </w:r>
    </w:p>
    <w:p w14:paraId="5703BB1C" w14:textId="77777777" w:rsidR="0002341E" w:rsidRDefault="0002341E" w:rsidP="00246D05">
      <w:pPr>
        <w:pStyle w:val="ListParagraph"/>
        <w:numPr>
          <w:ilvl w:val="0"/>
          <w:numId w:val="7"/>
        </w:numPr>
        <w:jc w:val="both"/>
      </w:pPr>
      <w:r w:rsidRPr="006D6CD1">
        <w:rPr>
          <w:i/>
        </w:rPr>
        <w:t>Ad hoc</w:t>
      </w:r>
      <w:r>
        <w:t xml:space="preserve"> tax audits for </w:t>
      </w:r>
      <w:r w:rsidR="00940674">
        <w:t xml:space="preserve">certain </w:t>
      </w:r>
      <w:r>
        <w:t>unconnected players</w:t>
      </w:r>
      <w:r w:rsidR="00435981">
        <w:t xml:space="preserve"> were common before the change in government.</w:t>
      </w:r>
    </w:p>
    <w:p w14:paraId="452E05A7" w14:textId="77777777" w:rsidR="0002341E" w:rsidRDefault="0002341E" w:rsidP="00246D05">
      <w:pPr>
        <w:pStyle w:val="ListParagraph"/>
        <w:numPr>
          <w:ilvl w:val="0"/>
          <w:numId w:val="7"/>
        </w:numPr>
        <w:jc w:val="both"/>
      </w:pPr>
      <w:r>
        <w:t>Differences</w:t>
      </w:r>
      <w:r w:rsidR="006F392A">
        <w:t xml:space="preserve"> between firms</w:t>
      </w:r>
      <w:r>
        <w:t xml:space="preserve"> in the period </w:t>
      </w:r>
      <w:r w:rsidR="00435981">
        <w:t>of VAT refunds</w:t>
      </w:r>
      <w:r w:rsidR="00A53E8D">
        <w:t xml:space="preserve"> for exporters</w:t>
      </w:r>
      <w:r w:rsidR="00435981">
        <w:t xml:space="preserve"> </w:t>
      </w:r>
      <w:r>
        <w:t>(</w:t>
      </w:r>
      <w:r w:rsidR="00435981">
        <w:t xml:space="preserve">even after </w:t>
      </w:r>
      <w:r w:rsidR="00940674">
        <w:t xml:space="preserve">recent </w:t>
      </w:r>
      <w:r w:rsidR="00435981">
        <w:t>reform</w:t>
      </w:r>
      <w:r w:rsidR="00940674">
        <w:t>s,</w:t>
      </w:r>
      <w:r w:rsidR="00435981">
        <w:t xml:space="preserve"> the </w:t>
      </w:r>
      <w:r>
        <w:t xml:space="preserve">refund period varies from </w:t>
      </w:r>
      <w:r w:rsidR="00940674">
        <w:t>3 to 98</w:t>
      </w:r>
      <w:r>
        <w:t xml:space="preserve"> days).</w:t>
      </w:r>
    </w:p>
    <w:p w14:paraId="119BA167" w14:textId="77777777" w:rsidR="00E56AAE" w:rsidRDefault="00940674" w:rsidP="00246D05">
      <w:pPr>
        <w:pStyle w:val="ListParagraph"/>
        <w:numPr>
          <w:ilvl w:val="0"/>
          <w:numId w:val="7"/>
        </w:numPr>
        <w:jc w:val="both"/>
      </w:pPr>
      <w:r>
        <w:t>Smaller or u</w:t>
      </w:r>
      <w:r w:rsidR="004E66CE">
        <w:t xml:space="preserve">nconnected players are reluctant to </w:t>
      </w:r>
      <w:r>
        <w:t xml:space="preserve">enter </w:t>
      </w:r>
      <w:r w:rsidR="004E66CE">
        <w:t xml:space="preserve">public </w:t>
      </w:r>
      <w:r>
        <w:t>tenders</w:t>
      </w:r>
      <w:r w:rsidR="00902D9C">
        <w:t xml:space="preserve"> to supply their products</w:t>
      </w:r>
      <w:r>
        <w:t xml:space="preserve"> given low likelihood of selection.</w:t>
      </w:r>
      <w:bookmarkEnd w:id="18"/>
    </w:p>
    <w:p w14:paraId="1A8B95B5" w14:textId="77777777" w:rsidR="005B2F17" w:rsidRDefault="005B2F17" w:rsidP="002F67D1">
      <w:pPr>
        <w:jc w:val="both"/>
      </w:pPr>
    </w:p>
    <w:p w14:paraId="37FBD790" w14:textId="77777777" w:rsidR="009E60F2" w:rsidRDefault="009E60F2" w:rsidP="00246D05">
      <w:pPr>
        <w:pStyle w:val="Heading4"/>
      </w:pPr>
      <w:r>
        <w:t>Embedding competition principles in public policies</w:t>
      </w:r>
    </w:p>
    <w:p w14:paraId="53897525" w14:textId="77777777" w:rsidR="00E56AAE" w:rsidRDefault="00E56AAE" w:rsidP="009E60F2">
      <w:pPr>
        <w:jc w:val="both"/>
      </w:pPr>
    </w:p>
    <w:p w14:paraId="5990BB39" w14:textId="01395699" w:rsidR="00E56AAE" w:rsidRPr="00E56AAE" w:rsidRDefault="002F408E" w:rsidP="00E56AAE">
      <w:pPr>
        <w:pStyle w:val="ListParagraph"/>
        <w:numPr>
          <w:ilvl w:val="0"/>
          <w:numId w:val="34"/>
        </w:numPr>
        <w:spacing w:after="160" w:line="259" w:lineRule="auto"/>
        <w:ind w:left="0" w:firstLine="0"/>
        <w:jc w:val="both"/>
      </w:pPr>
      <w:r w:rsidRPr="00E56AAE">
        <w:rPr>
          <w:rFonts w:cstheme="minorHAnsi"/>
          <w:b/>
        </w:rPr>
        <w:t xml:space="preserve">For the last </w:t>
      </w:r>
      <w:r w:rsidR="00383CD1">
        <w:rPr>
          <w:rFonts w:cstheme="minorHAnsi"/>
          <w:b/>
        </w:rPr>
        <w:t>two</w:t>
      </w:r>
      <w:r w:rsidRPr="00E56AAE">
        <w:rPr>
          <w:rFonts w:cstheme="minorHAnsi"/>
          <w:b/>
        </w:rPr>
        <w:t xml:space="preserve"> to </w:t>
      </w:r>
      <w:r w:rsidR="00383CD1">
        <w:rPr>
          <w:rFonts w:cstheme="minorHAnsi"/>
          <w:b/>
        </w:rPr>
        <w:t>three</w:t>
      </w:r>
      <w:r w:rsidRPr="00E56AAE">
        <w:rPr>
          <w:rFonts w:cstheme="minorHAnsi"/>
          <w:b/>
        </w:rPr>
        <w:t xml:space="preserve"> years,</w:t>
      </w:r>
      <w:r w:rsidR="00E63151">
        <w:rPr>
          <w:rFonts w:cstheme="minorHAnsi"/>
          <w:b/>
        </w:rPr>
        <w:t xml:space="preserve"> before a recent restructuring of the Regulatory </w:t>
      </w:r>
      <w:r w:rsidR="00B53905">
        <w:rPr>
          <w:rFonts w:cstheme="minorHAnsi"/>
          <w:b/>
        </w:rPr>
        <w:t>Impact</w:t>
      </w:r>
      <w:r w:rsidR="00E63151">
        <w:rPr>
          <w:rFonts w:cstheme="minorHAnsi"/>
          <w:b/>
        </w:rPr>
        <w:t xml:space="preserve"> Assessment (RIA) process,</w:t>
      </w:r>
      <w:r w:rsidRPr="00E56AAE">
        <w:rPr>
          <w:rFonts w:cstheme="minorHAnsi"/>
          <w:b/>
        </w:rPr>
        <w:t xml:space="preserve"> the N</w:t>
      </w:r>
      <w:r w:rsidR="007641B8" w:rsidRPr="00E56AAE">
        <w:rPr>
          <w:rFonts w:cstheme="minorHAnsi"/>
          <w:b/>
        </w:rPr>
        <w:t xml:space="preserve">ational </w:t>
      </w:r>
      <w:r w:rsidRPr="00E56AAE">
        <w:rPr>
          <w:rFonts w:cstheme="minorHAnsi"/>
          <w:b/>
        </w:rPr>
        <w:t>C</w:t>
      </w:r>
      <w:r w:rsidR="007641B8" w:rsidRPr="00E56AAE">
        <w:rPr>
          <w:rFonts w:cstheme="minorHAnsi"/>
          <w:b/>
        </w:rPr>
        <w:t xml:space="preserve">enter for </w:t>
      </w:r>
      <w:r w:rsidRPr="00E56AAE">
        <w:rPr>
          <w:rFonts w:cstheme="minorHAnsi"/>
          <w:b/>
        </w:rPr>
        <w:t>L</w:t>
      </w:r>
      <w:r w:rsidR="007641B8" w:rsidRPr="00E56AAE">
        <w:rPr>
          <w:rFonts w:cstheme="minorHAnsi"/>
          <w:b/>
        </w:rPr>
        <w:t xml:space="preserve">egislative </w:t>
      </w:r>
      <w:r w:rsidRPr="00E56AAE">
        <w:rPr>
          <w:rFonts w:cstheme="minorHAnsi"/>
          <w:b/>
        </w:rPr>
        <w:t>R</w:t>
      </w:r>
      <w:r w:rsidR="007641B8" w:rsidRPr="00E56AAE">
        <w:rPr>
          <w:rFonts w:cstheme="minorHAnsi"/>
          <w:b/>
        </w:rPr>
        <w:t>eform</w:t>
      </w:r>
      <w:r w:rsidRPr="00E56AAE">
        <w:rPr>
          <w:rFonts w:cstheme="minorHAnsi"/>
          <w:b/>
        </w:rPr>
        <w:t xml:space="preserve"> </w:t>
      </w:r>
      <w:r w:rsidR="005F4432">
        <w:rPr>
          <w:rFonts w:cstheme="minorHAnsi"/>
          <w:b/>
        </w:rPr>
        <w:t xml:space="preserve">was </w:t>
      </w:r>
      <w:r w:rsidRPr="00E56AAE">
        <w:rPr>
          <w:rFonts w:cstheme="minorHAnsi"/>
          <w:b/>
        </w:rPr>
        <w:t xml:space="preserve">applying a checklist of competition issues as part of </w:t>
      </w:r>
      <w:r w:rsidR="00DD3790" w:rsidRPr="00E56AAE">
        <w:rPr>
          <w:rFonts w:cstheme="minorHAnsi"/>
          <w:b/>
        </w:rPr>
        <w:t>the</w:t>
      </w:r>
      <w:r w:rsidRPr="00E56AAE">
        <w:rPr>
          <w:rFonts w:cstheme="minorHAnsi"/>
          <w:b/>
        </w:rPr>
        <w:t xml:space="preserve"> Assessment system. </w:t>
      </w:r>
      <w:r w:rsidRPr="00E56AAE">
        <w:rPr>
          <w:rFonts w:cstheme="minorHAnsi"/>
        </w:rPr>
        <w:t xml:space="preserve">To date, of 45 regulations that have been subject to </w:t>
      </w:r>
      <w:proofErr w:type="gramStart"/>
      <w:r w:rsidRPr="00E56AAE">
        <w:rPr>
          <w:rFonts w:cstheme="minorHAnsi"/>
        </w:rPr>
        <w:t>a</w:t>
      </w:r>
      <w:proofErr w:type="gramEnd"/>
      <w:r w:rsidRPr="00E56AAE">
        <w:rPr>
          <w:rFonts w:cstheme="minorHAnsi"/>
        </w:rPr>
        <w:t xml:space="preserve"> RIA, 16 have been identified as having negative impacts on competition. The competition checklist is based on questions that help understand whether a proposed regulation restricts the ability and incentives of firms to enter and compete.</w:t>
      </w:r>
      <w:r w:rsidR="00ED2DAC" w:rsidRPr="00E56AAE">
        <w:rPr>
          <w:rFonts w:cstheme="minorHAnsi"/>
        </w:rPr>
        <w:t xml:space="preserve"> Where negative effects on competition </w:t>
      </w:r>
      <w:r w:rsidR="00470AFC" w:rsidRPr="00E56AAE">
        <w:rPr>
          <w:rFonts w:cstheme="minorHAnsi"/>
        </w:rPr>
        <w:t xml:space="preserve">appear to be present the NCLR </w:t>
      </w:r>
      <w:r w:rsidR="005F4432">
        <w:rPr>
          <w:rFonts w:cstheme="minorHAnsi"/>
        </w:rPr>
        <w:t>was</w:t>
      </w:r>
      <w:r w:rsidR="005F4432" w:rsidRPr="00E56AAE">
        <w:rPr>
          <w:rFonts w:cstheme="minorHAnsi"/>
        </w:rPr>
        <w:t xml:space="preserve"> </w:t>
      </w:r>
      <w:r w:rsidR="00470AFC" w:rsidRPr="00E56AAE">
        <w:rPr>
          <w:rFonts w:cstheme="minorHAnsi"/>
        </w:rPr>
        <w:t>responsible for proposing a less distortive alternative.</w:t>
      </w:r>
    </w:p>
    <w:p w14:paraId="206B5905" w14:textId="77777777" w:rsidR="00E56AAE" w:rsidRPr="00E56AAE" w:rsidRDefault="00E56AAE" w:rsidP="00E56AAE">
      <w:pPr>
        <w:pStyle w:val="ListParagraph"/>
        <w:rPr>
          <w:rFonts w:cstheme="minorHAnsi"/>
          <w:b/>
        </w:rPr>
      </w:pPr>
    </w:p>
    <w:p w14:paraId="5142CA17" w14:textId="75411215" w:rsidR="00350D6D" w:rsidRPr="002F408E" w:rsidRDefault="002F408E" w:rsidP="00246D05">
      <w:pPr>
        <w:pStyle w:val="ListParagraph"/>
        <w:numPr>
          <w:ilvl w:val="0"/>
          <w:numId w:val="34"/>
        </w:numPr>
        <w:spacing w:after="160" w:line="259" w:lineRule="auto"/>
        <w:ind w:left="0" w:firstLine="0"/>
        <w:jc w:val="both"/>
        <w:rPr>
          <w:rFonts w:cstheme="minorHAnsi"/>
          <w:b/>
        </w:rPr>
      </w:pPr>
      <w:r w:rsidRPr="00E56AAE">
        <w:rPr>
          <w:rFonts w:cstheme="minorHAnsi"/>
          <w:b/>
        </w:rPr>
        <w:t>The competition checklist and its implementation show room for improvement</w:t>
      </w:r>
      <w:r w:rsidR="00DD3790" w:rsidRPr="00E56AAE">
        <w:rPr>
          <w:rFonts w:cstheme="minorHAnsi"/>
          <w:b/>
        </w:rPr>
        <w:t>.</w:t>
      </w:r>
      <w:r w:rsidR="004F31DC" w:rsidRPr="00E56AAE">
        <w:rPr>
          <w:rFonts w:cstheme="minorHAnsi"/>
        </w:rPr>
        <w:t xml:space="preserve"> </w:t>
      </w:r>
      <w:r w:rsidR="009E60F2">
        <w:rPr>
          <w:rFonts w:cstheme="minorHAnsi"/>
        </w:rPr>
        <w:t>T</w:t>
      </w:r>
      <w:r w:rsidR="00DD3790" w:rsidRPr="00E56AAE">
        <w:rPr>
          <w:rFonts w:cstheme="minorHAnsi"/>
        </w:rPr>
        <w:t xml:space="preserve">he developed checklist includes, among other, questions on assessing whether new regulation limits the number of market players by granting exclusivity rights, whether it exempts market players form general application of competition rules, freedom to set prices, or customer choice etc. While such checklist is a valuable tool for assessing the impact </w:t>
      </w:r>
      <w:r w:rsidR="00966A14">
        <w:rPr>
          <w:rFonts w:cstheme="minorHAnsi"/>
        </w:rPr>
        <w:t>on</w:t>
      </w:r>
      <w:r w:rsidR="00966A14" w:rsidRPr="00E56AAE">
        <w:rPr>
          <w:rFonts w:cstheme="minorHAnsi"/>
        </w:rPr>
        <w:t xml:space="preserve"> </w:t>
      </w:r>
      <w:r w:rsidR="00DD3790" w:rsidRPr="00E56AAE">
        <w:rPr>
          <w:rFonts w:cstheme="minorHAnsi"/>
        </w:rPr>
        <w:t>competition</w:t>
      </w:r>
      <w:r w:rsidR="004F31DC" w:rsidRPr="00E56AAE">
        <w:rPr>
          <w:rFonts w:cstheme="minorHAnsi"/>
          <w:b/>
        </w:rPr>
        <w:t xml:space="preserve"> </w:t>
      </w:r>
      <w:r w:rsidR="00DD3790" w:rsidRPr="00E56AAE">
        <w:rPr>
          <w:rFonts w:cstheme="minorHAnsi"/>
        </w:rPr>
        <w:t xml:space="preserve">of </w:t>
      </w:r>
      <w:r w:rsidR="00966A14">
        <w:rPr>
          <w:rFonts w:cstheme="minorHAnsi"/>
        </w:rPr>
        <w:t xml:space="preserve">proposed </w:t>
      </w:r>
      <w:r w:rsidR="00DD3790" w:rsidRPr="00E56AAE">
        <w:rPr>
          <w:rFonts w:cstheme="minorHAnsi"/>
        </w:rPr>
        <w:t>regulation</w:t>
      </w:r>
      <w:r w:rsidR="00966A14">
        <w:rPr>
          <w:rFonts w:cstheme="minorHAnsi"/>
        </w:rPr>
        <w:t xml:space="preserve">, the checklist also includes several questions which may be difficult to </w:t>
      </w:r>
      <w:proofErr w:type="gramStart"/>
      <w:r w:rsidR="00966A14">
        <w:rPr>
          <w:rFonts w:cstheme="minorHAnsi"/>
        </w:rPr>
        <w:t>answer</w:t>
      </w:r>
      <w:proofErr w:type="gramEnd"/>
      <w:r w:rsidR="00966A14">
        <w:rPr>
          <w:rFonts w:cstheme="minorHAnsi"/>
        </w:rPr>
        <w:t xml:space="preserve"> and which are ambiguous in their interpretation with regard to the impact on competition.</w:t>
      </w:r>
      <w:r w:rsidR="00DD3790" w:rsidRPr="00E56AAE">
        <w:rPr>
          <w:rFonts w:cstheme="minorHAnsi"/>
        </w:rPr>
        <w:t xml:space="preserve"> </w:t>
      </w:r>
      <w:r w:rsidR="00966A14">
        <w:rPr>
          <w:rFonts w:cstheme="minorHAnsi"/>
        </w:rPr>
        <w:t>Moreover,</w:t>
      </w:r>
      <w:r w:rsidR="00966A14" w:rsidRPr="00E56AAE">
        <w:rPr>
          <w:rFonts w:cstheme="minorHAnsi"/>
        </w:rPr>
        <w:t xml:space="preserve"> </w:t>
      </w:r>
      <w:r w:rsidR="00DD3790" w:rsidRPr="00E56AAE">
        <w:rPr>
          <w:rFonts w:cstheme="minorHAnsi"/>
        </w:rPr>
        <w:t xml:space="preserve">to be able to truly capture impact and </w:t>
      </w:r>
      <w:r w:rsidR="00621E41">
        <w:rPr>
          <w:rFonts w:cstheme="minorHAnsi"/>
        </w:rPr>
        <w:t xml:space="preserve">to </w:t>
      </w:r>
      <w:r w:rsidR="00DD3790" w:rsidRPr="00E56AAE">
        <w:rPr>
          <w:rFonts w:cstheme="minorHAnsi"/>
        </w:rPr>
        <w:t xml:space="preserve">suggest </w:t>
      </w:r>
      <w:r w:rsidR="004F31DC" w:rsidRPr="00E56AAE">
        <w:rPr>
          <w:rFonts w:cstheme="minorHAnsi"/>
        </w:rPr>
        <w:t>r</w:t>
      </w:r>
      <w:r w:rsidRPr="00E56AAE">
        <w:rPr>
          <w:rFonts w:cstheme="minorHAnsi"/>
        </w:rPr>
        <w:t>egulatory alternatives</w:t>
      </w:r>
      <w:r w:rsidR="00070AD8">
        <w:rPr>
          <w:rFonts w:cstheme="minorHAnsi"/>
        </w:rPr>
        <w:t>,</w:t>
      </w:r>
      <w:r w:rsidR="00DD3790" w:rsidRPr="00E56AAE">
        <w:rPr>
          <w:rFonts w:cstheme="minorHAnsi"/>
        </w:rPr>
        <w:t xml:space="preserve"> more capacity</w:t>
      </w:r>
      <w:r w:rsidR="0061255D">
        <w:rPr>
          <w:rFonts w:cstheme="minorHAnsi"/>
        </w:rPr>
        <w:t xml:space="preserve"> on competition issues</w:t>
      </w:r>
      <w:r w:rsidR="00DD3790" w:rsidRPr="00E56AAE">
        <w:rPr>
          <w:rFonts w:cstheme="minorHAnsi"/>
        </w:rPr>
        <w:t xml:space="preserve"> </w:t>
      </w:r>
      <w:r w:rsidR="0061255D">
        <w:rPr>
          <w:rFonts w:cstheme="minorHAnsi"/>
        </w:rPr>
        <w:t>is needed by the implementing agencies</w:t>
      </w:r>
      <w:r w:rsidR="00DD3790" w:rsidRPr="00E56AAE">
        <w:rPr>
          <w:rFonts w:cstheme="minorHAnsi"/>
        </w:rPr>
        <w:t>.</w:t>
      </w:r>
      <w:r w:rsidR="0061255D">
        <w:rPr>
          <w:rFonts w:cstheme="minorHAnsi"/>
        </w:rPr>
        <w:t xml:space="preserve"> </w:t>
      </w:r>
      <w:r w:rsidR="00621E41">
        <w:rPr>
          <w:rFonts w:cstheme="minorHAnsi"/>
        </w:rPr>
        <w:t>To date</w:t>
      </w:r>
      <w:r w:rsidR="00DD3790" w:rsidRPr="00E56AAE">
        <w:rPr>
          <w:rFonts w:cstheme="minorHAnsi"/>
        </w:rPr>
        <w:t>, regulatory alternatives</w:t>
      </w:r>
      <w:r w:rsidRPr="00E56AAE">
        <w:rPr>
          <w:rFonts w:cstheme="minorHAnsi"/>
        </w:rPr>
        <w:t xml:space="preserve"> intended to reduce competition restrictions </w:t>
      </w:r>
      <w:r w:rsidR="00DD3790" w:rsidRPr="00E56AAE">
        <w:rPr>
          <w:rFonts w:cstheme="minorHAnsi"/>
        </w:rPr>
        <w:t xml:space="preserve">at NCLR </w:t>
      </w:r>
      <w:r w:rsidRPr="00E56AAE">
        <w:rPr>
          <w:rFonts w:cstheme="minorHAnsi"/>
        </w:rPr>
        <w:t xml:space="preserve">are designed by a team of non-competition specialists. </w:t>
      </w:r>
      <w:r w:rsidR="00350D6D">
        <w:rPr>
          <w:rFonts w:cstheme="minorHAnsi"/>
        </w:rPr>
        <w:t xml:space="preserve">To that end, </w:t>
      </w:r>
      <w:r w:rsidR="00621E41">
        <w:rPr>
          <w:rFonts w:cstheme="minorHAnsi"/>
        </w:rPr>
        <w:t>enhancing</w:t>
      </w:r>
      <w:r w:rsidR="00350D6D">
        <w:rPr>
          <w:rFonts w:cstheme="minorHAnsi"/>
        </w:rPr>
        <w:t xml:space="preserve"> collaboration with S</w:t>
      </w:r>
      <w:r w:rsidR="002C75ED">
        <w:rPr>
          <w:rFonts w:cstheme="minorHAnsi"/>
        </w:rPr>
        <w:t>C</w:t>
      </w:r>
      <w:r w:rsidR="00350D6D">
        <w:rPr>
          <w:rFonts w:cstheme="minorHAnsi"/>
        </w:rPr>
        <w:t>PEC</w:t>
      </w:r>
      <w:r w:rsidR="00621E41">
        <w:rPr>
          <w:rFonts w:cstheme="minorHAnsi"/>
        </w:rPr>
        <w:t xml:space="preserve"> in the RIA process</w:t>
      </w:r>
      <w:r w:rsidR="00350D6D">
        <w:rPr>
          <w:rFonts w:cstheme="minorHAnsi"/>
        </w:rPr>
        <w:t xml:space="preserve"> </w:t>
      </w:r>
      <w:r w:rsidR="00621E41">
        <w:rPr>
          <w:rFonts w:cstheme="minorHAnsi"/>
        </w:rPr>
        <w:t>would be important to</w:t>
      </w:r>
      <w:r w:rsidR="00350D6D">
        <w:rPr>
          <w:rFonts w:cstheme="minorHAnsi"/>
        </w:rPr>
        <w:t xml:space="preserve"> help better assess potential impacts on competition.</w:t>
      </w:r>
    </w:p>
    <w:p w14:paraId="2EB21C23" w14:textId="77777777" w:rsidR="00E56AAE" w:rsidRPr="00E56AAE" w:rsidRDefault="00E56AAE" w:rsidP="00E56AAE">
      <w:pPr>
        <w:pStyle w:val="ListParagraph"/>
        <w:rPr>
          <w:rFonts w:cstheme="minorHAnsi"/>
          <w:b/>
        </w:rPr>
      </w:pPr>
    </w:p>
    <w:p w14:paraId="01EE41EF" w14:textId="070D4B3F" w:rsidR="00E56AAE" w:rsidRPr="00E56AAE" w:rsidRDefault="00CE5B9F" w:rsidP="00E56AAE">
      <w:pPr>
        <w:pStyle w:val="ListParagraph"/>
        <w:numPr>
          <w:ilvl w:val="0"/>
          <w:numId w:val="34"/>
        </w:numPr>
        <w:spacing w:after="160" w:line="259" w:lineRule="auto"/>
        <w:ind w:left="0" w:firstLine="0"/>
        <w:jc w:val="both"/>
      </w:pPr>
      <w:r w:rsidRPr="00E56AAE">
        <w:rPr>
          <w:rFonts w:cstheme="minorHAnsi"/>
          <w:b/>
        </w:rPr>
        <w:t xml:space="preserve">Further support is needed </w:t>
      </w:r>
      <w:r w:rsidR="002F408E" w:rsidRPr="00E56AAE">
        <w:rPr>
          <w:rFonts w:cstheme="minorHAnsi"/>
          <w:b/>
        </w:rPr>
        <w:t xml:space="preserve">to build technical capacity </w:t>
      </w:r>
      <w:r w:rsidR="003A5B05">
        <w:rPr>
          <w:rFonts w:cstheme="minorHAnsi"/>
          <w:b/>
        </w:rPr>
        <w:t>for officials who will conduct the RIA under the new structure</w:t>
      </w:r>
      <w:r w:rsidRPr="00E56AAE">
        <w:rPr>
          <w:rFonts w:cstheme="minorHAnsi"/>
          <w:b/>
        </w:rPr>
        <w:t xml:space="preserve">. </w:t>
      </w:r>
      <w:r w:rsidR="00070AD8">
        <w:rPr>
          <w:rFonts w:cstheme="minorHAnsi"/>
        </w:rPr>
        <w:t>Previous RIA officials</w:t>
      </w:r>
      <w:r w:rsidR="00BF648A" w:rsidRPr="00E56AAE">
        <w:rPr>
          <w:rFonts w:cstheme="minorHAnsi"/>
        </w:rPr>
        <w:t xml:space="preserve"> welcome</w:t>
      </w:r>
      <w:r w:rsidR="00070AD8">
        <w:rPr>
          <w:rFonts w:cstheme="minorHAnsi"/>
        </w:rPr>
        <w:t>d</w:t>
      </w:r>
      <w:r w:rsidR="00BF648A" w:rsidRPr="00E56AAE">
        <w:rPr>
          <w:rFonts w:cstheme="minorHAnsi"/>
        </w:rPr>
        <w:t xml:space="preserve"> valuable support</w:t>
      </w:r>
      <w:r w:rsidRPr="00E56AAE">
        <w:rPr>
          <w:rFonts w:cstheme="minorHAnsi"/>
        </w:rPr>
        <w:t xml:space="preserve"> </w:t>
      </w:r>
      <w:r w:rsidR="002F408E" w:rsidRPr="00E56AAE">
        <w:rPr>
          <w:rFonts w:cstheme="minorHAnsi"/>
        </w:rPr>
        <w:t xml:space="preserve">in implementing the checklist and designing </w:t>
      </w:r>
      <w:r w:rsidRPr="00E56AAE">
        <w:rPr>
          <w:rFonts w:cstheme="minorHAnsi"/>
        </w:rPr>
        <w:t xml:space="preserve">of </w:t>
      </w:r>
      <w:r w:rsidR="002F408E" w:rsidRPr="00E56AAE">
        <w:rPr>
          <w:rFonts w:cstheme="minorHAnsi"/>
        </w:rPr>
        <w:t>regulatory alternatives</w:t>
      </w:r>
      <w:r w:rsidR="004F31DC" w:rsidRPr="00E56AAE">
        <w:rPr>
          <w:rFonts w:cstheme="minorHAnsi"/>
        </w:rPr>
        <w:t xml:space="preserve">, in linking their work on competition to SCPEC and PSRC, and in estimating impacts of past RIA competition assessments </w:t>
      </w:r>
      <w:proofErr w:type="gramStart"/>
      <w:r w:rsidR="004F31DC" w:rsidRPr="00E56AAE">
        <w:rPr>
          <w:rFonts w:cstheme="minorHAnsi"/>
        </w:rPr>
        <w:t>in order to</w:t>
      </w:r>
      <w:proofErr w:type="gramEnd"/>
      <w:r w:rsidR="004F31DC" w:rsidRPr="00E56AAE">
        <w:rPr>
          <w:rFonts w:cstheme="minorHAnsi"/>
        </w:rPr>
        <w:t xml:space="preserve"> further advocate for reform.</w:t>
      </w:r>
      <w:r w:rsidR="008479D6">
        <w:rPr>
          <w:rFonts w:cstheme="minorHAnsi"/>
        </w:rPr>
        <w:t xml:space="preserve"> It is hoped this will be the case under the new structure (where the RIA process is likely to be centralized in the center of government).</w:t>
      </w:r>
    </w:p>
    <w:p w14:paraId="2C6431C9" w14:textId="77777777" w:rsidR="00E56AAE" w:rsidRDefault="00E56AAE" w:rsidP="00E56AAE">
      <w:pPr>
        <w:pStyle w:val="ListParagraph"/>
      </w:pPr>
    </w:p>
    <w:p w14:paraId="1AD6BC33" w14:textId="77777777" w:rsidR="00E56AAE" w:rsidRPr="006E193B" w:rsidRDefault="00E56AAE" w:rsidP="00246D05">
      <w:pPr>
        <w:pStyle w:val="Heading3"/>
      </w:pPr>
      <w:bookmarkStart w:id="21" w:name="_Toc11855834"/>
      <w:r w:rsidRPr="00D31AC7">
        <w:t>Pillar 2: Promoting a level playing field</w:t>
      </w:r>
      <w:bookmarkEnd w:id="21"/>
    </w:p>
    <w:p w14:paraId="3AFEA248" w14:textId="77777777" w:rsidR="002E34D2" w:rsidRDefault="002E34D2" w:rsidP="00246D05"/>
    <w:p w14:paraId="55A46F02" w14:textId="77777777" w:rsidR="00E56AAE" w:rsidRDefault="00E56AAE" w:rsidP="00246D05">
      <w:pPr>
        <w:pStyle w:val="Heading4"/>
      </w:pPr>
      <w:r>
        <w:t>Armenia’s economic growth strategy and measures to control potential distortions from the granting of state aid</w:t>
      </w:r>
    </w:p>
    <w:p w14:paraId="20438B2D" w14:textId="77777777" w:rsidR="00487B59" w:rsidRPr="00487B59" w:rsidRDefault="00487B59" w:rsidP="00487B59"/>
    <w:p w14:paraId="5A3F02F4" w14:textId="77777777" w:rsidR="00E56AAE" w:rsidRPr="009E60F2" w:rsidRDefault="00E56AAE" w:rsidP="00E56AAE">
      <w:pPr>
        <w:pStyle w:val="Heading4"/>
        <w:rPr>
          <w:i w:val="0"/>
        </w:rPr>
      </w:pPr>
      <w:r w:rsidRPr="009E60F2">
        <w:rPr>
          <w:i w:val="0"/>
        </w:rPr>
        <w:t xml:space="preserve">Instruments of Armenia’s Economic Growth Strategy </w:t>
      </w:r>
    </w:p>
    <w:p w14:paraId="3E614107" w14:textId="77777777" w:rsidR="00E56AAE" w:rsidRPr="00E56AAE" w:rsidRDefault="00E56AAE" w:rsidP="00E56AAE">
      <w:pPr>
        <w:pStyle w:val="ListParagraph"/>
        <w:spacing w:after="160" w:line="259" w:lineRule="auto"/>
        <w:ind w:left="0"/>
        <w:jc w:val="both"/>
      </w:pPr>
    </w:p>
    <w:p w14:paraId="459998CA" w14:textId="4420BEAF" w:rsidR="00C037A7" w:rsidRPr="00910DFF" w:rsidRDefault="002E02EB" w:rsidP="00246D05">
      <w:pPr>
        <w:pStyle w:val="ListParagraph"/>
        <w:numPr>
          <w:ilvl w:val="0"/>
          <w:numId w:val="34"/>
        </w:numPr>
        <w:spacing w:after="160" w:line="259" w:lineRule="auto"/>
        <w:ind w:left="0" w:firstLine="0"/>
        <w:jc w:val="both"/>
        <w:rPr>
          <w:rFonts w:asciiTheme="minorHAnsi" w:hAnsiTheme="minorHAnsi" w:cstheme="minorHAnsi"/>
        </w:rPr>
      </w:pPr>
      <w:r w:rsidRPr="00910DFF">
        <w:rPr>
          <w:rFonts w:asciiTheme="minorHAnsi" w:hAnsiTheme="minorHAnsi" w:cstheme="minorHAnsi"/>
          <w:b/>
        </w:rPr>
        <w:t xml:space="preserve">There may be </w:t>
      </w:r>
      <w:proofErr w:type="gramStart"/>
      <w:r w:rsidRPr="00910DFF">
        <w:rPr>
          <w:rFonts w:asciiTheme="minorHAnsi" w:hAnsiTheme="minorHAnsi" w:cstheme="minorHAnsi"/>
          <w:b/>
        </w:rPr>
        <w:t>scope</w:t>
      </w:r>
      <w:proofErr w:type="gramEnd"/>
      <w:r w:rsidRPr="00910DFF">
        <w:rPr>
          <w:rFonts w:asciiTheme="minorHAnsi" w:hAnsiTheme="minorHAnsi" w:cstheme="minorHAnsi"/>
          <w:b/>
        </w:rPr>
        <w:t xml:space="preserve"> to incorporate competition principles into the </w:t>
      </w:r>
      <w:proofErr w:type="spellStart"/>
      <w:r w:rsidRPr="00910DFF">
        <w:rPr>
          <w:rFonts w:asciiTheme="minorHAnsi" w:hAnsiTheme="minorHAnsi" w:cstheme="minorHAnsi"/>
          <w:b/>
        </w:rPr>
        <w:t>GoA’s</w:t>
      </w:r>
      <w:proofErr w:type="spellEnd"/>
      <w:r w:rsidRPr="00910DFF">
        <w:rPr>
          <w:rFonts w:asciiTheme="minorHAnsi" w:hAnsiTheme="minorHAnsi" w:cstheme="minorHAnsi"/>
          <w:b/>
        </w:rPr>
        <w:t xml:space="preserve"> economic growth strategy</w:t>
      </w:r>
      <w:r w:rsidR="00C037A7" w:rsidRPr="00910DFF">
        <w:rPr>
          <w:rFonts w:asciiTheme="minorHAnsi" w:hAnsiTheme="minorHAnsi" w:cstheme="minorHAnsi"/>
          <w:b/>
        </w:rPr>
        <w:t xml:space="preserve">. </w:t>
      </w:r>
      <w:r w:rsidR="00C037A7" w:rsidRPr="00910DFF">
        <w:rPr>
          <w:rFonts w:asciiTheme="minorHAnsi" w:hAnsiTheme="minorHAnsi" w:cstheme="minorHAnsi"/>
        </w:rPr>
        <w:t xml:space="preserve">The </w:t>
      </w:r>
      <w:proofErr w:type="spellStart"/>
      <w:r w:rsidR="00762747" w:rsidRPr="00910DFF">
        <w:rPr>
          <w:rFonts w:asciiTheme="minorHAnsi" w:hAnsiTheme="minorHAnsi" w:cstheme="minorHAnsi"/>
        </w:rPr>
        <w:t>MoE</w:t>
      </w:r>
      <w:proofErr w:type="spellEnd"/>
      <w:r w:rsidR="00762747" w:rsidRPr="00910DFF">
        <w:rPr>
          <w:rFonts w:asciiTheme="minorHAnsi" w:hAnsiTheme="minorHAnsi" w:cstheme="minorHAnsi"/>
        </w:rPr>
        <w:t xml:space="preserve"> </w:t>
      </w:r>
      <w:r w:rsidR="00C037A7" w:rsidRPr="00910DFF">
        <w:rPr>
          <w:rFonts w:asciiTheme="minorHAnsi" w:hAnsiTheme="minorHAnsi" w:cstheme="minorHAnsi"/>
        </w:rPr>
        <w:t xml:space="preserve">is responsible for shaping </w:t>
      </w:r>
      <w:r w:rsidRPr="00910DFF">
        <w:rPr>
          <w:rFonts w:asciiTheme="minorHAnsi" w:hAnsiTheme="minorHAnsi" w:cstheme="minorHAnsi"/>
        </w:rPr>
        <w:t>Armenia’s economic growth strategy. To the extent that this strategy will seek to</w:t>
      </w:r>
      <w:r w:rsidR="00C037A7" w:rsidRPr="00910DFF">
        <w:rPr>
          <w:rFonts w:asciiTheme="minorHAnsi" w:hAnsiTheme="minorHAnsi" w:cstheme="minorHAnsi"/>
        </w:rPr>
        <w:t xml:space="preserve"> support priority sectors</w:t>
      </w:r>
      <w:r w:rsidRPr="00910DFF">
        <w:rPr>
          <w:rFonts w:asciiTheme="minorHAnsi" w:hAnsiTheme="minorHAnsi" w:cstheme="minorHAnsi"/>
        </w:rPr>
        <w:t>,</w:t>
      </w:r>
      <w:r w:rsidR="00C037A7" w:rsidRPr="00910DFF">
        <w:rPr>
          <w:rFonts w:asciiTheme="minorHAnsi" w:hAnsiTheme="minorHAnsi" w:cstheme="minorHAnsi"/>
        </w:rPr>
        <w:t xml:space="preserve"> </w:t>
      </w:r>
      <w:r w:rsidRPr="00910DFF">
        <w:rPr>
          <w:rFonts w:asciiTheme="minorHAnsi" w:hAnsiTheme="minorHAnsi" w:cstheme="minorHAnsi"/>
        </w:rPr>
        <w:t xml:space="preserve">an analysis of </w:t>
      </w:r>
      <w:r w:rsidR="00C037A7" w:rsidRPr="00910DFF">
        <w:rPr>
          <w:rFonts w:asciiTheme="minorHAnsi" w:hAnsiTheme="minorHAnsi" w:cstheme="minorHAnsi"/>
        </w:rPr>
        <w:t xml:space="preserve">the implications of these policies for competition </w:t>
      </w:r>
      <w:r w:rsidRPr="00910DFF">
        <w:rPr>
          <w:rFonts w:asciiTheme="minorHAnsi" w:hAnsiTheme="minorHAnsi" w:cstheme="minorHAnsi"/>
        </w:rPr>
        <w:t>may be valuable</w:t>
      </w:r>
      <w:r w:rsidR="00C037A7" w:rsidRPr="00910DFF">
        <w:rPr>
          <w:rFonts w:asciiTheme="minorHAnsi" w:hAnsiTheme="minorHAnsi" w:cstheme="minorHAnsi"/>
        </w:rPr>
        <w:t xml:space="preserve">. </w:t>
      </w:r>
      <w:r w:rsidRPr="00910DFF">
        <w:rPr>
          <w:rFonts w:asciiTheme="minorHAnsi" w:hAnsiTheme="minorHAnsi" w:cstheme="minorHAnsi"/>
        </w:rPr>
        <w:t xml:space="preserve">Existing support to Armenia’s industrial growth </w:t>
      </w:r>
      <w:r w:rsidR="00C037A7" w:rsidRPr="00910DFF">
        <w:rPr>
          <w:rFonts w:asciiTheme="minorHAnsi" w:hAnsiTheme="minorHAnsi" w:cstheme="minorHAnsi"/>
        </w:rPr>
        <w:t>consists largely of tax advantages, including:</w:t>
      </w:r>
    </w:p>
    <w:p w14:paraId="30876742" w14:textId="77777777" w:rsidR="00C037A7" w:rsidRPr="00910DFF" w:rsidRDefault="00C037A7"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For exporters: VAT refunds on exported goods, zero-rating of exported goods and related services, CIT exemptions for firms that export over a certain amount.</w:t>
      </w:r>
    </w:p>
    <w:p w14:paraId="55911BB4" w14:textId="77777777" w:rsidR="00C037A7" w:rsidRPr="00910DFF" w:rsidRDefault="00C037A7"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For foreign investors: income tax holidays and exemption from customs duties (although it is not clear that these incentives are still available).</w:t>
      </w:r>
    </w:p>
    <w:p w14:paraId="3AE0A23B" w14:textId="77777777" w:rsidR="00186D2C" w:rsidRPr="00910DFF" w:rsidRDefault="00186D2C"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 xml:space="preserve">Deferral of VAT payable on import of </w:t>
      </w:r>
      <w:r w:rsidR="00674C73" w:rsidRPr="00910DFF">
        <w:rPr>
          <w:rFonts w:asciiTheme="minorHAnsi" w:hAnsiTheme="minorHAnsi" w:cstheme="minorHAnsi"/>
        </w:rPr>
        <w:t xml:space="preserve">certain machinery </w:t>
      </w:r>
    </w:p>
    <w:p w14:paraId="56BC831B" w14:textId="77777777" w:rsidR="00C037A7" w:rsidRPr="00910DFF" w:rsidRDefault="00C037A7"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Exemptions for firms operating in FEZs.</w:t>
      </w:r>
    </w:p>
    <w:p w14:paraId="297573E5" w14:textId="77777777" w:rsidR="00E94B4D" w:rsidRDefault="00E94B4D" w:rsidP="00E94B4D">
      <w:pPr>
        <w:jc w:val="both"/>
        <w:rPr>
          <w:rFonts w:asciiTheme="minorHAnsi" w:hAnsiTheme="minorHAnsi" w:cstheme="minorHAnsi"/>
        </w:rPr>
      </w:pPr>
    </w:p>
    <w:p w14:paraId="18FE7C33" w14:textId="3FCFFEF9" w:rsidR="00E56AAE" w:rsidRPr="00246D05" w:rsidRDefault="000C7E27" w:rsidP="00246D05">
      <w:pPr>
        <w:jc w:val="both"/>
        <w:rPr>
          <w:rFonts w:asciiTheme="minorHAnsi" w:hAnsiTheme="minorHAnsi" w:cstheme="minorHAnsi"/>
        </w:rPr>
      </w:pPr>
      <w:r w:rsidRPr="00246D05">
        <w:rPr>
          <w:rFonts w:asciiTheme="minorHAnsi" w:hAnsiTheme="minorHAnsi" w:cstheme="minorHAnsi"/>
        </w:rPr>
        <w:t>T</w:t>
      </w:r>
      <w:r w:rsidR="00FB33A9" w:rsidRPr="00246D05">
        <w:rPr>
          <w:rFonts w:asciiTheme="minorHAnsi" w:hAnsiTheme="minorHAnsi" w:cstheme="minorHAnsi"/>
        </w:rPr>
        <w:t>ax expenditures</w:t>
      </w:r>
      <w:r w:rsidR="00516BF7" w:rsidRPr="00246D05">
        <w:rPr>
          <w:rFonts w:asciiTheme="minorHAnsi" w:hAnsiTheme="minorHAnsi" w:cstheme="minorHAnsi"/>
        </w:rPr>
        <w:t xml:space="preserve"> based on V</w:t>
      </w:r>
      <w:r w:rsidR="00186D2C" w:rsidRPr="00246D05">
        <w:rPr>
          <w:rFonts w:asciiTheme="minorHAnsi" w:hAnsiTheme="minorHAnsi" w:cstheme="minorHAnsi"/>
        </w:rPr>
        <w:t>AT came to 5.4</w:t>
      </w:r>
      <w:r w:rsidR="00516BF7" w:rsidRPr="00246D05">
        <w:rPr>
          <w:rFonts w:asciiTheme="minorHAnsi" w:hAnsiTheme="minorHAnsi" w:cstheme="minorHAnsi"/>
        </w:rPr>
        <w:t>% of GDP (according to the 2018 budget), while expenditures based on income</w:t>
      </w:r>
      <w:r w:rsidR="00186D2C" w:rsidRPr="00246D05">
        <w:rPr>
          <w:rFonts w:asciiTheme="minorHAnsi" w:hAnsiTheme="minorHAnsi" w:cstheme="minorHAnsi"/>
        </w:rPr>
        <w:t xml:space="preserve"> and profits</w:t>
      </w:r>
      <w:r w:rsidR="00516BF7" w:rsidRPr="00246D05">
        <w:rPr>
          <w:rFonts w:asciiTheme="minorHAnsi" w:hAnsiTheme="minorHAnsi" w:cstheme="minorHAnsi"/>
        </w:rPr>
        <w:t xml:space="preserve"> (</w:t>
      </w:r>
      <w:r w:rsidR="00186D2C" w:rsidRPr="00246D05">
        <w:rPr>
          <w:rFonts w:asciiTheme="minorHAnsi" w:hAnsiTheme="minorHAnsi" w:cstheme="minorHAnsi"/>
        </w:rPr>
        <w:t xml:space="preserve">from the </w:t>
      </w:r>
      <w:r w:rsidR="00516BF7" w:rsidRPr="00246D05">
        <w:rPr>
          <w:rFonts w:asciiTheme="minorHAnsi" w:hAnsiTheme="minorHAnsi" w:cstheme="minorHAnsi"/>
        </w:rPr>
        <w:t>agricultural sector</w:t>
      </w:r>
      <w:r w:rsidR="00186D2C" w:rsidRPr="00246D05">
        <w:rPr>
          <w:rFonts w:asciiTheme="minorHAnsi" w:hAnsiTheme="minorHAnsi" w:cstheme="minorHAnsi"/>
        </w:rPr>
        <w:t xml:space="preserve"> where profits earned from the sale of agricultural products are exempted from profit tax until 2024</w:t>
      </w:r>
      <w:r w:rsidR="00516BF7" w:rsidRPr="00246D05">
        <w:rPr>
          <w:rFonts w:asciiTheme="minorHAnsi" w:hAnsiTheme="minorHAnsi" w:cstheme="minorHAnsi"/>
        </w:rPr>
        <w:t xml:space="preserve">) came to </w:t>
      </w:r>
      <w:r w:rsidR="00186D2C" w:rsidRPr="00246D05">
        <w:rPr>
          <w:rFonts w:asciiTheme="minorHAnsi" w:hAnsiTheme="minorHAnsi" w:cstheme="minorHAnsi"/>
        </w:rPr>
        <w:t>around 1.4</w:t>
      </w:r>
      <w:r w:rsidR="00516BF7" w:rsidRPr="00246D05">
        <w:rPr>
          <w:rFonts w:asciiTheme="minorHAnsi" w:hAnsiTheme="minorHAnsi" w:cstheme="minorHAnsi"/>
        </w:rPr>
        <w:t>% of GDP</w:t>
      </w:r>
      <w:r w:rsidR="00DF575F" w:rsidRPr="00246D05">
        <w:rPr>
          <w:rFonts w:asciiTheme="minorHAnsi" w:hAnsiTheme="minorHAnsi" w:cstheme="minorHAnsi"/>
        </w:rPr>
        <w:t xml:space="preserve"> in 2018</w:t>
      </w:r>
      <w:r w:rsidR="00516BF7" w:rsidRPr="00246D05">
        <w:rPr>
          <w:rFonts w:asciiTheme="minorHAnsi" w:hAnsiTheme="minorHAnsi" w:cstheme="minorHAnsi"/>
        </w:rPr>
        <w:t>.</w:t>
      </w:r>
      <w:r w:rsidR="00FB33A9" w:rsidRPr="00246D05">
        <w:rPr>
          <w:rFonts w:asciiTheme="minorHAnsi" w:hAnsiTheme="minorHAnsi" w:cstheme="minorHAnsi"/>
        </w:rPr>
        <w:t xml:space="preserve"> </w:t>
      </w:r>
    </w:p>
    <w:p w14:paraId="75EF7EC0" w14:textId="77777777" w:rsidR="00910DFF" w:rsidRPr="00910DFF" w:rsidRDefault="00910DFF" w:rsidP="00246D05">
      <w:pPr>
        <w:pStyle w:val="ListParagraph"/>
        <w:ind w:left="1080"/>
        <w:jc w:val="both"/>
        <w:rPr>
          <w:rFonts w:asciiTheme="minorHAnsi" w:hAnsiTheme="minorHAnsi" w:cstheme="minorHAnsi"/>
        </w:rPr>
      </w:pPr>
    </w:p>
    <w:p w14:paraId="7FDE7DDD" w14:textId="59C0E2AA" w:rsidR="00C037A7" w:rsidRPr="00910DFF" w:rsidRDefault="00C037A7" w:rsidP="00E56AAE">
      <w:pPr>
        <w:pStyle w:val="ListParagraph"/>
        <w:numPr>
          <w:ilvl w:val="0"/>
          <w:numId w:val="34"/>
        </w:numPr>
        <w:spacing w:after="160" w:line="259" w:lineRule="auto"/>
        <w:ind w:left="0" w:firstLine="0"/>
        <w:jc w:val="both"/>
        <w:rPr>
          <w:rFonts w:asciiTheme="minorHAnsi" w:hAnsiTheme="minorHAnsi" w:cstheme="minorHAnsi"/>
        </w:rPr>
      </w:pPr>
      <w:r w:rsidRPr="00910DFF">
        <w:rPr>
          <w:rFonts w:asciiTheme="minorHAnsi" w:hAnsiTheme="minorHAnsi" w:cstheme="minorHAnsi"/>
          <w:b/>
        </w:rPr>
        <w:t xml:space="preserve">Some aspects of these </w:t>
      </w:r>
      <w:r w:rsidR="000A09A2" w:rsidRPr="00910DFF">
        <w:rPr>
          <w:rFonts w:asciiTheme="minorHAnsi" w:hAnsiTheme="minorHAnsi" w:cstheme="minorHAnsi"/>
          <w:b/>
        </w:rPr>
        <w:t xml:space="preserve">incentive </w:t>
      </w:r>
      <w:r w:rsidRPr="00910DFF">
        <w:rPr>
          <w:rFonts w:asciiTheme="minorHAnsi" w:hAnsiTheme="minorHAnsi" w:cstheme="minorHAnsi"/>
          <w:b/>
        </w:rPr>
        <w:t>schemes may have led to an unlevel playing field</w:t>
      </w:r>
      <w:r w:rsidR="00F41C11">
        <w:rPr>
          <w:rFonts w:asciiTheme="minorHAnsi" w:hAnsiTheme="minorHAnsi" w:cstheme="minorHAnsi"/>
          <w:b/>
        </w:rPr>
        <w:t xml:space="preserve">, </w:t>
      </w:r>
      <w:r w:rsidR="00F41C11" w:rsidRPr="00246D05">
        <w:rPr>
          <w:rFonts w:asciiTheme="minorHAnsi" w:hAnsiTheme="minorHAnsi" w:cstheme="minorHAnsi"/>
        </w:rPr>
        <w:t>for example</w:t>
      </w:r>
      <w:r w:rsidRPr="00910DFF">
        <w:rPr>
          <w:rFonts w:asciiTheme="minorHAnsi" w:hAnsiTheme="minorHAnsi" w:cstheme="minorHAnsi"/>
          <w:b/>
        </w:rPr>
        <w:t>:</w:t>
      </w:r>
    </w:p>
    <w:p w14:paraId="158F79B4" w14:textId="77777777" w:rsidR="00C037A7" w:rsidRPr="00910DFF" w:rsidRDefault="00C037A7"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CIT exemptions for firms that export above a certain absolute amount</w:t>
      </w:r>
      <w:r w:rsidR="00674C73" w:rsidRPr="00910DFF">
        <w:rPr>
          <w:rFonts w:asciiTheme="minorHAnsi" w:hAnsiTheme="minorHAnsi" w:cstheme="minorHAnsi"/>
        </w:rPr>
        <w:t xml:space="preserve"> favo</w:t>
      </w:r>
      <w:r w:rsidRPr="00910DFF">
        <w:rPr>
          <w:rFonts w:asciiTheme="minorHAnsi" w:hAnsiTheme="minorHAnsi" w:cstheme="minorHAnsi"/>
        </w:rPr>
        <w:t>r large firms. This provision has now been removed from the law but the group of exporters that already benefit from this provision will continue to benefit from it for the next two years. Only one holding firm (consisting of 24 subsidiary firms) had benefited from this provision.</w:t>
      </w:r>
    </w:p>
    <w:p w14:paraId="7F36FB01" w14:textId="77777777" w:rsidR="00674C73" w:rsidRPr="00910DFF" w:rsidRDefault="003674FD"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Firms with a subsidiary in the agriculture sector could benefit from the exemption on agricultural profits through transfer pricing.</w:t>
      </w:r>
      <w:r w:rsidR="00694D9D" w:rsidRPr="00910DFF">
        <w:rPr>
          <w:rFonts w:asciiTheme="minorHAnsi" w:hAnsiTheme="minorHAnsi" w:cstheme="minorHAnsi"/>
        </w:rPr>
        <w:t xml:space="preserve"> Armenia’s new transfer pricing regulations</w:t>
      </w:r>
      <w:r w:rsidR="000C7E27" w:rsidRPr="00910DFF">
        <w:rPr>
          <w:rFonts w:asciiTheme="minorHAnsi" w:hAnsiTheme="minorHAnsi" w:cstheme="minorHAnsi"/>
        </w:rPr>
        <w:t xml:space="preserve"> – which are likely to become effective from January 2020 -</w:t>
      </w:r>
      <w:r w:rsidR="00694D9D" w:rsidRPr="00910DFF">
        <w:rPr>
          <w:rFonts w:asciiTheme="minorHAnsi" w:hAnsiTheme="minorHAnsi" w:cstheme="minorHAnsi"/>
        </w:rPr>
        <w:t xml:space="preserve"> may help with this situation</w:t>
      </w:r>
      <w:r w:rsidR="000C7E27" w:rsidRPr="00910DFF">
        <w:rPr>
          <w:rStyle w:val="FootnoteReference"/>
          <w:rFonts w:asciiTheme="minorHAnsi" w:hAnsiTheme="minorHAnsi" w:cstheme="minorHAnsi"/>
        </w:rPr>
        <w:footnoteReference w:id="29"/>
      </w:r>
      <w:r w:rsidR="00694D9D" w:rsidRPr="00910DFF">
        <w:rPr>
          <w:rFonts w:asciiTheme="minorHAnsi" w:hAnsiTheme="minorHAnsi" w:cstheme="minorHAnsi"/>
        </w:rPr>
        <w:t xml:space="preserve">. It is also understood that </w:t>
      </w:r>
      <w:proofErr w:type="spellStart"/>
      <w:r w:rsidR="00694D9D" w:rsidRPr="00910DFF">
        <w:rPr>
          <w:rFonts w:asciiTheme="minorHAnsi" w:hAnsiTheme="minorHAnsi" w:cstheme="minorHAnsi"/>
        </w:rPr>
        <w:t>GoA</w:t>
      </w:r>
      <w:proofErr w:type="spellEnd"/>
      <w:r w:rsidR="00694D9D" w:rsidRPr="00910DFF">
        <w:rPr>
          <w:rFonts w:asciiTheme="minorHAnsi" w:hAnsiTheme="minorHAnsi" w:cstheme="minorHAnsi"/>
        </w:rPr>
        <w:t xml:space="preserve"> is considering whether to continue the exemptions for the agricultural sector.</w:t>
      </w:r>
    </w:p>
    <w:p w14:paraId="7B484D9F" w14:textId="77777777" w:rsidR="00C037A7" w:rsidRPr="00910DFF" w:rsidRDefault="00C037A7" w:rsidP="00246D05">
      <w:pPr>
        <w:pStyle w:val="ListParagraph"/>
        <w:numPr>
          <w:ilvl w:val="0"/>
          <w:numId w:val="7"/>
        </w:numPr>
        <w:jc w:val="both"/>
        <w:rPr>
          <w:rFonts w:asciiTheme="minorHAnsi" w:hAnsiTheme="minorHAnsi" w:cstheme="minorHAnsi"/>
        </w:rPr>
      </w:pPr>
      <w:r w:rsidRPr="00910DFF">
        <w:rPr>
          <w:rFonts w:asciiTheme="minorHAnsi" w:hAnsiTheme="minorHAnsi" w:cstheme="minorHAnsi"/>
        </w:rPr>
        <w:t>Differences in the perio</w:t>
      </w:r>
      <w:r w:rsidR="00FC350A" w:rsidRPr="00910DFF">
        <w:rPr>
          <w:rFonts w:asciiTheme="minorHAnsi" w:hAnsiTheme="minorHAnsi" w:cstheme="minorHAnsi"/>
        </w:rPr>
        <w:t xml:space="preserve">d </w:t>
      </w:r>
      <w:r w:rsidR="00674C73" w:rsidRPr="00910DFF">
        <w:rPr>
          <w:rFonts w:asciiTheme="minorHAnsi" w:hAnsiTheme="minorHAnsi" w:cstheme="minorHAnsi"/>
        </w:rPr>
        <w:t>before</w:t>
      </w:r>
      <w:r w:rsidRPr="00910DFF">
        <w:rPr>
          <w:rFonts w:asciiTheme="minorHAnsi" w:hAnsiTheme="minorHAnsi" w:cstheme="minorHAnsi"/>
        </w:rPr>
        <w:t xml:space="preserve"> VAT refunds </w:t>
      </w:r>
      <w:r w:rsidR="00674C73" w:rsidRPr="00910DFF">
        <w:rPr>
          <w:rFonts w:asciiTheme="minorHAnsi" w:hAnsiTheme="minorHAnsi" w:cstheme="minorHAnsi"/>
        </w:rPr>
        <w:t>are</w:t>
      </w:r>
      <w:r w:rsidRPr="00910DFF">
        <w:rPr>
          <w:rFonts w:asciiTheme="minorHAnsi" w:hAnsiTheme="minorHAnsi" w:cstheme="minorHAnsi"/>
        </w:rPr>
        <w:t xml:space="preserve"> received </w:t>
      </w:r>
      <w:r w:rsidR="004F6127">
        <w:rPr>
          <w:rFonts w:asciiTheme="minorHAnsi" w:hAnsiTheme="minorHAnsi" w:cstheme="minorHAnsi"/>
        </w:rPr>
        <w:t>in practice</w:t>
      </w:r>
      <w:r w:rsidR="004F6127" w:rsidRPr="00A31C8A">
        <w:rPr>
          <w:rFonts w:asciiTheme="minorHAnsi" w:hAnsiTheme="minorHAnsi" w:cstheme="minorHAnsi"/>
        </w:rPr>
        <w:t xml:space="preserve"> </w:t>
      </w:r>
      <w:r w:rsidR="004F6127">
        <w:rPr>
          <w:rFonts w:asciiTheme="minorHAnsi" w:hAnsiTheme="minorHAnsi" w:cstheme="minorHAnsi"/>
        </w:rPr>
        <w:t>were reported by some players</w:t>
      </w:r>
      <w:r w:rsidR="004F6127" w:rsidRPr="00910DFF">
        <w:rPr>
          <w:rFonts w:asciiTheme="minorHAnsi" w:hAnsiTheme="minorHAnsi" w:cstheme="minorHAnsi"/>
        </w:rPr>
        <w:t xml:space="preserve"> </w:t>
      </w:r>
      <w:r w:rsidRPr="00910DFF">
        <w:rPr>
          <w:rFonts w:asciiTheme="minorHAnsi" w:hAnsiTheme="minorHAnsi" w:cstheme="minorHAnsi"/>
        </w:rPr>
        <w:t xml:space="preserve">(for reasons beyond administrative errors). </w:t>
      </w:r>
    </w:p>
    <w:p w14:paraId="1FD6BB22" w14:textId="357E20F6" w:rsidR="00C037A7" w:rsidRPr="00910DFF" w:rsidRDefault="004F6127" w:rsidP="00246D05">
      <w:pPr>
        <w:pStyle w:val="ListParagraph"/>
        <w:numPr>
          <w:ilvl w:val="0"/>
          <w:numId w:val="7"/>
        </w:numPr>
        <w:jc w:val="both"/>
        <w:rPr>
          <w:rFonts w:asciiTheme="minorHAnsi" w:hAnsiTheme="minorHAnsi" w:cstheme="minorHAnsi"/>
          <w:color w:val="000000" w:themeColor="text1"/>
        </w:rPr>
      </w:pPr>
      <w:r w:rsidRPr="00FC350A">
        <w:rPr>
          <w:rFonts w:asciiTheme="minorHAnsi" w:hAnsiTheme="minorHAnsi" w:cstheme="minorHAnsi"/>
          <w:color w:val="000000" w:themeColor="text1"/>
          <w:shd w:val="clear" w:color="auto" w:fill="FFFFFF"/>
        </w:rPr>
        <w:t>VAT payment deferral and exemption of customs duties have been implemented based on</w:t>
      </w:r>
      <w:r>
        <w:rPr>
          <w:rFonts w:asciiTheme="minorHAnsi" w:hAnsiTheme="minorHAnsi" w:cstheme="minorHAnsi"/>
          <w:color w:val="000000" w:themeColor="text1"/>
          <w:shd w:val="clear" w:color="auto" w:fill="FFFFFF"/>
        </w:rPr>
        <w:t xml:space="preserve"> </w:t>
      </w:r>
      <w:r w:rsidRPr="00FC350A">
        <w:rPr>
          <w:rFonts w:asciiTheme="minorHAnsi" w:hAnsiTheme="minorHAnsi" w:cstheme="minorHAnsi"/>
          <w:color w:val="000000" w:themeColor="text1"/>
          <w:shd w:val="clear" w:color="auto" w:fill="FFFFFF"/>
        </w:rPr>
        <w:t>Law on Foreign Investment</w:t>
      </w:r>
      <w:r>
        <w:rPr>
          <w:rFonts w:asciiTheme="minorHAnsi" w:hAnsiTheme="minorHAnsi" w:cstheme="minorHAnsi"/>
          <w:color w:val="000000" w:themeColor="text1"/>
          <w:shd w:val="clear" w:color="auto" w:fill="FFFFFF"/>
        </w:rPr>
        <w:t xml:space="preserve">, the RA Tax Code, the </w:t>
      </w:r>
      <w:r w:rsidRPr="00A25A0C">
        <w:rPr>
          <w:rFonts w:asciiTheme="minorHAnsi" w:hAnsiTheme="minorHAnsi" w:cstheme="minorHAnsi"/>
        </w:rPr>
        <w:t>RA Law on Value Added Tax</w:t>
      </w:r>
      <w:r>
        <w:rPr>
          <w:rFonts w:asciiTheme="minorHAnsi" w:hAnsiTheme="minorHAnsi" w:cstheme="minorHAnsi"/>
        </w:rPr>
        <w:t>,</w:t>
      </w:r>
      <w:r>
        <w:rPr>
          <w:rFonts w:asciiTheme="minorHAnsi" w:hAnsiTheme="minorHAnsi" w:cstheme="minorHAnsi"/>
          <w:color w:val="000000" w:themeColor="text1"/>
          <w:shd w:val="clear" w:color="auto" w:fill="FFFFFF"/>
        </w:rPr>
        <w:t xml:space="preserve"> and criteria set out in the</w:t>
      </w:r>
      <w:r w:rsidRPr="00FC350A">
        <w:rPr>
          <w:rFonts w:asciiTheme="minorHAnsi" w:hAnsiTheme="minorHAnsi" w:cstheme="minorHAnsi"/>
          <w:color w:val="000000" w:themeColor="text1"/>
          <w:shd w:val="clear" w:color="auto" w:fill="FFFFFF"/>
        </w:rPr>
        <w:t xml:space="preserve"> Government’s</w:t>
      </w:r>
      <w:r>
        <w:rPr>
          <w:rFonts w:asciiTheme="minorHAnsi" w:hAnsiTheme="minorHAnsi" w:cstheme="minorHAnsi"/>
          <w:color w:val="000000" w:themeColor="text1"/>
          <w:shd w:val="clear" w:color="auto" w:fill="FFFFFF"/>
        </w:rPr>
        <w:t xml:space="preserve"> Decrees </w:t>
      </w:r>
      <w:r w:rsidRPr="00A25A0C">
        <w:rPr>
          <w:rFonts w:asciiTheme="minorHAnsi" w:hAnsiTheme="minorHAnsi" w:cstheme="minorHAnsi"/>
        </w:rPr>
        <w:t>No. 1225-N of October 5, 2017 and No. 1118-N of September 17, 2015.</w:t>
      </w:r>
      <w:r>
        <w:rPr>
          <w:rFonts w:asciiTheme="minorHAnsi" w:hAnsiTheme="minorHAnsi" w:cstheme="minorHAnsi"/>
        </w:rPr>
        <w:t xml:space="preserve"> However it has been reported that</w:t>
      </w:r>
      <w:r w:rsidRPr="00FC350A">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the </w:t>
      </w:r>
      <w:r w:rsidRPr="00FC350A">
        <w:rPr>
          <w:rFonts w:asciiTheme="minorHAnsi" w:hAnsiTheme="minorHAnsi" w:cstheme="minorHAnsi"/>
          <w:color w:val="000000" w:themeColor="text1"/>
          <w:shd w:val="clear" w:color="auto" w:fill="FFFFFF"/>
        </w:rPr>
        <w:t>decision</w:t>
      </w:r>
      <w:r>
        <w:rPr>
          <w:rFonts w:asciiTheme="minorHAnsi" w:hAnsiTheme="minorHAnsi" w:cstheme="minorHAnsi"/>
          <w:color w:val="000000" w:themeColor="text1"/>
          <w:shd w:val="clear" w:color="auto" w:fill="FFFFFF"/>
        </w:rPr>
        <w:t xml:space="preserve">s to grant these benefits were made </w:t>
      </w:r>
      <w:proofErr w:type="gramStart"/>
      <w:r>
        <w:rPr>
          <w:rFonts w:asciiTheme="minorHAnsi" w:hAnsiTheme="minorHAnsi" w:cstheme="minorHAnsi"/>
          <w:color w:val="000000" w:themeColor="text1"/>
          <w:shd w:val="clear" w:color="auto" w:fill="FFFFFF"/>
        </w:rPr>
        <w:t xml:space="preserve">selectively  </w:t>
      </w:r>
      <w:r w:rsidRPr="00FC350A">
        <w:rPr>
          <w:rFonts w:asciiTheme="minorHAnsi" w:hAnsiTheme="minorHAnsi" w:cstheme="minorHAnsi"/>
          <w:color w:val="000000" w:themeColor="text1"/>
          <w:shd w:val="clear" w:color="auto" w:fill="FFFFFF"/>
        </w:rPr>
        <w:t>on</w:t>
      </w:r>
      <w:proofErr w:type="gramEnd"/>
      <w:r w:rsidRPr="00FC350A">
        <w:rPr>
          <w:rFonts w:asciiTheme="minorHAnsi" w:hAnsiTheme="minorHAnsi" w:cstheme="minorHAnsi"/>
          <w:color w:val="000000" w:themeColor="text1"/>
          <w:shd w:val="clear" w:color="auto" w:fill="FFFFFF"/>
        </w:rPr>
        <w:t xml:space="preserve"> a case-by-case basis</w:t>
      </w:r>
      <w:r>
        <w:rPr>
          <w:rFonts w:asciiTheme="minorHAnsi" w:hAnsiTheme="minorHAnsi" w:cstheme="minorHAnsi"/>
          <w:color w:val="000000" w:themeColor="text1"/>
          <w:shd w:val="clear" w:color="auto" w:fill="FFFFFF"/>
        </w:rPr>
        <w:t xml:space="preserve"> with only a few market players meeting the relevant criteria. </w:t>
      </w:r>
    </w:p>
    <w:p w14:paraId="0BD5D043" w14:textId="77777777" w:rsidR="00E56AAE" w:rsidRPr="00910DFF" w:rsidRDefault="00E56AAE" w:rsidP="00E56AAE">
      <w:pPr>
        <w:pStyle w:val="ListParagraph"/>
        <w:ind w:left="1080"/>
        <w:jc w:val="both"/>
        <w:rPr>
          <w:rFonts w:asciiTheme="minorHAnsi" w:hAnsiTheme="minorHAnsi" w:cstheme="minorHAnsi"/>
          <w:color w:val="000000" w:themeColor="text1"/>
        </w:rPr>
      </w:pPr>
    </w:p>
    <w:p w14:paraId="24A343B4" w14:textId="377B36C5" w:rsidR="00DF575F" w:rsidRPr="00910DFF" w:rsidRDefault="00DF575F" w:rsidP="00E56AAE">
      <w:pPr>
        <w:pStyle w:val="ListParagraph"/>
        <w:numPr>
          <w:ilvl w:val="0"/>
          <w:numId w:val="34"/>
        </w:numPr>
        <w:spacing w:after="160" w:line="259" w:lineRule="auto"/>
        <w:ind w:left="0" w:firstLine="0"/>
        <w:jc w:val="both"/>
        <w:rPr>
          <w:rFonts w:asciiTheme="minorHAnsi" w:hAnsiTheme="minorHAnsi" w:cstheme="minorHAnsi"/>
          <w:b/>
          <w:color w:val="000000" w:themeColor="text1"/>
        </w:rPr>
      </w:pPr>
      <w:r w:rsidRPr="00910DFF">
        <w:rPr>
          <w:rFonts w:asciiTheme="minorHAnsi" w:hAnsiTheme="minorHAnsi" w:cstheme="minorHAnsi"/>
          <w:b/>
        </w:rPr>
        <w:t>Prior</w:t>
      </w:r>
      <w:r w:rsidRPr="00910DFF">
        <w:rPr>
          <w:rFonts w:asciiTheme="minorHAnsi" w:hAnsiTheme="minorHAnsi" w:cstheme="minorHAnsi"/>
          <w:b/>
          <w:color w:val="000000" w:themeColor="text1"/>
        </w:rPr>
        <w:t xml:space="preserve"> to the change in government, some players also received direct loans from </w:t>
      </w:r>
      <w:proofErr w:type="spellStart"/>
      <w:r w:rsidRPr="00910DFF">
        <w:rPr>
          <w:rFonts w:asciiTheme="minorHAnsi" w:hAnsiTheme="minorHAnsi" w:cstheme="minorHAnsi"/>
          <w:b/>
          <w:color w:val="000000" w:themeColor="text1"/>
        </w:rPr>
        <w:t>GoA</w:t>
      </w:r>
      <w:proofErr w:type="spellEnd"/>
      <w:r w:rsidRPr="00910DFF">
        <w:rPr>
          <w:rFonts w:asciiTheme="minorHAnsi" w:hAnsiTheme="minorHAnsi" w:cstheme="minorHAnsi"/>
          <w:b/>
          <w:color w:val="000000" w:themeColor="text1"/>
        </w:rPr>
        <w:t xml:space="preserve">, including in sectors such as agribusiness. </w:t>
      </w:r>
      <w:r w:rsidRPr="00910DFF">
        <w:rPr>
          <w:rFonts w:asciiTheme="minorHAnsi" w:hAnsiTheme="minorHAnsi" w:cstheme="minorHAnsi"/>
          <w:color w:val="000000" w:themeColor="text1"/>
        </w:rPr>
        <w:t>Precise details</w:t>
      </w:r>
      <w:r w:rsidRPr="00910DFF">
        <w:rPr>
          <w:rFonts w:asciiTheme="minorHAnsi" w:hAnsiTheme="minorHAnsi" w:cstheme="minorHAnsi"/>
          <w:b/>
          <w:color w:val="000000" w:themeColor="text1"/>
        </w:rPr>
        <w:t xml:space="preserve"> </w:t>
      </w:r>
      <w:r w:rsidRPr="00910DFF">
        <w:rPr>
          <w:rFonts w:asciiTheme="minorHAnsi" w:hAnsiTheme="minorHAnsi" w:cstheme="minorHAnsi"/>
          <w:color w:val="000000" w:themeColor="text1"/>
        </w:rPr>
        <w:t xml:space="preserve">of the recipients of these loans were not publicly available but </w:t>
      </w:r>
      <w:r w:rsidR="00644008">
        <w:rPr>
          <w:rFonts w:asciiTheme="minorHAnsi" w:hAnsiTheme="minorHAnsi" w:cstheme="minorHAnsi"/>
          <w:color w:val="000000" w:themeColor="text1"/>
        </w:rPr>
        <w:t xml:space="preserve">it has been reported that </w:t>
      </w:r>
      <w:r w:rsidRPr="00910DFF">
        <w:rPr>
          <w:rFonts w:asciiTheme="minorHAnsi" w:hAnsiTheme="minorHAnsi" w:cstheme="minorHAnsi"/>
          <w:color w:val="000000" w:themeColor="text1"/>
        </w:rPr>
        <w:t xml:space="preserve">this had put players </w:t>
      </w:r>
      <w:r w:rsidR="007F2036" w:rsidRPr="00910DFF">
        <w:rPr>
          <w:rFonts w:asciiTheme="minorHAnsi" w:hAnsiTheme="minorHAnsi" w:cstheme="minorHAnsi"/>
          <w:color w:val="000000" w:themeColor="text1"/>
        </w:rPr>
        <w:t xml:space="preserve">that did not receive loans </w:t>
      </w:r>
      <w:r w:rsidRPr="00910DFF">
        <w:rPr>
          <w:rFonts w:asciiTheme="minorHAnsi" w:hAnsiTheme="minorHAnsi" w:cstheme="minorHAnsi"/>
          <w:color w:val="000000" w:themeColor="text1"/>
        </w:rPr>
        <w:t>at a disadvantage.</w:t>
      </w:r>
    </w:p>
    <w:p w14:paraId="26690E0F" w14:textId="77777777" w:rsidR="0060326F" w:rsidRDefault="0060326F" w:rsidP="0060326F">
      <w:pPr>
        <w:pStyle w:val="ListParagraph"/>
        <w:ind w:left="360"/>
        <w:jc w:val="both"/>
        <w:rPr>
          <w:rFonts w:asciiTheme="minorHAnsi" w:hAnsiTheme="minorHAnsi" w:cstheme="minorHAnsi"/>
          <w:b/>
          <w:color w:val="000000" w:themeColor="text1"/>
        </w:rPr>
      </w:pPr>
    </w:p>
    <w:p w14:paraId="274D1BBC" w14:textId="77777777" w:rsidR="0060326F" w:rsidRPr="00516BF7" w:rsidRDefault="0060326F" w:rsidP="0060326F">
      <w:pPr>
        <w:pStyle w:val="Heading4"/>
      </w:pPr>
      <w:r>
        <w:t>State aid control</w:t>
      </w:r>
    </w:p>
    <w:p w14:paraId="6FEFFD70" w14:textId="141B0B62" w:rsidR="00FF2E9C" w:rsidRDefault="00FF2E9C" w:rsidP="00FF2E9C">
      <w:pPr>
        <w:pStyle w:val="ListParagraph"/>
        <w:numPr>
          <w:ilvl w:val="0"/>
          <w:numId w:val="34"/>
        </w:numPr>
        <w:spacing w:after="160" w:line="259" w:lineRule="auto"/>
        <w:ind w:left="0" w:firstLine="0"/>
        <w:jc w:val="both"/>
        <w:rPr>
          <w:rFonts w:cstheme="minorHAnsi"/>
        </w:rPr>
      </w:pPr>
      <w:r w:rsidRPr="00246D05">
        <w:rPr>
          <w:rFonts w:asciiTheme="minorHAnsi" w:hAnsiTheme="minorHAnsi" w:cstheme="minorHAnsi"/>
          <w:b/>
          <w:color w:val="000000" w:themeColor="text1"/>
        </w:rPr>
        <w:t xml:space="preserve">State aid is broadly defined as any financial transfer of public resources by a government or any public body which confers a benefit to a specific recipient and which distorts or threatens to distort competition. </w:t>
      </w:r>
      <w:r w:rsidRPr="00FF2E9C">
        <w:rPr>
          <w:rFonts w:cstheme="minorHAnsi"/>
        </w:rPr>
        <w:t xml:space="preserve">It encompasses tax exemptions, loan guarantees, grants, government resources provided at prices </w:t>
      </w:r>
      <w:r w:rsidRPr="00FF2E9C">
        <w:rPr>
          <w:rFonts w:cstheme="minorHAnsi"/>
          <w:bCs/>
        </w:rPr>
        <w:t>below</w:t>
      </w:r>
      <w:r w:rsidRPr="00FF2E9C">
        <w:rPr>
          <w:rFonts w:cstheme="minorHAnsi"/>
        </w:rPr>
        <w:t xml:space="preserve"> market levels (such as land, spectrum, or water), subsidies, cash transfers, </w:t>
      </w:r>
      <w:r w:rsidRPr="00FF2E9C">
        <w:rPr>
          <w:rFonts w:cstheme="minorHAnsi"/>
          <w:lang w:eastAsia="ru-RU"/>
        </w:rPr>
        <w:t>accelerated</w:t>
      </w:r>
      <w:r w:rsidRPr="00FF2E9C">
        <w:rPr>
          <w:rFonts w:cstheme="minorHAnsi"/>
        </w:rPr>
        <w:t xml:space="preserve"> depreciation allowances, and capital injections, among others.</w:t>
      </w:r>
      <w:r w:rsidRPr="00D11FD9">
        <w:rPr>
          <w:rStyle w:val="FootnoteReference"/>
          <w:rFonts w:cstheme="minorHAnsi"/>
        </w:rPr>
        <w:footnoteRef/>
      </w:r>
      <w:r w:rsidRPr="00FF2E9C">
        <w:rPr>
          <w:rFonts w:cstheme="minorHAnsi"/>
        </w:rPr>
        <w:t xml:space="preserve"> Goals can include creating jobs, reducing pollution, investing in R&amp;D and innovation, supporting SMEs, and increasing access to services or goods, among others.</w:t>
      </w:r>
    </w:p>
    <w:p w14:paraId="7A7EAFD1" w14:textId="77777777" w:rsidR="00FF2E9C" w:rsidRPr="00FF2E9C" w:rsidRDefault="00FF2E9C" w:rsidP="00246D05">
      <w:pPr>
        <w:pStyle w:val="ListParagraph"/>
        <w:spacing w:after="160" w:line="259" w:lineRule="auto"/>
        <w:ind w:left="0"/>
        <w:jc w:val="both"/>
        <w:rPr>
          <w:rFonts w:cstheme="minorHAnsi"/>
        </w:rPr>
      </w:pPr>
    </w:p>
    <w:p w14:paraId="64DA9D95" w14:textId="2AFC7C95" w:rsidR="00FF2E9C" w:rsidRPr="00D60133" w:rsidRDefault="00FF2E9C" w:rsidP="00246D05">
      <w:pPr>
        <w:pStyle w:val="ListParagraph"/>
        <w:numPr>
          <w:ilvl w:val="0"/>
          <w:numId w:val="34"/>
        </w:numPr>
        <w:spacing w:after="160" w:line="259" w:lineRule="auto"/>
        <w:ind w:left="0" w:firstLine="0"/>
        <w:jc w:val="both"/>
        <w:rPr>
          <w:rFonts w:cstheme="minorHAnsi"/>
        </w:rPr>
      </w:pPr>
      <w:r w:rsidRPr="00246D05">
        <w:rPr>
          <w:rFonts w:cstheme="minorHAnsi"/>
          <w:b/>
        </w:rPr>
        <w:t>However, state aid can be detrimental to productivity, creating advantages to dominant firms, facilitating anticompetitive behavior, and driving efficient players out of the market.</w:t>
      </w:r>
      <w:r w:rsidRPr="00FF2E9C">
        <w:rPr>
          <w:rFonts w:cstheme="minorHAnsi"/>
        </w:rPr>
        <w:t xml:space="preserve"> First, support measures to firms can facilitate </w:t>
      </w:r>
      <w:r w:rsidRPr="00FF2E9C">
        <w:rPr>
          <w:rFonts w:cstheme="minorHAnsi"/>
          <w:i/>
        </w:rPr>
        <w:t>anticompetitive behavior</w:t>
      </w:r>
      <w:r w:rsidRPr="00FF2E9C">
        <w:rPr>
          <w:rFonts w:cstheme="minorHAnsi"/>
        </w:rPr>
        <w:t>; they can create or protect dominant players in markets, unduly incentivize firm consolidation (which increases the risk of cartel formation) and create barriers to entry that prevent future competition.</w:t>
      </w:r>
      <w:r w:rsidR="00B248CD">
        <w:rPr>
          <w:rFonts w:cstheme="minorHAnsi"/>
        </w:rPr>
        <w:t xml:space="preserve"> </w:t>
      </w:r>
      <w:r w:rsidR="00EA4A5D" w:rsidRPr="00B248CD">
        <w:rPr>
          <w:rFonts w:cstheme="minorHAnsi"/>
        </w:rPr>
        <w:t xml:space="preserve">Beneficiaries may use the public support to increase their market power through the adoption of a sustained </w:t>
      </w:r>
      <w:r w:rsidR="00EA4A5D" w:rsidRPr="00246D05">
        <w:rPr>
          <w:rFonts w:cstheme="minorHAnsi"/>
          <w:bCs/>
        </w:rPr>
        <w:t>below-cost price strategy which forces the exit of equally or even more efficient competitors</w:t>
      </w:r>
      <w:r w:rsidR="00EA4A5D" w:rsidRPr="00B248CD">
        <w:rPr>
          <w:rFonts w:cstheme="minorHAnsi"/>
          <w:b/>
          <w:bCs/>
        </w:rPr>
        <w:t xml:space="preserve"> </w:t>
      </w:r>
      <w:r w:rsidR="00EA4A5D" w:rsidRPr="00B248CD">
        <w:rPr>
          <w:rFonts w:cstheme="minorHAnsi"/>
        </w:rPr>
        <w:t>unable to compete with the distorted prices of the beneficiary</w:t>
      </w:r>
      <w:r w:rsidR="00B248CD">
        <w:rPr>
          <w:rFonts w:cstheme="minorHAnsi"/>
        </w:rPr>
        <w:t xml:space="preserve">. </w:t>
      </w:r>
      <w:r w:rsidRPr="00B248CD">
        <w:rPr>
          <w:rFonts w:cstheme="minorHAnsi"/>
        </w:rPr>
        <w:t xml:space="preserve"> Second, they can generate </w:t>
      </w:r>
      <w:r w:rsidRPr="00B248CD">
        <w:rPr>
          <w:rFonts w:cstheme="minorHAnsi"/>
          <w:i/>
        </w:rPr>
        <w:t>market inefficiencies;</w:t>
      </w:r>
      <w:r w:rsidRPr="00B248CD">
        <w:rPr>
          <w:rFonts w:cstheme="minorHAnsi"/>
        </w:rPr>
        <w:t xml:space="preserve"> incentives can </w:t>
      </w:r>
      <w:r w:rsidRPr="00B248CD">
        <w:rPr>
          <w:rFonts w:cstheme="minorHAnsi"/>
          <w:lang w:eastAsia="ru-RU"/>
        </w:rPr>
        <w:t>discourage</w:t>
      </w:r>
      <w:r w:rsidRPr="00B248CD">
        <w:rPr>
          <w:rFonts w:cstheme="minorHAnsi"/>
        </w:rPr>
        <w:t xml:space="preserve"> beneficiaries from enhancing productive efficiency and innovating</w:t>
      </w:r>
      <w:r w:rsidR="00657B4D">
        <w:rPr>
          <w:rFonts w:cstheme="minorHAnsi"/>
        </w:rPr>
        <w:t xml:space="preserve">, while also </w:t>
      </w:r>
      <w:r w:rsidR="007F3FBD">
        <w:rPr>
          <w:rFonts w:cstheme="minorHAnsi"/>
        </w:rPr>
        <w:t xml:space="preserve">potentially </w:t>
      </w:r>
      <w:r w:rsidR="00657B4D">
        <w:rPr>
          <w:rFonts w:cstheme="minorHAnsi"/>
        </w:rPr>
        <w:t xml:space="preserve">crowding out </w:t>
      </w:r>
      <w:r w:rsidR="007F3FBD">
        <w:rPr>
          <w:rFonts w:cstheme="minorHAnsi"/>
        </w:rPr>
        <w:t xml:space="preserve">investment from </w:t>
      </w:r>
      <w:r w:rsidRPr="00657B4D">
        <w:rPr>
          <w:rFonts w:cstheme="minorHAnsi"/>
        </w:rPr>
        <w:t>more or equally efficient firms that do not benefit from the incentive scheme. Both channels lead to non-competitive market outcomes such as lower affordability, access, product variety or quality, and to lower investment, productivity, innovation or output.</w:t>
      </w:r>
      <w:r w:rsidR="003872BA">
        <w:rPr>
          <w:rStyle w:val="FootnoteReference"/>
          <w:rFonts w:cstheme="minorHAnsi"/>
        </w:rPr>
        <w:footnoteReference w:id="30"/>
      </w:r>
      <w:r w:rsidR="003A151E">
        <w:rPr>
          <w:rFonts w:cstheme="minorHAnsi"/>
        </w:rPr>
        <w:t xml:space="preserve"> </w:t>
      </w:r>
      <w:r w:rsidR="00C76A51">
        <w:rPr>
          <w:rFonts w:cstheme="minorHAnsi"/>
        </w:rPr>
        <w:t>Finally</w:t>
      </w:r>
      <w:r w:rsidR="00D60133" w:rsidRPr="00D60133">
        <w:rPr>
          <w:rFonts w:cstheme="minorHAnsi"/>
        </w:rPr>
        <w:t xml:space="preserve">, </w:t>
      </w:r>
      <w:r w:rsidR="00C76A51">
        <w:rPr>
          <w:rFonts w:cstheme="minorHAnsi"/>
        </w:rPr>
        <w:t>state aid</w:t>
      </w:r>
      <w:r w:rsidR="00D60133" w:rsidRPr="00D60133">
        <w:rPr>
          <w:rFonts w:cstheme="minorHAnsi"/>
        </w:rPr>
        <w:t xml:space="preserve"> entail</w:t>
      </w:r>
      <w:r w:rsidR="00C76A51">
        <w:rPr>
          <w:rFonts w:cstheme="minorHAnsi"/>
        </w:rPr>
        <w:t>s</w:t>
      </w:r>
      <w:r w:rsidR="00D60133" w:rsidRPr="00D60133">
        <w:rPr>
          <w:rFonts w:cstheme="minorHAnsi"/>
        </w:rPr>
        <w:t xml:space="preserve"> a significant </w:t>
      </w:r>
      <w:r w:rsidR="00D60133" w:rsidRPr="00246D05">
        <w:rPr>
          <w:rFonts w:cstheme="minorHAnsi"/>
          <w:bCs/>
        </w:rPr>
        <w:t xml:space="preserve">opportunity cost for the granting public </w:t>
      </w:r>
      <w:r w:rsidR="00C76A51" w:rsidRPr="00C76A51">
        <w:rPr>
          <w:rFonts w:cstheme="minorHAnsi"/>
          <w:bCs/>
        </w:rPr>
        <w:t>authorities</w:t>
      </w:r>
      <w:r w:rsidR="00C76A51">
        <w:rPr>
          <w:rFonts w:cstheme="minorHAnsi"/>
        </w:rPr>
        <w:t xml:space="preserve"> in terms of </w:t>
      </w:r>
      <w:r w:rsidR="00653117">
        <w:rPr>
          <w:rFonts w:cstheme="minorHAnsi"/>
        </w:rPr>
        <w:t>resources that could be spent on other public goods</w:t>
      </w:r>
      <w:r w:rsidR="007F687D">
        <w:rPr>
          <w:rFonts w:cstheme="minorHAnsi"/>
        </w:rPr>
        <w:t xml:space="preserve"> and services, meaning </w:t>
      </w:r>
      <w:r w:rsidR="009D378D">
        <w:rPr>
          <w:rFonts w:cstheme="minorHAnsi"/>
        </w:rPr>
        <w:t>it is crucial to ensure that these funds are being used effectively</w:t>
      </w:r>
      <w:r w:rsidR="001A356C">
        <w:rPr>
          <w:rFonts w:cstheme="minorHAnsi"/>
          <w:bCs/>
        </w:rPr>
        <w:t>.</w:t>
      </w:r>
    </w:p>
    <w:p w14:paraId="4AEC8D27" w14:textId="77777777" w:rsidR="00FF2E9C" w:rsidRPr="00246D05" w:rsidRDefault="00FF2E9C" w:rsidP="00246D05">
      <w:pPr>
        <w:pStyle w:val="ListParagraph"/>
        <w:spacing w:after="160" w:line="259" w:lineRule="auto"/>
        <w:ind w:left="0"/>
        <w:jc w:val="both"/>
        <w:rPr>
          <w:rFonts w:asciiTheme="minorHAnsi" w:hAnsiTheme="minorHAnsi" w:cstheme="minorHAnsi"/>
          <w:color w:val="000000" w:themeColor="text1"/>
        </w:rPr>
      </w:pPr>
    </w:p>
    <w:p w14:paraId="2A9AE89A" w14:textId="606CB8EC" w:rsidR="00D20C02" w:rsidRPr="00246D05" w:rsidRDefault="00FF54AA" w:rsidP="004631D9">
      <w:pPr>
        <w:pStyle w:val="ListParagraph"/>
        <w:numPr>
          <w:ilvl w:val="0"/>
          <w:numId w:val="34"/>
        </w:numPr>
        <w:spacing w:after="160" w:line="259" w:lineRule="auto"/>
        <w:ind w:left="0" w:firstLine="0"/>
        <w:jc w:val="both"/>
        <w:rPr>
          <w:rFonts w:asciiTheme="minorHAnsi" w:hAnsiTheme="minorHAnsi" w:cstheme="minorHAnsi"/>
          <w:color w:val="000000" w:themeColor="text1"/>
        </w:rPr>
      </w:pPr>
      <w:r w:rsidRPr="00246D05">
        <w:rPr>
          <w:rFonts w:asciiTheme="minorHAnsi" w:hAnsiTheme="minorHAnsi" w:cstheme="minorHAnsi"/>
          <w:b/>
          <w:color w:val="000000" w:themeColor="text1"/>
        </w:rPr>
        <w:t>Armenia has not implemented a framework to control state aid and minimize distortions from such advantages on competition.</w:t>
      </w:r>
      <w:r w:rsidR="00C72A14" w:rsidRPr="00246D05">
        <w:rPr>
          <w:rFonts w:asciiTheme="minorHAnsi" w:hAnsiTheme="minorHAnsi" w:cstheme="minorHAnsi"/>
          <w:color w:val="000000" w:themeColor="text1"/>
          <w:vertAlign w:val="superscript"/>
        </w:rPr>
        <w:footnoteReference w:id="31"/>
      </w:r>
      <w:r w:rsidR="00FC4934" w:rsidRPr="00246D05">
        <w:rPr>
          <w:rFonts w:asciiTheme="minorHAnsi" w:hAnsiTheme="minorHAnsi" w:cstheme="minorHAnsi"/>
          <w:color w:val="000000" w:themeColor="text1"/>
        </w:rPr>
        <w:t xml:space="preserve"> </w:t>
      </w:r>
      <w:r w:rsidR="00F802E4" w:rsidRPr="00D11FD9">
        <w:t xml:space="preserve">A state aid control framework </w:t>
      </w:r>
      <w:r w:rsidR="00F802E4">
        <w:t>seeks to embed</w:t>
      </w:r>
      <w:r w:rsidR="00F802E4" w:rsidRPr="00D11FD9">
        <w:t xml:space="preserve"> the principles of transparency, selectivity and competitive</w:t>
      </w:r>
      <w:r w:rsidR="00F802E4" w:rsidRPr="00D11FD9">
        <w:rPr>
          <w:bCs/>
        </w:rPr>
        <w:t xml:space="preserve"> neutrality</w:t>
      </w:r>
      <w:r w:rsidR="00F802E4" w:rsidRPr="00D11FD9">
        <w:rPr>
          <w:rStyle w:val="FootnoteReference"/>
          <w:bCs/>
        </w:rPr>
        <w:footnoteReference w:id="32"/>
      </w:r>
      <w:r w:rsidR="00F802E4" w:rsidRPr="00D11FD9">
        <w:rPr>
          <w:bCs/>
        </w:rPr>
        <w:t xml:space="preserve"> in the granting of state aid which are important to maximize the benefits of government support to markets. </w:t>
      </w:r>
      <w:r w:rsidR="00961368" w:rsidRPr="00246D05">
        <w:rPr>
          <w:rFonts w:asciiTheme="minorHAnsi" w:hAnsiTheme="minorHAnsi" w:cstheme="minorHAnsi"/>
          <w:color w:val="000000" w:themeColor="text1"/>
        </w:rPr>
        <w:t>As mentioned above, some investment incentives and other financial advantages in Armenia continue to be granted on a case-by-case basis risking creating an unlevel playing field between firms and perpetuating market concentration by leaving non-beneficiary firms in a weak position or out of the market. While such state aid is aimed at supporting specific economic policy objectives, it might also generate competition distortions if criteria are not clear or are not transparent.</w:t>
      </w:r>
      <w:r w:rsidR="0070488A">
        <w:rPr>
          <w:rFonts w:asciiTheme="minorHAnsi" w:hAnsiTheme="minorHAnsi" w:cstheme="minorHAnsi"/>
          <w:color w:val="000000" w:themeColor="text1"/>
        </w:rPr>
        <w:t xml:space="preserve"> </w:t>
      </w:r>
      <w:r w:rsidR="00D20C02" w:rsidRPr="004631D9">
        <w:rPr>
          <w:color w:val="000000" w:themeColor="text1"/>
        </w:rPr>
        <w:t xml:space="preserve">Putting in place </w:t>
      </w:r>
      <w:r w:rsidR="0070488A">
        <w:rPr>
          <w:color w:val="000000" w:themeColor="text1"/>
        </w:rPr>
        <w:t>a state aid control</w:t>
      </w:r>
      <w:r w:rsidR="00D20C02" w:rsidRPr="004631D9">
        <w:rPr>
          <w:color w:val="000000" w:themeColor="text1"/>
        </w:rPr>
        <w:t xml:space="preserve"> framework</w:t>
      </w:r>
      <w:r w:rsidR="00F802E4">
        <w:rPr>
          <w:color w:val="000000" w:themeColor="text1"/>
        </w:rPr>
        <w:t xml:space="preserve"> can help to minimize these distortions</w:t>
      </w:r>
      <w:r w:rsidR="00D20C02" w:rsidRPr="004631D9">
        <w:rPr>
          <w:color w:val="000000" w:themeColor="text1"/>
        </w:rPr>
        <w:t>,</w:t>
      </w:r>
      <w:r w:rsidR="00D20C02" w:rsidRPr="00E67EB7">
        <w:rPr>
          <w:color w:val="000000" w:themeColor="text1"/>
        </w:rPr>
        <w:t xml:space="preserve"> and to prevent previously informal advantages provided to some firms from being replaced by formalized advantages. </w:t>
      </w:r>
    </w:p>
    <w:p w14:paraId="3139A880" w14:textId="77777777" w:rsidR="00065552" w:rsidRPr="00246D05" w:rsidRDefault="00065552" w:rsidP="00246D05">
      <w:pPr>
        <w:pStyle w:val="ListParagraph"/>
        <w:rPr>
          <w:rFonts w:asciiTheme="minorHAnsi" w:hAnsiTheme="minorHAnsi" w:cstheme="minorHAnsi"/>
          <w:color w:val="000000" w:themeColor="text1"/>
        </w:rPr>
      </w:pPr>
    </w:p>
    <w:p w14:paraId="2B4FEDDE" w14:textId="6A4E44D9" w:rsidR="00175246" w:rsidRPr="00246D05" w:rsidRDefault="00CD33E3" w:rsidP="00246D05">
      <w:pPr>
        <w:widowControl w:val="0"/>
        <w:autoSpaceDE w:val="0"/>
        <w:autoSpaceDN w:val="0"/>
        <w:adjustRightInd w:val="0"/>
        <w:spacing w:before="72" w:after="240" w:line="259" w:lineRule="auto"/>
        <w:ind w:right="58"/>
        <w:jc w:val="both"/>
        <w:rPr>
          <w:color w:val="000000" w:themeColor="text1"/>
        </w:rPr>
      </w:pPr>
      <w:r w:rsidRPr="00246D05">
        <w:rPr>
          <w:b/>
          <w:color w:val="000000" w:themeColor="text1"/>
        </w:rPr>
        <w:t>Currently, the Competition Law includes some limited provisions on state aid, but these have not been enforced as a specific framework for identifying, reporting, and controlling state aid has not yet been put in place.</w:t>
      </w:r>
      <w:r w:rsidRPr="004631D9">
        <w:rPr>
          <w:b/>
          <w:color w:val="000000" w:themeColor="text1"/>
        </w:rPr>
        <w:t xml:space="preserve"> </w:t>
      </w:r>
      <w:r w:rsidR="00C72A14" w:rsidRPr="00246D05">
        <w:rPr>
          <w:rFonts w:asciiTheme="minorHAnsi" w:hAnsiTheme="minorHAnsi" w:cstheme="minorHAnsi"/>
          <w:color w:val="000000" w:themeColor="text1"/>
        </w:rPr>
        <w:t>According to Competition Law, government support that hinders competition is prohibited</w:t>
      </w:r>
      <w:r w:rsidR="00C72A14" w:rsidRPr="00246D05">
        <w:rPr>
          <w:rFonts w:asciiTheme="minorHAnsi" w:hAnsiTheme="minorHAnsi" w:cstheme="minorHAnsi"/>
          <w:color w:val="000000" w:themeColor="text1"/>
          <w:vertAlign w:val="superscript"/>
        </w:rPr>
        <w:footnoteReference w:id="33"/>
      </w:r>
      <w:r w:rsidR="00C72A14" w:rsidRPr="00246D05">
        <w:rPr>
          <w:rFonts w:asciiTheme="minorHAnsi" w:hAnsiTheme="minorHAnsi" w:cstheme="minorHAnsi"/>
          <w:color w:val="000000" w:themeColor="text1"/>
        </w:rPr>
        <w:t xml:space="preserve"> except in cases when the support in question is envisaged by the law based on a conclusion by SCPEC.</w:t>
      </w:r>
      <w:r w:rsidR="00893C62" w:rsidRPr="00246D05">
        <w:rPr>
          <w:rFonts w:asciiTheme="minorHAnsi" w:hAnsiTheme="minorHAnsi" w:cstheme="minorHAnsi"/>
          <w:color w:val="000000" w:themeColor="text1"/>
        </w:rPr>
        <w:t xml:space="preserve"> </w:t>
      </w:r>
      <w:r w:rsidR="00175246" w:rsidRPr="00246D05">
        <w:rPr>
          <w:color w:val="000000" w:themeColor="text1"/>
        </w:rPr>
        <w:t xml:space="preserve">The commitment to put in place a state aid control framework is part of Armenia’s Comprehensive Economic Partnership Agreement (CEPA) with the European Union (EU) and it will provide the authorities with a tool to more systematically, strategically and efficiently support the private sector. </w:t>
      </w:r>
    </w:p>
    <w:p w14:paraId="00A31CE2" w14:textId="226F0D56" w:rsidR="00E56AAE" w:rsidRPr="00E56AAE" w:rsidRDefault="001C3BC4" w:rsidP="00E56AAE">
      <w:pPr>
        <w:pStyle w:val="ListParagraph"/>
        <w:numPr>
          <w:ilvl w:val="0"/>
          <w:numId w:val="34"/>
        </w:numPr>
        <w:spacing w:after="160" w:line="259" w:lineRule="auto"/>
        <w:ind w:left="0" w:firstLine="0"/>
        <w:jc w:val="both"/>
        <w:rPr>
          <w:rFonts w:asciiTheme="minorHAnsi" w:hAnsiTheme="minorHAnsi" w:cstheme="minorHAnsi"/>
          <w:b/>
          <w:color w:val="000000" w:themeColor="text1"/>
        </w:rPr>
      </w:pPr>
      <w:r w:rsidRPr="00E56AAE">
        <w:rPr>
          <w:b/>
        </w:rPr>
        <w:t>Previous efforts</w:t>
      </w:r>
      <w:r w:rsidR="0047487A">
        <w:rPr>
          <w:b/>
        </w:rPr>
        <w:t xml:space="preserve"> </w:t>
      </w:r>
      <w:r w:rsidRPr="00E56AAE">
        <w:rPr>
          <w:b/>
        </w:rPr>
        <w:t>to enact and implement a legislative package which would operationalize the state aid framework have not been successful.</w:t>
      </w:r>
      <w:r w:rsidR="0047487A">
        <w:rPr>
          <w:rStyle w:val="FootnoteReference"/>
          <w:b/>
        </w:rPr>
        <w:footnoteReference w:id="34"/>
      </w:r>
      <w:r w:rsidRPr="00E56AAE">
        <w:rPr>
          <w:b/>
        </w:rPr>
        <w:t xml:space="preserve"> </w:t>
      </w:r>
      <w:r w:rsidR="00893C62">
        <w:t>S</w:t>
      </w:r>
      <w:r>
        <w:t xml:space="preserve">upport to this area would </w:t>
      </w:r>
      <w:r w:rsidR="00893C62">
        <w:t xml:space="preserve">therefore </w:t>
      </w:r>
      <w:r>
        <w:t xml:space="preserve">need to take a pragmatic approach </w:t>
      </w:r>
      <w:proofErr w:type="gramStart"/>
      <w:r>
        <w:t>taking into account</w:t>
      </w:r>
      <w:proofErr w:type="gramEnd"/>
      <w:r>
        <w:t xml:space="preserve"> SCPEC’s capacity to implement the framework. A possible starting point could be the building of a state aid database</w:t>
      </w:r>
      <w:r w:rsidR="002D6EFE">
        <w:t xml:space="preserve"> to take stock of existing schemes</w:t>
      </w:r>
      <w:r>
        <w:t xml:space="preserve"> which could evolve into a state aid inventory/</w:t>
      </w:r>
      <w:r w:rsidR="004F6127">
        <w:t>on</w:t>
      </w:r>
      <w:r w:rsidR="004F6127">
        <w:rPr>
          <w:lang w:val="hr-HR"/>
        </w:rPr>
        <w:t xml:space="preserve">-line </w:t>
      </w:r>
      <w:r>
        <w:t>portal</w:t>
      </w:r>
      <w:r w:rsidR="002D6EFE">
        <w:t xml:space="preserve"> </w:t>
      </w:r>
      <w:r w:rsidR="00485360">
        <w:t xml:space="preserve">and/or </w:t>
      </w:r>
      <w:r w:rsidR="004F6127">
        <w:t xml:space="preserve">with the help of </w:t>
      </w:r>
      <w:r w:rsidR="002D6EFE">
        <w:t xml:space="preserve">which a strategy on state aid could be developed. </w:t>
      </w:r>
    </w:p>
    <w:p w14:paraId="0C97BDE1" w14:textId="77777777" w:rsidR="00E56AAE" w:rsidRPr="00E56AAE" w:rsidRDefault="00E56AAE" w:rsidP="00E56AAE">
      <w:pPr>
        <w:pStyle w:val="ListParagraph"/>
        <w:rPr>
          <w:rFonts w:asciiTheme="minorHAnsi" w:hAnsiTheme="minorHAnsi" w:cstheme="minorHAnsi"/>
          <w:b/>
          <w:color w:val="000000" w:themeColor="text1"/>
          <w:shd w:val="clear" w:color="auto" w:fill="FFFFFF"/>
        </w:rPr>
      </w:pPr>
    </w:p>
    <w:p w14:paraId="345C27EC" w14:textId="77777777" w:rsidR="00E56AAE" w:rsidRPr="00E56AAE" w:rsidRDefault="00DE47E1" w:rsidP="00E56AAE">
      <w:pPr>
        <w:pStyle w:val="ListParagraph"/>
        <w:numPr>
          <w:ilvl w:val="0"/>
          <w:numId w:val="34"/>
        </w:numPr>
        <w:spacing w:after="160" w:line="259" w:lineRule="auto"/>
        <w:ind w:left="0" w:firstLine="0"/>
        <w:jc w:val="both"/>
        <w:rPr>
          <w:rFonts w:asciiTheme="minorHAnsi" w:hAnsiTheme="minorHAnsi" w:cstheme="minorHAnsi"/>
          <w:b/>
          <w:color w:val="000000" w:themeColor="text1"/>
        </w:rPr>
      </w:pPr>
      <w:r w:rsidRPr="00E56AAE">
        <w:rPr>
          <w:rFonts w:asciiTheme="minorHAnsi" w:hAnsiTheme="minorHAnsi" w:cstheme="minorHAnsi"/>
          <w:b/>
          <w:color w:val="000000" w:themeColor="text1"/>
          <w:shd w:val="clear" w:color="auto" w:fill="FFFFFF"/>
        </w:rPr>
        <w:t xml:space="preserve">An unlevel playing field caused by </w:t>
      </w:r>
      <w:r w:rsidRPr="00910DFF">
        <w:rPr>
          <w:rFonts w:asciiTheme="minorHAnsi" w:hAnsiTheme="minorHAnsi" w:cstheme="minorHAnsi"/>
          <w:b/>
          <w:i/>
          <w:color w:val="000000" w:themeColor="text1"/>
          <w:shd w:val="clear" w:color="auto" w:fill="FFFFFF"/>
        </w:rPr>
        <w:t>de facto</w:t>
      </w:r>
      <w:r w:rsidRPr="00E56AAE">
        <w:rPr>
          <w:rFonts w:asciiTheme="minorHAnsi" w:hAnsiTheme="minorHAnsi" w:cstheme="minorHAnsi"/>
          <w:b/>
          <w:color w:val="000000" w:themeColor="text1"/>
          <w:shd w:val="clear" w:color="auto" w:fill="FFFFFF"/>
        </w:rPr>
        <w:t xml:space="preserve"> advantages for certain players in terms of the </w:t>
      </w:r>
      <w:r w:rsidRPr="00910DFF">
        <w:rPr>
          <w:rFonts w:asciiTheme="minorHAnsi" w:hAnsiTheme="minorHAnsi" w:cstheme="minorHAnsi"/>
          <w:b/>
          <w:color w:val="000000" w:themeColor="text1"/>
          <w:shd w:val="clear" w:color="auto" w:fill="FFFFFF"/>
        </w:rPr>
        <w:t>implementation</w:t>
      </w:r>
      <w:r w:rsidRPr="00E56AAE">
        <w:rPr>
          <w:rFonts w:asciiTheme="minorHAnsi" w:hAnsiTheme="minorHAnsi" w:cstheme="minorHAnsi"/>
          <w:b/>
          <w:i/>
          <w:color w:val="000000" w:themeColor="text1"/>
          <w:shd w:val="clear" w:color="auto" w:fill="FFFFFF"/>
        </w:rPr>
        <w:t xml:space="preserve"> </w:t>
      </w:r>
      <w:r w:rsidRPr="00E56AAE">
        <w:rPr>
          <w:rFonts w:asciiTheme="minorHAnsi" w:hAnsiTheme="minorHAnsi" w:cstheme="minorHAnsi"/>
          <w:b/>
          <w:color w:val="000000" w:themeColor="text1"/>
          <w:shd w:val="clear" w:color="auto" w:fill="FFFFFF"/>
        </w:rPr>
        <w:t xml:space="preserve">of the tax code emerged as a significant issue for </w:t>
      </w:r>
      <w:proofErr w:type="gramStart"/>
      <w:r w:rsidRPr="00E56AAE">
        <w:rPr>
          <w:rFonts w:asciiTheme="minorHAnsi" w:hAnsiTheme="minorHAnsi" w:cstheme="minorHAnsi"/>
          <w:b/>
          <w:color w:val="000000" w:themeColor="text1"/>
          <w:shd w:val="clear" w:color="auto" w:fill="FFFFFF"/>
        </w:rPr>
        <w:t>a number of</w:t>
      </w:r>
      <w:proofErr w:type="gramEnd"/>
      <w:r w:rsidRPr="00E56AAE">
        <w:rPr>
          <w:rFonts w:asciiTheme="minorHAnsi" w:hAnsiTheme="minorHAnsi" w:cstheme="minorHAnsi"/>
          <w:b/>
          <w:color w:val="000000" w:themeColor="text1"/>
          <w:shd w:val="clear" w:color="auto" w:fill="FFFFFF"/>
        </w:rPr>
        <w:t xml:space="preserve"> the private sector players interviewed</w:t>
      </w:r>
      <w:r w:rsidR="004F6127">
        <w:rPr>
          <w:rFonts w:asciiTheme="minorHAnsi" w:hAnsiTheme="minorHAnsi" w:cstheme="minorHAnsi"/>
          <w:b/>
          <w:color w:val="000000" w:themeColor="text1"/>
          <w:shd w:val="clear" w:color="auto" w:fill="FFFFFF"/>
        </w:rPr>
        <w:t>.</w:t>
      </w:r>
      <w:r w:rsidRPr="00E56AAE">
        <w:rPr>
          <w:rFonts w:asciiTheme="minorHAnsi" w:hAnsiTheme="minorHAnsi" w:cstheme="minorHAnsi"/>
          <w:b/>
          <w:color w:val="000000" w:themeColor="text1"/>
          <w:shd w:val="clear" w:color="auto" w:fill="FFFFFF"/>
        </w:rPr>
        <w:t xml:space="preserve">  </w:t>
      </w:r>
      <w:r w:rsidRPr="00E56AAE">
        <w:rPr>
          <w:rFonts w:asciiTheme="minorHAnsi" w:hAnsiTheme="minorHAnsi" w:cstheme="minorHAnsi"/>
          <w:color w:val="000000" w:themeColor="text1"/>
          <w:shd w:val="clear" w:color="auto" w:fill="FFFFFF"/>
        </w:rPr>
        <w:t xml:space="preserve">Discriminatory audits/enforcement which allowed some firms to take advantage of the system (transfer pricing between subsidiaries, under-reporting, </w:t>
      </w:r>
      <w:proofErr w:type="spellStart"/>
      <w:r w:rsidRPr="00E56AAE">
        <w:rPr>
          <w:rFonts w:asciiTheme="minorHAnsi" w:hAnsiTheme="minorHAnsi" w:cstheme="minorHAnsi"/>
          <w:color w:val="000000" w:themeColor="text1"/>
          <w:shd w:val="clear" w:color="auto" w:fill="FFFFFF"/>
        </w:rPr>
        <w:t>etc</w:t>
      </w:r>
      <w:proofErr w:type="spellEnd"/>
      <w:r w:rsidRPr="00E56AAE">
        <w:rPr>
          <w:rFonts w:asciiTheme="minorHAnsi" w:hAnsiTheme="minorHAnsi" w:cstheme="minorHAnsi"/>
          <w:color w:val="000000" w:themeColor="text1"/>
          <w:shd w:val="clear" w:color="auto" w:fill="FFFFFF"/>
        </w:rPr>
        <w:t xml:space="preserve">) while penalizing others was identified as a significant problem by </w:t>
      </w:r>
      <w:proofErr w:type="gramStart"/>
      <w:r w:rsidRPr="00E56AAE">
        <w:rPr>
          <w:rFonts w:asciiTheme="minorHAnsi" w:hAnsiTheme="minorHAnsi" w:cstheme="minorHAnsi"/>
          <w:color w:val="000000" w:themeColor="text1"/>
          <w:shd w:val="clear" w:color="auto" w:fill="FFFFFF"/>
        </w:rPr>
        <w:t>a number of</w:t>
      </w:r>
      <w:proofErr w:type="gramEnd"/>
      <w:r w:rsidRPr="00E56AAE">
        <w:rPr>
          <w:rFonts w:asciiTheme="minorHAnsi" w:hAnsiTheme="minorHAnsi" w:cstheme="minorHAnsi"/>
          <w:color w:val="000000" w:themeColor="text1"/>
          <w:shd w:val="clear" w:color="auto" w:fill="FFFFFF"/>
        </w:rPr>
        <w:t xml:space="preserve"> interviewed firms. Although many were optimistic that this would no longer be an issue with the new government. It should be noted that a state aid control framework would not pick up these issues, and this would instead require continued strengthening of tax and customs administration systems.</w:t>
      </w:r>
    </w:p>
    <w:p w14:paraId="4E745D24" w14:textId="77777777" w:rsidR="00E56AAE" w:rsidRPr="00E56AAE" w:rsidRDefault="00E56AAE" w:rsidP="00E56AAE">
      <w:pPr>
        <w:pStyle w:val="ListParagraph"/>
        <w:rPr>
          <w:b/>
        </w:rPr>
      </w:pPr>
    </w:p>
    <w:p w14:paraId="61260C73" w14:textId="77777777" w:rsidR="00485360" w:rsidRPr="00E56AAE" w:rsidRDefault="00485360" w:rsidP="00E56AAE">
      <w:pPr>
        <w:pStyle w:val="ListParagraph"/>
        <w:numPr>
          <w:ilvl w:val="0"/>
          <w:numId w:val="34"/>
        </w:numPr>
        <w:spacing w:after="160" w:line="259" w:lineRule="auto"/>
        <w:ind w:left="0" w:firstLine="0"/>
        <w:jc w:val="both"/>
        <w:rPr>
          <w:rFonts w:asciiTheme="minorHAnsi" w:hAnsiTheme="minorHAnsi" w:cstheme="minorHAnsi"/>
          <w:b/>
          <w:color w:val="000000" w:themeColor="text1"/>
        </w:rPr>
      </w:pPr>
      <w:r w:rsidRPr="00E56AAE">
        <w:rPr>
          <w:b/>
        </w:rPr>
        <w:t>Competitive</w:t>
      </w:r>
      <w:r w:rsidRPr="00E56AAE">
        <w:rPr>
          <w:b/>
          <w:bCs/>
        </w:rPr>
        <w:t xml:space="preserve"> neutrality</w:t>
      </w:r>
      <w:r w:rsidR="001B1F40">
        <w:rPr>
          <w:rStyle w:val="FootnoteReference"/>
          <w:b/>
          <w:bCs/>
        </w:rPr>
        <w:footnoteReference w:id="35"/>
      </w:r>
      <w:r w:rsidRPr="00E56AAE">
        <w:rPr>
          <w:b/>
          <w:bCs/>
        </w:rPr>
        <w:t xml:space="preserve"> in the granting of state aid </w:t>
      </w:r>
      <w:r w:rsidR="008D7582" w:rsidRPr="00E56AAE">
        <w:rPr>
          <w:b/>
          <w:bCs/>
        </w:rPr>
        <w:t xml:space="preserve">is </w:t>
      </w:r>
      <w:r w:rsidRPr="00E56AAE">
        <w:rPr>
          <w:b/>
          <w:bCs/>
        </w:rPr>
        <w:t xml:space="preserve">important to maximize the benefits of government support to markets. </w:t>
      </w:r>
      <w:r w:rsidRPr="00E56AAE">
        <w:rPr>
          <w:bCs/>
        </w:rPr>
        <w:t>Putting in place this framework could become increasingly important (</w:t>
      </w:r>
      <w:proofErr w:type="spellStart"/>
      <w:r w:rsidRPr="00E56AAE">
        <w:rPr>
          <w:bCs/>
        </w:rPr>
        <w:t>i</w:t>
      </w:r>
      <w:proofErr w:type="spellEnd"/>
      <w:r w:rsidRPr="00E56AAE">
        <w:rPr>
          <w:bCs/>
        </w:rPr>
        <w:t xml:space="preserve">) as the </w:t>
      </w:r>
      <w:proofErr w:type="spellStart"/>
      <w:r w:rsidRPr="00E56AAE">
        <w:rPr>
          <w:bCs/>
        </w:rPr>
        <w:t>GoA</w:t>
      </w:r>
      <w:proofErr w:type="spellEnd"/>
      <w:r w:rsidRPr="00E56AAE">
        <w:rPr>
          <w:bCs/>
        </w:rPr>
        <w:t xml:space="preserve"> further develops its industrial policy; and (ii) to prevent previously informal advantages</w:t>
      </w:r>
      <w:r w:rsidR="00A15D8E" w:rsidRPr="00E56AAE">
        <w:rPr>
          <w:bCs/>
        </w:rPr>
        <w:t xml:space="preserve"> being</w:t>
      </w:r>
      <w:r w:rsidRPr="00E56AAE">
        <w:rPr>
          <w:bCs/>
        </w:rPr>
        <w:t xml:space="preserve"> formalized</w:t>
      </w:r>
      <w:r w:rsidR="00A15D8E" w:rsidRPr="00E56AAE">
        <w:rPr>
          <w:bCs/>
        </w:rPr>
        <w:t xml:space="preserve"> in future through instruments of state aid</w:t>
      </w:r>
      <w:r w:rsidRPr="00E56AAE">
        <w:rPr>
          <w:bCs/>
        </w:rPr>
        <w:t>.</w:t>
      </w:r>
    </w:p>
    <w:p w14:paraId="0BB87C2F" w14:textId="311780F8" w:rsidR="001A6198" w:rsidRDefault="00C84852" w:rsidP="00246D05">
      <w:pPr>
        <w:pStyle w:val="Heading4"/>
      </w:pPr>
      <w:r w:rsidRPr="00C84852">
        <w:t xml:space="preserve">Competition concerns in </w:t>
      </w:r>
      <w:r w:rsidR="00DB6F62">
        <w:t>the public procurement</w:t>
      </w:r>
      <w:r w:rsidRPr="00C84852">
        <w:t xml:space="preserve"> framework</w:t>
      </w:r>
    </w:p>
    <w:p w14:paraId="3F80D9D6" w14:textId="77777777" w:rsidR="00E56AAE" w:rsidRPr="00E56AAE" w:rsidRDefault="00E56AAE" w:rsidP="00E56AAE"/>
    <w:p w14:paraId="4D31BA83" w14:textId="195F6FC1" w:rsidR="00CB367F" w:rsidRDefault="008A1819" w:rsidP="00E56AAE">
      <w:pPr>
        <w:pStyle w:val="ListParagraph"/>
        <w:numPr>
          <w:ilvl w:val="0"/>
          <w:numId w:val="34"/>
        </w:numPr>
        <w:spacing w:after="160" w:line="259" w:lineRule="auto"/>
        <w:ind w:left="0" w:firstLine="0"/>
        <w:jc w:val="both"/>
      </w:pPr>
      <w:r>
        <w:rPr>
          <w:b/>
        </w:rPr>
        <w:t xml:space="preserve">The </w:t>
      </w:r>
      <w:r w:rsidRPr="008A1819">
        <w:rPr>
          <w:b/>
        </w:rPr>
        <w:t>Ministry of Finance (</w:t>
      </w:r>
      <w:proofErr w:type="spellStart"/>
      <w:r w:rsidRPr="008A1819">
        <w:rPr>
          <w:b/>
        </w:rPr>
        <w:t>MoF</w:t>
      </w:r>
      <w:proofErr w:type="spellEnd"/>
      <w:r w:rsidRPr="008A1819">
        <w:rPr>
          <w:b/>
        </w:rPr>
        <w:t>) reports some success</w:t>
      </w:r>
      <w:r>
        <w:rPr>
          <w:b/>
        </w:rPr>
        <w:t xml:space="preserve"> in boosting competition</w:t>
      </w:r>
      <w:r w:rsidRPr="008A1819">
        <w:rPr>
          <w:b/>
        </w:rPr>
        <w:t xml:space="preserve"> from</w:t>
      </w:r>
      <w:r>
        <w:t xml:space="preserve"> </w:t>
      </w:r>
      <w:r w:rsidR="001A6198" w:rsidRPr="00CB367F">
        <w:rPr>
          <w:b/>
        </w:rPr>
        <w:t xml:space="preserve">recent reforms to the public </w:t>
      </w:r>
      <w:r w:rsidR="00B12C9E" w:rsidRPr="00CB367F">
        <w:rPr>
          <w:b/>
        </w:rPr>
        <w:t>procurement framework</w:t>
      </w:r>
      <w:r w:rsidR="0062476D" w:rsidRPr="00CB367F">
        <w:rPr>
          <w:b/>
        </w:rPr>
        <w:t xml:space="preserve"> (with a new procurement law passed in 2017)</w:t>
      </w:r>
      <w:r>
        <w:rPr>
          <w:b/>
        </w:rPr>
        <w:t xml:space="preserve">. </w:t>
      </w:r>
      <w:r w:rsidRPr="008A1819">
        <w:t>T</w:t>
      </w:r>
      <w:r w:rsidR="002154E7" w:rsidRPr="008A1819">
        <w:t xml:space="preserve">he </w:t>
      </w:r>
      <w:proofErr w:type="spellStart"/>
      <w:r>
        <w:t>MoF</w:t>
      </w:r>
      <w:proofErr w:type="spellEnd"/>
      <w:r w:rsidR="002154E7" w:rsidRPr="008A1819">
        <w:t xml:space="preserve"> </w:t>
      </w:r>
      <w:r w:rsidR="002F5613">
        <w:t>reports</w:t>
      </w:r>
      <w:r w:rsidR="002154E7" w:rsidRPr="008A1819">
        <w:t xml:space="preserve"> that</w:t>
      </w:r>
      <w:r w:rsidR="002154E7" w:rsidRPr="00CB367F">
        <w:rPr>
          <w:b/>
        </w:rPr>
        <w:t xml:space="preserve"> </w:t>
      </w:r>
      <w:r w:rsidR="002154E7">
        <w:t xml:space="preserve">the average bidders per tender increased to 4 in 2017 compared to 2.8 bidders in 2016. All </w:t>
      </w:r>
      <w:r w:rsidR="00CB367F">
        <w:t xml:space="preserve">large state procurers now </w:t>
      </w:r>
      <w:proofErr w:type="gramStart"/>
      <w:r w:rsidR="00CB367F">
        <w:t>use</w:t>
      </w:r>
      <w:proofErr w:type="gramEnd"/>
      <w:r w:rsidR="00CB367F">
        <w:t xml:space="preserve"> electronic procurement. Of the AMD 280 billion value of tenders, around AMD190 was procured competitively in 2017</w:t>
      </w:r>
      <w:r w:rsidR="00FE028E">
        <w:t>. This means that 32% of public procurement by value is still done on a non-competitive basis – a substantial amount</w:t>
      </w:r>
      <w:r w:rsidR="00E56AAE">
        <w:t>.</w:t>
      </w:r>
    </w:p>
    <w:p w14:paraId="07CD1048" w14:textId="77777777" w:rsidR="00E56AAE" w:rsidRDefault="00E56AAE" w:rsidP="00E56AAE">
      <w:pPr>
        <w:pStyle w:val="ListParagraph"/>
        <w:spacing w:after="160" w:line="259" w:lineRule="auto"/>
        <w:ind w:left="0"/>
        <w:jc w:val="both"/>
      </w:pPr>
    </w:p>
    <w:p w14:paraId="60F641B7" w14:textId="77777777" w:rsidR="00CB367F" w:rsidRDefault="00CB367F" w:rsidP="00E56AAE">
      <w:pPr>
        <w:pStyle w:val="ListParagraph"/>
        <w:numPr>
          <w:ilvl w:val="0"/>
          <w:numId w:val="34"/>
        </w:numPr>
        <w:spacing w:after="160" w:line="259" w:lineRule="auto"/>
        <w:ind w:left="0" w:firstLine="0"/>
        <w:jc w:val="both"/>
        <w:rPr>
          <w:b/>
        </w:rPr>
      </w:pPr>
      <w:r w:rsidRPr="00E56AAE">
        <w:rPr>
          <w:b/>
        </w:rPr>
        <w:t>However, from discussions with market players it appears there is room to encourage further competition</w:t>
      </w:r>
      <w:r w:rsidR="007066ED" w:rsidRPr="00E56AAE">
        <w:rPr>
          <w:b/>
        </w:rPr>
        <w:t xml:space="preserve"> and the following areas of the framework could be improved:</w:t>
      </w:r>
    </w:p>
    <w:p w14:paraId="62440616" w14:textId="77777777" w:rsidR="00E57E9D" w:rsidRPr="00E57E9D" w:rsidRDefault="00E57E9D" w:rsidP="00E57E9D">
      <w:pPr>
        <w:pStyle w:val="ListParagraph"/>
        <w:rPr>
          <w:b/>
        </w:rPr>
      </w:pPr>
    </w:p>
    <w:p w14:paraId="66AA5674" w14:textId="5862D09A" w:rsidR="00CB367F" w:rsidRDefault="007066ED" w:rsidP="00246D05">
      <w:pPr>
        <w:pStyle w:val="ListParagraph"/>
        <w:numPr>
          <w:ilvl w:val="0"/>
          <w:numId w:val="7"/>
        </w:numPr>
        <w:spacing w:after="160" w:line="259" w:lineRule="auto"/>
        <w:jc w:val="both"/>
      </w:pPr>
      <w:r w:rsidRPr="00205B03">
        <w:rPr>
          <w:b/>
        </w:rPr>
        <w:t>U</w:t>
      </w:r>
      <w:r w:rsidR="002357CB" w:rsidRPr="00205B03">
        <w:rPr>
          <w:b/>
        </w:rPr>
        <w:t>se of n</w:t>
      </w:r>
      <w:r w:rsidR="005114C0" w:rsidRPr="00205B03">
        <w:rPr>
          <w:b/>
        </w:rPr>
        <w:t>on-</w:t>
      </w:r>
      <w:r w:rsidR="002357CB" w:rsidRPr="00205B03">
        <w:rPr>
          <w:b/>
        </w:rPr>
        <w:t>competitive procedures:</w:t>
      </w:r>
      <w:r w:rsidR="005114C0">
        <w:t xml:space="preserve"> Single sourcing is still used by utilities and a</w:t>
      </w:r>
      <w:r w:rsidR="00CB367F">
        <w:t xml:space="preserve">round </w:t>
      </w:r>
      <w:r w:rsidR="00223176">
        <w:t>1.8</w:t>
      </w:r>
      <w:r w:rsidR="00CB367F">
        <w:t xml:space="preserve">% of </w:t>
      </w:r>
      <w:r w:rsidR="00223176">
        <w:t xml:space="preserve">the total value of </w:t>
      </w:r>
      <w:r w:rsidR="00CB367F">
        <w:t xml:space="preserve">tenders </w:t>
      </w:r>
      <w:r w:rsidR="00223176">
        <w:t>went</w:t>
      </w:r>
      <w:r w:rsidR="00CB367F">
        <w:t xml:space="preserve"> through an urgent single source process</w:t>
      </w:r>
      <w:r w:rsidR="00223176">
        <w:t xml:space="preserve"> in FY2017</w:t>
      </w:r>
      <w:r w:rsidR="00CB367F">
        <w:t>.</w:t>
      </w:r>
      <w:r w:rsidR="005114C0">
        <w:t xml:space="preserve"> This is a process for which purchases are deemed to be urgent. There is no </w:t>
      </w:r>
      <w:r w:rsidR="00CB367F">
        <w:t>monetary c</w:t>
      </w:r>
      <w:r w:rsidR="005114C0">
        <w:t>ap for use of this procedure and</w:t>
      </w:r>
      <w:r w:rsidR="00CB367F">
        <w:t xml:space="preserve"> </w:t>
      </w:r>
      <w:r w:rsidR="005114C0">
        <w:t>e</w:t>
      </w:r>
      <w:r w:rsidR="00CB367F">
        <w:t xml:space="preserve">ach procuring authority </w:t>
      </w:r>
      <w:proofErr w:type="gramStart"/>
      <w:r w:rsidR="00CB367F">
        <w:t>has the ability to</w:t>
      </w:r>
      <w:proofErr w:type="gramEnd"/>
      <w:r w:rsidR="00CB367F">
        <w:t xml:space="preserve"> approve using an urgent single sourcing procedure.</w:t>
      </w:r>
    </w:p>
    <w:p w14:paraId="6B90B9A6" w14:textId="4C623BB0" w:rsidR="00223176" w:rsidRPr="0075158B" w:rsidRDefault="00DE3B2F" w:rsidP="00246D05">
      <w:pPr>
        <w:pStyle w:val="ListParagraph"/>
        <w:numPr>
          <w:ilvl w:val="0"/>
          <w:numId w:val="7"/>
        </w:numPr>
        <w:jc w:val="both"/>
      </w:pPr>
      <w:r w:rsidRPr="00205B03">
        <w:rPr>
          <w:b/>
        </w:rPr>
        <w:t>Insufficient market research obligations for tender design</w:t>
      </w:r>
      <w:r w:rsidR="00FE028E" w:rsidRPr="00205B03">
        <w:rPr>
          <w:b/>
        </w:rPr>
        <w:t>:</w:t>
      </w:r>
      <w:r w:rsidR="002C1EFC">
        <w:t xml:space="preserve"> </w:t>
      </w:r>
      <w:r w:rsidR="00FE028E" w:rsidRPr="00FE028E">
        <w:t xml:space="preserve">Market research is </w:t>
      </w:r>
      <w:r w:rsidR="0016299B">
        <w:t>a critical</w:t>
      </w:r>
      <w:r w:rsidR="00FE028E" w:rsidRPr="00FE028E">
        <w:t xml:space="preserve"> aspect of value for money procurement. </w:t>
      </w:r>
      <w:r w:rsidR="002C1EFC">
        <w:t xml:space="preserve">Lack of accurate estimations might not only impact the tender design and in turn the number of potential bidders </w:t>
      </w:r>
      <w:r w:rsidR="007D3D5D">
        <w:t xml:space="preserve">that can </w:t>
      </w:r>
      <w:r w:rsidR="00292D60">
        <w:t xml:space="preserve">be qualified </w:t>
      </w:r>
      <w:r w:rsidR="002C1EFC">
        <w:t xml:space="preserve">but it can </w:t>
      </w:r>
      <w:r w:rsidR="002C1EFC" w:rsidRPr="0075158B">
        <w:t>also result in choosing procurement procedures</w:t>
      </w:r>
      <w:r w:rsidR="00292D60" w:rsidRPr="0075158B">
        <w:t xml:space="preserve"> that restrict competition and/or trigger </w:t>
      </w:r>
      <w:r w:rsidR="002C1EFC" w:rsidRPr="00E57E9D">
        <w:rPr>
          <w:i/>
        </w:rPr>
        <w:t>ex post</w:t>
      </w:r>
      <w:r w:rsidR="002C1EFC" w:rsidRPr="0075158B">
        <w:t xml:space="preserve"> modifications of the procurement contract.</w:t>
      </w:r>
      <w:r w:rsidR="0016299B" w:rsidRPr="0075158B">
        <w:rPr>
          <w:rStyle w:val="FootnoteReference"/>
        </w:rPr>
        <w:footnoteReference w:id="36"/>
      </w:r>
    </w:p>
    <w:p w14:paraId="6167718F" w14:textId="16BC00F3" w:rsidR="00223176" w:rsidRPr="0075158B" w:rsidRDefault="00223176" w:rsidP="00246D05">
      <w:pPr>
        <w:pStyle w:val="ListParagraph"/>
        <w:numPr>
          <w:ilvl w:val="0"/>
          <w:numId w:val="7"/>
        </w:numPr>
        <w:jc w:val="both"/>
      </w:pPr>
      <w:r w:rsidRPr="00223176">
        <w:rPr>
          <w:b/>
        </w:rPr>
        <w:t xml:space="preserve">Rigid qualification criteria (e.g. experience, financial) might affect entry/ability of firms to qualify: </w:t>
      </w:r>
      <w:r w:rsidRPr="00246D05">
        <w:t xml:space="preserve">For example, to qualify a bidder’s turnover for the last three years must be not less than the price offered – which may prevent new entrants from bidding. These requirements might be appropriate for some tenders, but not for all of them. In general qualification criteria should be developed based on a market assessment of prospective bidders’ capacity. </w:t>
      </w:r>
      <w:proofErr w:type="spellStart"/>
      <w:r w:rsidRPr="00246D05">
        <w:t>MoF</w:t>
      </w:r>
      <w:proofErr w:type="spellEnd"/>
      <w:r w:rsidRPr="00246D05">
        <w:t xml:space="preserve"> has reported that efforts are </w:t>
      </w:r>
      <w:r>
        <w:t xml:space="preserve">being </w:t>
      </w:r>
      <w:r w:rsidRPr="00246D05">
        <w:t>made to relax the requirements for proving qualification for small tenders (</w:t>
      </w:r>
      <w:r>
        <w:t xml:space="preserve">for </w:t>
      </w:r>
      <w:r w:rsidRPr="00246D05">
        <w:t xml:space="preserve">tenders in value of less than AMD </w:t>
      </w:r>
      <w:r>
        <w:t>10</w:t>
      </w:r>
      <w:r w:rsidRPr="00246D05">
        <w:t xml:space="preserve"> million</w:t>
      </w:r>
      <w:r>
        <w:t>, up from the current level of AMD 5 million</w:t>
      </w:r>
      <w:r w:rsidRPr="00246D05">
        <w:t>)</w:t>
      </w:r>
      <w:r>
        <w:rPr>
          <w:rStyle w:val="FootnoteReference"/>
        </w:rPr>
        <w:footnoteReference w:id="37"/>
      </w:r>
    </w:p>
    <w:p w14:paraId="70FD3DDB" w14:textId="77777777" w:rsidR="005E7500" w:rsidRDefault="00DE3B2F" w:rsidP="00246D05">
      <w:pPr>
        <w:pStyle w:val="ListParagraph"/>
        <w:numPr>
          <w:ilvl w:val="0"/>
          <w:numId w:val="7"/>
        </w:numPr>
        <w:jc w:val="both"/>
      </w:pPr>
      <w:r w:rsidRPr="00205B03">
        <w:rPr>
          <w:b/>
        </w:rPr>
        <w:t>P</w:t>
      </w:r>
      <w:r w:rsidR="001E50E0" w:rsidRPr="00205B03">
        <w:rPr>
          <w:b/>
        </w:rPr>
        <w:t>ublic procurement</w:t>
      </w:r>
      <w:r w:rsidRPr="00205B03">
        <w:rPr>
          <w:b/>
        </w:rPr>
        <w:t xml:space="preserve"> official</w:t>
      </w:r>
      <w:r w:rsidR="001A19EE" w:rsidRPr="00205B03">
        <w:rPr>
          <w:b/>
        </w:rPr>
        <w:t>s might design/award tenders in</w:t>
      </w:r>
      <w:r w:rsidRPr="00205B03">
        <w:rPr>
          <w:b/>
        </w:rPr>
        <w:t xml:space="preserve"> anticompetitive way</w:t>
      </w:r>
      <w:r w:rsidR="0062579D">
        <w:t>: This includes for example: overly-</w:t>
      </w:r>
      <w:r w:rsidRPr="00DE3B2F">
        <w:t xml:space="preserve">restrictive technical </w:t>
      </w:r>
      <w:r w:rsidR="0062579D">
        <w:t>specifications which only a few bidders can meet</w:t>
      </w:r>
      <w:r w:rsidRPr="00DE3B2F">
        <w:t xml:space="preserve">, </w:t>
      </w:r>
      <w:r w:rsidR="0062579D">
        <w:t>scope</w:t>
      </w:r>
      <w:r w:rsidR="0062579D" w:rsidRPr="00DE3B2F">
        <w:t xml:space="preserve"> </w:t>
      </w:r>
      <w:r w:rsidRPr="00DE3B2F">
        <w:t xml:space="preserve">to award tenders on quality grounds, </w:t>
      </w:r>
      <w:r w:rsidR="0062579D">
        <w:t xml:space="preserve">scope for </w:t>
      </w:r>
      <w:r w:rsidR="00292D60">
        <w:t xml:space="preserve">significant </w:t>
      </w:r>
      <w:r w:rsidRPr="00DE3B2F">
        <w:t>ex-post modifications</w:t>
      </w:r>
      <w:r w:rsidR="00FE028E">
        <w:t>.</w:t>
      </w:r>
      <w:r w:rsidR="00292D60" w:rsidDel="00292D60">
        <w:t xml:space="preserve"> </w:t>
      </w:r>
      <w:r w:rsidR="0062579D">
        <w:t>Regarding the first example, there is a need to standardize product specifications for commonly used goods.</w:t>
      </w:r>
    </w:p>
    <w:p w14:paraId="3E3AE495" w14:textId="77777777" w:rsidR="004643F8" w:rsidRDefault="005E7500" w:rsidP="00246D05">
      <w:pPr>
        <w:pStyle w:val="ListParagraph"/>
        <w:numPr>
          <w:ilvl w:val="0"/>
          <w:numId w:val="7"/>
        </w:numPr>
        <w:jc w:val="both"/>
      </w:pPr>
      <w:r w:rsidRPr="005E7500">
        <w:rPr>
          <w:b/>
        </w:rPr>
        <w:t>R</w:t>
      </w:r>
      <w:r w:rsidR="004643F8" w:rsidRPr="005E7500">
        <w:rPr>
          <w:b/>
        </w:rPr>
        <w:t>emaining gaps in the ongoing reform process</w:t>
      </w:r>
      <w:r w:rsidR="004643F8" w:rsidRPr="00D757B4">
        <w:t xml:space="preserve"> which w</w:t>
      </w:r>
      <w:r w:rsidR="004643F8">
        <w:t>ould help to boost competition further</w:t>
      </w:r>
      <w:r>
        <w:t xml:space="preserve"> are</w:t>
      </w:r>
      <w:r w:rsidR="00E320EB">
        <w:t>: (i) standardization of technical specifications through the development of a catalogue of specifications; and (ii) the improvement of procurement planning</w:t>
      </w:r>
      <w:r w:rsidR="009A0DB2">
        <w:t>.</w:t>
      </w:r>
      <w:r w:rsidR="00E320EB">
        <w:t xml:space="preserve"> </w:t>
      </w:r>
    </w:p>
    <w:p w14:paraId="746002DD" w14:textId="77777777" w:rsidR="005E7500" w:rsidRDefault="005E7500" w:rsidP="005E7500">
      <w:pPr>
        <w:pStyle w:val="ListParagraph"/>
        <w:ind w:left="1080"/>
        <w:jc w:val="both"/>
      </w:pPr>
    </w:p>
    <w:p w14:paraId="225AD737" w14:textId="77777777" w:rsidR="00694095" w:rsidRDefault="005A2F58" w:rsidP="00246D05">
      <w:pPr>
        <w:pStyle w:val="Heading3"/>
      </w:pPr>
      <w:bookmarkStart w:id="22" w:name="_Toc11855835"/>
      <w:r w:rsidRPr="005A2F58">
        <w:t>Pillar 3: Ensuring effective competition policy enforcement</w:t>
      </w:r>
      <w:bookmarkEnd w:id="22"/>
      <w:r w:rsidRPr="005A2F58">
        <w:t xml:space="preserve"> </w:t>
      </w:r>
    </w:p>
    <w:p w14:paraId="11FF276F" w14:textId="77777777" w:rsidR="00694095" w:rsidRDefault="00E446A4" w:rsidP="00775953">
      <w:pPr>
        <w:jc w:val="both"/>
      </w:pPr>
      <w:r>
        <w:t xml:space="preserve"> </w:t>
      </w:r>
    </w:p>
    <w:p w14:paraId="6A979E60" w14:textId="5E965631" w:rsidR="00D757B4" w:rsidRDefault="00694095" w:rsidP="00D757B4">
      <w:pPr>
        <w:pStyle w:val="ListParagraph"/>
        <w:numPr>
          <w:ilvl w:val="0"/>
          <w:numId w:val="34"/>
        </w:numPr>
        <w:spacing w:after="160" w:line="259" w:lineRule="auto"/>
        <w:ind w:left="0" w:firstLine="0"/>
        <w:jc w:val="both"/>
      </w:pPr>
      <w:r w:rsidRPr="00A65493">
        <w:rPr>
          <w:b/>
        </w:rPr>
        <w:t xml:space="preserve">Recent amendments have given SCPEC the </w:t>
      </w:r>
      <w:r w:rsidR="00911090">
        <w:rPr>
          <w:b/>
        </w:rPr>
        <w:t>possibility</w:t>
      </w:r>
      <w:r w:rsidR="00042A02" w:rsidRPr="00A65493">
        <w:rPr>
          <w:b/>
        </w:rPr>
        <w:t xml:space="preserve"> </w:t>
      </w:r>
      <w:r w:rsidRPr="00A65493">
        <w:rPr>
          <w:b/>
        </w:rPr>
        <w:t>to identify/sanction</w:t>
      </w:r>
      <w:r w:rsidR="00745352" w:rsidRPr="00A65493">
        <w:rPr>
          <w:b/>
        </w:rPr>
        <w:t xml:space="preserve"> </w:t>
      </w:r>
      <w:r w:rsidR="00C85D06">
        <w:rPr>
          <w:b/>
        </w:rPr>
        <w:t>“</w:t>
      </w:r>
      <w:r w:rsidR="00745352" w:rsidRPr="00A65493">
        <w:rPr>
          <w:b/>
        </w:rPr>
        <w:t>Anticompetitive Actions of Public Bodies</w:t>
      </w:r>
      <w:r w:rsidR="00C85D06">
        <w:rPr>
          <w:b/>
        </w:rPr>
        <w:t>”</w:t>
      </w:r>
      <w:r>
        <w:t xml:space="preserve"> (actions, conduct or legislation by a state body or official that restricts, prevents or blocks competition)</w:t>
      </w:r>
      <w:r w:rsidR="00117BFB">
        <w:t>.</w:t>
      </w:r>
      <w:r>
        <w:t xml:space="preserve"> </w:t>
      </w:r>
      <w:proofErr w:type="gramStart"/>
      <w:r w:rsidR="00117BFB">
        <w:t>However</w:t>
      </w:r>
      <w:proofErr w:type="gramEnd"/>
      <w:r w:rsidR="00117BFB">
        <w:t xml:space="preserve"> </w:t>
      </w:r>
      <w:r>
        <w:t>SCPEC does not currently have experie</w:t>
      </w:r>
      <w:r w:rsidR="00A65493">
        <w:t xml:space="preserve">nce </w:t>
      </w:r>
      <w:r w:rsidR="00042A02">
        <w:t xml:space="preserve">of </w:t>
      </w:r>
      <w:r w:rsidR="00A65493">
        <w:t>implement</w:t>
      </w:r>
      <w:r w:rsidR="00042A02">
        <w:t>ing</w:t>
      </w:r>
      <w:r w:rsidR="00A65493">
        <w:t xml:space="preserve"> this provision.</w:t>
      </w:r>
      <w:r w:rsidR="008160FD">
        <w:t xml:space="preserve"> Between 2010 and 2017, SCPEC </w:t>
      </w:r>
      <w:r w:rsidR="00042A02">
        <w:t xml:space="preserve">identified around </w:t>
      </w:r>
      <w:r w:rsidR="008160FD">
        <w:t xml:space="preserve">221 </w:t>
      </w:r>
      <w:r w:rsidR="00911090">
        <w:t xml:space="preserve">issues based on its conducted reviews </w:t>
      </w:r>
      <w:r w:rsidR="008160FD">
        <w:t xml:space="preserve">which the institution deemed involved </w:t>
      </w:r>
      <w:r w:rsidR="00911090">
        <w:t xml:space="preserve">powers </w:t>
      </w:r>
      <w:r w:rsidR="008160FD">
        <w:t>of other state bodies.</w:t>
      </w:r>
      <w:r w:rsidR="00A65493">
        <w:t xml:space="preserve"> Proper enforcement of </w:t>
      </w:r>
      <w:r w:rsidR="008160FD">
        <w:t>this</w:t>
      </w:r>
      <w:r w:rsidR="00A65493">
        <w:t xml:space="preserve"> provision could</w:t>
      </w:r>
      <w:r w:rsidR="008160FD">
        <w:t xml:space="preserve"> help tackle </w:t>
      </w:r>
      <w:r w:rsidR="00911090">
        <w:t xml:space="preserve">the mentioned </w:t>
      </w:r>
      <w:r w:rsidR="008160FD">
        <w:t>issues and could</w:t>
      </w:r>
      <w:r w:rsidR="00A65493">
        <w:t xml:space="preserve"> be an important part of a government-wide strategy to embed competition principles in public policy.</w:t>
      </w:r>
    </w:p>
    <w:p w14:paraId="43955CB4" w14:textId="5432D620" w:rsidR="00911090" w:rsidRDefault="00745352" w:rsidP="00D757B4">
      <w:pPr>
        <w:pStyle w:val="ListParagraph"/>
        <w:numPr>
          <w:ilvl w:val="0"/>
          <w:numId w:val="34"/>
        </w:numPr>
        <w:spacing w:after="160" w:line="259" w:lineRule="auto"/>
        <w:ind w:left="0" w:firstLine="0"/>
        <w:jc w:val="both"/>
      </w:pPr>
      <w:r w:rsidRPr="00D757B4">
        <w:rPr>
          <w:b/>
        </w:rPr>
        <w:t>Burden</w:t>
      </w:r>
      <w:r w:rsidR="007D6F6A" w:rsidRPr="00D757B4">
        <w:rPr>
          <w:b/>
        </w:rPr>
        <w:t>s</w:t>
      </w:r>
      <w:r w:rsidRPr="00D757B4">
        <w:rPr>
          <w:b/>
        </w:rPr>
        <w:t xml:space="preserve"> for firms considered dominant</w:t>
      </w:r>
      <w:r w:rsidR="00911090">
        <w:rPr>
          <w:b/>
        </w:rPr>
        <w:t xml:space="preserve"> may</w:t>
      </w:r>
      <w:r w:rsidRPr="00D757B4">
        <w:rPr>
          <w:b/>
        </w:rPr>
        <w:t xml:space="preserve"> limit competition on the merits</w:t>
      </w:r>
      <w:r w:rsidR="00D757B4" w:rsidRPr="00D757B4">
        <w:rPr>
          <w:b/>
        </w:rPr>
        <w:t xml:space="preserve">. </w:t>
      </w:r>
      <w:r w:rsidR="00E446A4">
        <w:t xml:space="preserve">The law contains </w:t>
      </w:r>
      <w:r w:rsidR="00694095" w:rsidRPr="00745352">
        <w:t>market share thresholds</w:t>
      </w:r>
      <w:r w:rsidR="00E446A4">
        <w:t xml:space="preserve"> to establ</w:t>
      </w:r>
      <w:r w:rsidR="0044744F">
        <w:t>is</w:t>
      </w:r>
      <w:r w:rsidR="00E446A4">
        <w:t>h</w:t>
      </w:r>
      <w:r w:rsidR="00694095" w:rsidRPr="00745352">
        <w:t xml:space="preserve"> dominance (</w:t>
      </w:r>
      <w:r w:rsidR="0044744F">
        <w:t>e.g. a firm is deemed dominan</w:t>
      </w:r>
      <w:r w:rsidR="009A0DB2">
        <w:t>t</w:t>
      </w:r>
      <w:r w:rsidR="0044744F">
        <w:t xml:space="preserve"> if it has over one third</w:t>
      </w:r>
      <w:r w:rsidR="00694095" w:rsidRPr="00745352">
        <w:t xml:space="preserve"> of the market or </w:t>
      </w:r>
      <w:r w:rsidR="0044744F">
        <w:t xml:space="preserve">if it has </w:t>
      </w:r>
      <w:r w:rsidR="00694095" w:rsidRPr="00745352">
        <w:t xml:space="preserve">4 or more facilities under </w:t>
      </w:r>
      <w:r w:rsidR="0044744F">
        <w:t xml:space="preserve">its management with </w:t>
      </w:r>
      <w:r w:rsidR="0044744F" w:rsidRPr="00745352">
        <w:t>AMD 1.5 billion annual turnover</w:t>
      </w:r>
      <w:r w:rsidR="00694095" w:rsidRPr="00745352">
        <w:t>)</w:t>
      </w:r>
      <w:r w:rsidR="00911090">
        <w:rPr>
          <w:rStyle w:val="FootnoteReference"/>
        </w:rPr>
        <w:footnoteReference w:id="38"/>
      </w:r>
      <w:r w:rsidR="00694095" w:rsidRPr="00745352">
        <w:t xml:space="preserve"> </w:t>
      </w:r>
      <w:r w:rsidR="00911090">
        <w:t xml:space="preserve"> Due to regional commitments, recent changes in the RA Competition law introduced restrictions </w:t>
      </w:r>
      <w:r w:rsidR="00694095" w:rsidRPr="00745352">
        <w:t xml:space="preserve">for </w:t>
      </w:r>
      <w:r w:rsidR="0044744F">
        <w:t>firms that lie over these thresholds</w:t>
      </w:r>
      <w:r w:rsidR="00694095" w:rsidRPr="00745352">
        <w:t xml:space="preserve"> to compete on the merits (e.g. </w:t>
      </w:r>
      <w:r w:rsidR="0044744F">
        <w:t>by prohibiting</w:t>
      </w:r>
      <w:r w:rsidR="00694095" w:rsidRPr="00745352">
        <w:t xml:space="preserve"> unjustifiably high or low prices and other </w:t>
      </w:r>
      <w:r w:rsidR="0044744F">
        <w:t>efficiency enhancing strategies</w:t>
      </w:r>
      <w:r w:rsidR="009A0DB2">
        <w:t>)</w:t>
      </w:r>
      <w:r w:rsidR="00D757B4">
        <w:t>.</w:t>
      </w:r>
      <w:r w:rsidR="00911090">
        <w:t xml:space="preserve"> </w:t>
      </w:r>
    </w:p>
    <w:p w14:paraId="541243E0" w14:textId="77777777" w:rsidR="00911090" w:rsidRDefault="00911090" w:rsidP="00246D05">
      <w:pPr>
        <w:pStyle w:val="ListParagraph"/>
      </w:pPr>
    </w:p>
    <w:p w14:paraId="02DF6A0F" w14:textId="14D392B4" w:rsidR="00D757B4" w:rsidRDefault="00911090" w:rsidP="00D757B4">
      <w:pPr>
        <w:pStyle w:val="ListParagraph"/>
        <w:numPr>
          <w:ilvl w:val="0"/>
          <w:numId w:val="34"/>
        </w:numPr>
        <w:spacing w:after="160" w:line="259" w:lineRule="auto"/>
        <w:ind w:left="0" w:firstLine="0"/>
        <w:jc w:val="both"/>
      </w:pPr>
      <w:r w:rsidRPr="00246D05">
        <w:rPr>
          <w:b/>
        </w:rPr>
        <w:t>Economic concentrations involving firms considered dominant in the sense of Article 6 of the law are subject to declaration to SCPEC prior to execution.</w:t>
      </w:r>
      <w:r>
        <w:t xml:space="preserve"> However, subjective criteria </w:t>
      </w:r>
      <w:r w:rsidRPr="000547E4">
        <w:t>such as market shares or dominance</w:t>
      </w:r>
      <w:r>
        <w:t xml:space="preserve"> as a trigger for review of a concentration might be problematic. </w:t>
      </w:r>
      <w:r w:rsidRPr="000547E4">
        <w:t xml:space="preserve">For instance, market share calculations are dependent upon what territories or alternative products </w:t>
      </w:r>
      <w:proofErr w:type="gramStart"/>
      <w:r w:rsidRPr="000547E4">
        <w:t>are considered to be</w:t>
      </w:r>
      <w:proofErr w:type="gramEnd"/>
      <w:r w:rsidRPr="000547E4">
        <w:t xml:space="preserve"> in the market, and so they can be over- or understated by interested parties. </w:t>
      </w:r>
      <w:r>
        <w:t>Notification t</w:t>
      </w:r>
      <w:r w:rsidRPr="000547E4">
        <w:t xml:space="preserve">hresholds based upon assets or </w:t>
      </w:r>
      <w:r>
        <w:t xml:space="preserve">revenues as those included in the Article 9.1(1) of the law </w:t>
      </w:r>
      <w:r w:rsidRPr="000547E4">
        <w:t xml:space="preserve">sales tend to be less ambiguous and not easily subject to manipulation. </w:t>
      </w:r>
      <w:r>
        <w:t xml:space="preserve"> </w:t>
      </w:r>
      <w:r w:rsidR="00D757B4">
        <w:t xml:space="preserve"> </w:t>
      </w:r>
    </w:p>
    <w:p w14:paraId="4FF47FA4" w14:textId="77777777" w:rsidR="00D757B4" w:rsidRDefault="00D757B4" w:rsidP="00D757B4">
      <w:pPr>
        <w:pStyle w:val="ListParagraph"/>
        <w:spacing w:after="160" w:line="259" w:lineRule="auto"/>
        <w:ind w:left="0"/>
        <w:jc w:val="both"/>
      </w:pPr>
    </w:p>
    <w:p w14:paraId="71D18747" w14:textId="6D84DC13" w:rsidR="000C1B55" w:rsidRDefault="007D6F6A" w:rsidP="00D757B4">
      <w:pPr>
        <w:pStyle w:val="ListParagraph"/>
        <w:numPr>
          <w:ilvl w:val="0"/>
          <w:numId w:val="34"/>
        </w:numPr>
        <w:spacing w:after="160" w:line="259" w:lineRule="auto"/>
        <w:ind w:left="0" w:firstLine="0"/>
        <w:jc w:val="both"/>
      </w:pPr>
      <w:r w:rsidRPr="00D757B4">
        <w:rPr>
          <w:b/>
        </w:rPr>
        <w:t>A</w:t>
      </w:r>
      <w:r w:rsidR="00745352" w:rsidRPr="00D757B4">
        <w:rPr>
          <w:b/>
        </w:rPr>
        <w:t>nti-cartel enforcement</w:t>
      </w:r>
      <w:r w:rsidRPr="00D757B4">
        <w:rPr>
          <w:b/>
        </w:rPr>
        <w:t xml:space="preserve"> is limited</w:t>
      </w:r>
      <w:r w:rsidR="00D757B4" w:rsidRPr="00D757B4">
        <w:rPr>
          <w:b/>
        </w:rPr>
        <w:t xml:space="preserve">. </w:t>
      </w:r>
      <w:r w:rsidR="00694095" w:rsidRPr="00745352">
        <w:t>Lack of tools to coll</w:t>
      </w:r>
      <w:r w:rsidR="00E82961">
        <w:t>ect direct evidence of cartels. SCPEC does not have the ability to carry out dawn raids and it has l</w:t>
      </w:r>
      <w:r w:rsidR="00694095" w:rsidRPr="00745352">
        <w:t>imited cooperation wi</w:t>
      </w:r>
      <w:r w:rsidR="00E82961">
        <w:t>th prosecutor. Although there are provisions in the fram</w:t>
      </w:r>
      <w:r w:rsidR="00694095" w:rsidRPr="00745352">
        <w:t>ew</w:t>
      </w:r>
      <w:r w:rsidR="00E82961">
        <w:t>ork for a</w:t>
      </w:r>
      <w:r w:rsidR="00694095" w:rsidRPr="00745352">
        <w:t xml:space="preserve"> leniency policy</w:t>
      </w:r>
      <w:r w:rsidR="00E82961">
        <w:t xml:space="preserve">, the policy </w:t>
      </w:r>
      <w:r w:rsidR="00B657AD">
        <w:t>has been</w:t>
      </w:r>
      <w:r w:rsidR="00E82961">
        <w:t xml:space="preserve"> difficult to </w:t>
      </w:r>
      <w:r w:rsidR="00B657AD">
        <w:t>implement,</w:t>
      </w:r>
      <w:r w:rsidR="00E82961">
        <w:t xml:space="preserve"> and a lack of track record reduces the efficacy of the policy.</w:t>
      </w:r>
      <w:r w:rsidR="00694095" w:rsidRPr="00745352">
        <w:t xml:space="preserve"> </w:t>
      </w:r>
      <w:r w:rsidR="00E03095">
        <w:t xml:space="preserve">Such limitations have severely impacted the ability of SCPEC to prosecute collusive practices. </w:t>
      </w:r>
      <w:r w:rsidR="00694095" w:rsidRPr="00745352">
        <w:t>Lack of implementation tools to identify efficiency-enhancing agreements and exempt them from general prohibition of Competition Law</w:t>
      </w:r>
      <w:r w:rsidR="00775953">
        <w:t>.</w:t>
      </w:r>
    </w:p>
    <w:p w14:paraId="0E3F9154" w14:textId="77777777" w:rsidR="00D757B4" w:rsidRPr="00745352" w:rsidRDefault="00D757B4" w:rsidP="00D757B4">
      <w:pPr>
        <w:pStyle w:val="ListParagraph"/>
        <w:ind w:left="1080"/>
        <w:jc w:val="both"/>
      </w:pPr>
    </w:p>
    <w:p w14:paraId="37B6F199" w14:textId="47AE06F3" w:rsidR="009D4B7E" w:rsidRDefault="007D6F6A" w:rsidP="006D6CD1">
      <w:pPr>
        <w:pStyle w:val="ListParagraph"/>
        <w:numPr>
          <w:ilvl w:val="0"/>
          <w:numId w:val="34"/>
        </w:numPr>
        <w:spacing w:after="160" w:line="259" w:lineRule="auto"/>
        <w:ind w:left="0" w:firstLine="0"/>
        <w:jc w:val="both"/>
      </w:pPr>
      <w:r w:rsidRPr="00824F39">
        <w:rPr>
          <w:b/>
        </w:rPr>
        <w:t>Fines are s</w:t>
      </w:r>
      <w:r w:rsidR="00745352" w:rsidRPr="00824F39">
        <w:rPr>
          <w:b/>
        </w:rPr>
        <w:t xml:space="preserve">uboptimal to </w:t>
      </w:r>
      <w:r w:rsidR="00775953" w:rsidRPr="00824F39">
        <w:rPr>
          <w:b/>
        </w:rPr>
        <w:t>deter compliance with the Competition Law</w:t>
      </w:r>
      <w:r w:rsidR="00D757B4" w:rsidRPr="00824F39">
        <w:rPr>
          <w:b/>
        </w:rPr>
        <w:t xml:space="preserve">. </w:t>
      </w:r>
      <w:r w:rsidR="00E70AEE">
        <w:t xml:space="preserve">The </w:t>
      </w:r>
      <w:r w:rsidR="000B584A">
        <w:t xml:space="preserve">cap </w:t>
      </w:r>
      <w:r w:rsidR="00E70AEE">
        <w:t xml:space="preserve">for </w:t>
      </w:r>
      <w:proofErr w:type="gramStart"/>
      <w:r w:rsidR="00E70AEE">
        <w:t>penalties  has</w:t>
      </w:r>
      <w:proofErr w:type="gramEnd"/>
      <w:r w:rsidR="00E70AEE">
        <w:t xml:space="preserve"> been amended to </w:t>
      </w:r>
      <w:r w:rsidR="00120592">
        <w:t>u</w:t>
      </w:r>
      <w:r w:rsidR="00694095" w:rsidRPr="00745352">
        <w:t>p to 10%</w:t>
      </w:r>
      <w:r w:rsidR="009A0DB2">
        <w:t xml:space="preserve"> of</w:t>
      </w:r>
      <w:r w:rsidR="00694095" w:rsidRPr="00745352">
        <w:t xml:space="preserve"> annual turnover</w:t>
      </w:r>
      <w:r w:rsidR="000B584A">
        <w:t xml:space="preserve"> in line with international practice. </w:t>
      </w:r>
      <w:r w:rsidR="00E70AEE">
        <w:t>Up until such changes took place penalties</w:t>
      </w:r>
      <w:r w:rsidR="000B584A">
        <w:t xml:space="preserve"> </w:t>
      </w:r>
      <w:r w:rsidR="00C36184">
        <w:t>imposed</w:t>
      </w:r>
      <w:r w:rsidR="000B584A">
        <w:t xml:space="preserve"> </w:t>
      </w:r>
      <w:r w:rsidR="00E70AEE">
        <w:t xml:space="preserve">had </w:t>
      </w:r>
      <w:r w:rsidR="000B584A">
        <w:t xml:space="preserve">generally been low (the </w:t>
      </w:r>
      <w:r w:rsidR="00694095" w:rsidRPr="00745352">
        <w:t>highest</w:t>
      </w:r>
      <w:r w:rsidR="000B584A">
        <w:t xml:space="preserve"> </w:t>
      </w:r>
      <w:r w:rsidR="00E70AEE">
        <w:t xml:space="preserve">penalty </w:t>
      </w:r>
      <w:r w:rsidR="000B584A">
        <w:t>was</w:t>
      </w:r>
      <w:r w:rsidR="00694095" w:rsidRPr="00745352">
        <w:t xml:space="preserve"> </w:t>
      </w:r>
      <w:r w:rsidR="000B584A">
        <w:t>USD</w:t>
      </w:r>
      <w:r w:rsidR="00973CB2">
        <w:t xml:space="preserve"> </w:t>
      </w:r>
      <w:r w:rsidR="000B584A">
        <w:t>500,</w:t>
      </w:r>
      <w:r w:rsidR="00694095" w:rsidRPr="00745352">
        <w:t>000</w:t>
      </w:r>
      <w:r w:rsidR="000B584A">
        <w:t xml:space="preserve"> in 2008</w:t>
      </w:r>
      <w:r w:rsidR="00C36184">
        <w:t>)</w:t>
      </w:r>
      <w:r w:rsidR="00E82961">
        <w:t>.</w:t>
      </w:r>
      <w:r w:rsidR="00E70AEE" w:rsidRPr="00E70AEE">
        <w:rPr>
          <w:rStyle w:val="FootnoteReference"/>
        </w:rPr>
        <w:t xml:space="preserve"> </w:t>
      </w:r>
      <w:r w:rsidR="00E70AEE">
        <w:rPr>
          <w:rStyle w:val="FootnoteReference"/>
        </w:rPr>
        <w:footnoteReference w:id="39"/>
      </w:r>
      <w:r w:rsidR="00D757B4">
        <w:t xml:space="preserve"> </w:t>
      </w:r>
      <w:r w:rsidR="000B584A">
        <w:t>O</w:t>
      </w:r>
      <w:r w:rsidR="00694095" w:rsidRPr="00745352">
        <w:t>ther offences</w:t>
      </w:r>
      <w:r w:rsidR="000B584A">
        <w:t xml:space="preserve"> </w:t>
      </w:r>
      <w:r w:rsidR="00615DFA">
        <w:t xml:space="preserve">also </w:t>
      </w:r>
      <w:r w:rsidR="000B584A">
        <w:t xml:space="preserve">face </w:t>
      </w:r>
      <w:r w:rsidR="00615DFA">
        <w:t>low</w:t>
      </w:r>
      <w:r w:rsidR="000B584A">
        <w:t xml:space="preserve"> </w:t>
      </w:r>
      <w:r w:rsidR="00E70AEE">
        <w:t>penalties</w:t>
      </w:r>
      <w:r w:rsidR="00E70AEE" w:rsidRPr="00745352">
        <w:t xml:space="preserve"> </w:t>
      </w:r>
      <w:r w:rsidR="00694095" w:rsidRPr="00745352">
        <w:t>(AMD 5 mill</w:t>
      </w:r>
      <w:r w:rsidR="000B584A">
        <w:t>ion or USD</w:t>
      </w:r>
      <w:r w:rsidR="00973CB2">
        <w:t xml:space="preserve"> </w:t>
      </w:r>
      <w:r w:rsidR="00694095" w:rsidRPr="00745352">
        <w:t>100</w:t>
      </w:r>
      <w:r w:rsidR="000B584A">
        <w:t>,</w:t>
      </w:r>
      <w:r w:rsidR="00694095" w:rsidRPr="00745352">
        <w:t>0</w:t>
      </w:r>
      <w:r w:rsidR="00775953">
        <w:t>0</w:t>
      </w:r>
      <w:r w:rsidR="00694095" w:rsidRPr="00745352">
        <w:t xml:space="preserve">0 for </w:t>
      </w:r>
      <w:r w:rsidR="00615DFA">
        <w:t xml:space="preserve">failure to </w:t>
      </w:r>
      <w:r w:rsidR="00E70AEE">
        <w:t>declare a concentration</w:t>
      </w:r>
      <w:r w:rsidR="00E70AEE">
        <w:rPr>
          <w:rStyle w:val="FootnoteReference"/>
        </w:rPr>
        <w:footnoteReference w:id="40"/>
      </w:r>
      <w:r w:rsidR="000B584A">
        <w:t>; or non-</w:t>
      </w:r>
      <w:r w:rsidR="00694095" w:rsidRPr="00745352">
        <w:t>compliance with S</w:t>
      </w:r>
      <w:r w:rsidR="00DA6EEE">
        <w:t>C</w:t>
      </w:r>
      <w:r w:rsidR="00694095" w:rsidRPr="00745352">
        <w:t>PEC information request</w:t>
      </w:r>
      <w:r w:rsidR="00E70AEE">
        <w:rPr>
          <w:rStyle w:val="FootnoteReference"/>
        </w:rPr>
        <w:footnoteReference w:id="41"/>
      </w:r>
      <w:r w:rsidR="00694095" w:rsidRPr="00745352">
        <w:t>)</w:t>
      </w:r>
      <w:r w:rsidR="00775953">
        <w:t>.</w:t>
      </w:r>
      <w:r w:rsidR="00824F39">
        <w:t xml:space="preserve"> </w:t>
      </w:r>
    </w:p>
    <w:p w14:paraId="005F4943" w14:textId="77777777" w:rsidR="001524E8" w:rsidRDefault="001524E8" w:rsidP="001524E8">
      <w:pPr>
        <w:pStyle w:val="ListParagraph"/>
      </w:pPr>
    </w:p>
    <w:p w14:paraId="6B99EFF6" w14:textId="44547F33" w:rsidR="00824F39" w:rsidRDefault="00D72B73" w:rsidP="00246D05">
      <w:pPr>
        <w:pStyle w:val="ListParagraph"/>
        <w:numPr>
          <w:ilvl w:val="0"/>
          <w:numId w:val="34"/>
        </w:numPr>
        <w:spacing w:after="160" w:line="259" w:lineRule="auto"/>
        <w:ind w:left="0" w:firstLine="0"/>
        <w:jc w:val="both"/>
      </w:pPr>
      <w:r w:rsidRPr="00B41F50">
        <w:rPr>
          <w:b/>
        </w:rPr>
        <w:t xml:space="preserve">Moreover, new amendments of the Competition Law are ambiguous over which agencies have </w:t>
      </w:r>
      <w:r w:rsidR="00DC552E" w:rsidRPr="00B41F50">
        <w:rPr>
          <w:b/>
        </w:rPr>
        <w:t xml:space="preserve">ultimate </w:t>
      </w:r>
      <w:r w:rsidRPr="00B41F50">
        <w:rPr>
          <w:b/>
        </w:rPr>
        <w:t xml:space="preserve">jurisdiction for enforcement of ex post competition rules in regulated sectors. </w:t>
      </w:r>
      <w:r w:rsidR="00DC552E" w:rsidRPr="000E5573">
        <w:t>Under the</w:t>
      </w:r>
      <w:r w:rsidR="00DC552E">
        <w:t xml:space="preserve"> amended</w:t>
      </w:r>
      <w:r w:rsidR="00DC552E" w:rsidRPr="000E5573">
        <w:t xml:space="preserve"> </w:t>
      </w:r>
      <w:r w:rsidR="00DC552E">
        <w:t>Competition Law, there is some ambiguity over whether</w:t>
      </w:r>
      <w:r w:rsidR="00DC552E" w:rsidRPr="000E5573">
        <w:t xml:space="preserve"> </w:t>
      </w:r>
      <w:r w:rsidR="00DC552E">
        <w:t xml:space="preserve">final </w:t>
      </w:r>
      <w:r w:rsidR="00DC552E" w:rsidRPr="000E5573">
        <w:t xml:space="preserve">competence over ex post antitrust enforcement for regulated sector </w:t>
      </w:r>
      <w:r w:rsidR="00DC552E">
        <w:t>has now been transferred</w:t>
      </w:r>
      <w:r w:rsidR="00DC552E" w:rsidRPr="000E5573">
        <w:t xml:space="preserve"> to PSRC and the </w:t>
      </w:r>
      <w:r w:rsidR="00DC552E">
        <w:t xml:space="preserve">Central </w:t>
      </w:r>
      <w:r w:rsidR="00DC552E" w:rsidRPr="000E5573">
        <w:t>Bank</w:t>
      </w:r>
      <w:r w:rsidR="00DC552E">
        <w:t xml:space="preserve"> of Armenia</w:t>
      </w:r>
      <w:r w:rsidR="00DC552E" w:rsidRPr="000E5573">
        <w:t xml:space="preserve">. </w:t>
      </w:r>
      <w:r w:rsidR="00DC552E">
        <w:t>As noted above, i</w:t>
      </w:r>
      <w:r w:rsidR="00DC552E" w:rsidRPr="00343BA7">
        <w:t>t is unclear</w:t>
      </w:r>
      <w:r w:rsidR="00DC552E">
        <w:t xml:space="preserve"> how will this be implemented</w:t>
      </w:r>
      <w:r w:rsidR="00DC552E" w:rsidRPr="00343BA7">
        <w:t xml:space="preserve"> in practice</w:t>
      </w:r>
      <w:r w:rsidR="00DC552E">
        <w:t xml:space="preserve"> and this will require measures for managing the interface between agencies or concurrent jurisdiction.</w:t>
      </w:r>
      <w:r w:rsidR="00DC552E" w:rsidRPr="00B41F50">
        <w:rPr>
          <w:b/>
        </w:rPr>
        <w:t xml:space="preserve"> </w:t>
      </w:r>
      <w:r w:rsidR="00DC552E" w:rsidRPr="00246D05">
        <w:t>Moreover,</w:t>
      </w:r>
      <w:r w:rsidR="009E41C1">
        <w:t xml:space="preserve"> </w:t>
      </w:r>
      <w:r w:rsidR="001F4106">
        <w:t>these agencies</w:t>
      </w:r>
      <w:r w:rsidR="001524E8" w:rsidRPr="00246D05">
        <w:t xml:space="preserve"> </w:t>
      </w:r>
      <w:r w:rsidR="00A24988">
        <w:t>would</w:t>
      </w:r>
      <w:r w:rsidR="00E70AEE" w:rsidRPr="00246D05">
        <w:t xml:space="preserve"> benefit from increased </w:t>
      </w:r>
      <w:r w:rsidR="001524E8" w:rsidRPr="00246D05">
        <w:t xml:space="preserve">capacity to undertake its </w:t>
      </w:r>
      <w:r w:rsidR="009E41C1">
        <w:t xml:space="preserve">potential new </w:t>
      </w:r>
      <w:r w:rsidR="00E70AEE" w:rsidRPr="00246D05">
        <w:t xml:space="preserve">role in detecting and </w:t>
      </w:r>
      <w:r w:rsidRPr="00246D05">
        <w:t>sanctioning</w:t>
      </w:r>
      <w:r w:rsidR="00E70AEE" w:rsidRPr="00246D05">
        <w:t xml:space="preserve"> anticompetitive behavior of firms in regulated sectors</w:t>
      </w:r>
      <w:r w:rsidR="001524E8" w:rsidRPr="00246D05">
        <w:t>.</w:t>
      </w:r>
      <w:r w:rsidR="001524E8" w:rsidRPr="00B41F50">
        <w:rPr>
          <w:b/>
        </w:rPr>
        <w:t xml:space="preserve"> </w:t>
      </w:r>
    </w:p>
    <w:p w14:paraId="105D7BAC" w14:textId="77777777" w:rsidR="001E2A5C" w:rsidRPr="00791DFA" w:rsidRDefault="005125AE" w:rsidP="00246D05">
      <w:pPr>
        <w:pStyle w:val="Heading3"/>
      </w:pPr>
      <w:bookmarkStart w:id="23" w:name="_Toc11855836"/>
      <w:r w:rsidRPr="00791DFA">
        <w:t xml:space="preserve">Cross-cutting: </w:t>
      </w:r>
      <w:r w:rsidR="001E2A5C" w:rsidRPr="00791DFA">
        <w:t>Developing a National Competition Policy</w:t>
      </w:r>
      <w:bookmarkEnd w:id="23"/>
    </w:p>
    <w:p w14:paraId="6D5E1FF7" w14:textId="77777777" w:rsidR="00D757B4" w:rsidRDefault="00D757B4" w:rsidP="00791DFA">
      <w:pPr>
        <w:jc w:val="both"/>
      </w:pPr>
    </w:p>
    <w:p w14:paraId="48065FD0" w14:textId="05C2196E" w:rsidR="00F54175" w:rsidRDefault="00DC24F0" w:rsidP="00246D05">
      <w:pPr>
        <w:jc w:val="both"/>
      </w:pPr>
      <w:r w:rsidRPr="00246D05">
        <w:rPr>
          <w:b/>
        </w:rPr>
        <w:t xml:space="preserve">Building upon the </w:t>
      </w:r>
      <w:r w:rsidR="007D44D4" w:rsidRPr="00246D05">
        <w:rPr>
          <w:b/>
        </w:rPr>
        <w:t>three</w:t>
      </w:r>
      <w:r w:rsidRPr="00246D05">
        <w:rPr>
          <w:b/>
        </w:rPr>
        <w:t xml:space="preserve"> pillars</w:t>
      </w:r>
      <w:r w:rsidR="001E2A5C" w:rsidRPr="00246D05">
        <w:rPr>
          <w:b/>
        </w:rPr>
        <w:t xml:space="preserve"> of an effective competition </w:t>
      </w:r>
      <w:r w:rsidRPr="00246D05">
        <w:rPr>
          <w:b/>
        </w:rPr>
        <w:t>policy framework</w:t>
      </w:r>
      <w:r w:rsidR="00F54175" w:rsidRPr="00246D05">
        <w:rPr>
          <w:b/>
        </w:rPr>
        <w:t xml:space="preserve"> described above</w:t>
      </w:r>
      <w:r w:rsidRPr="00246D05">
        <w:rPr>
          <w:b/>
        </w:rPr>
        <w:t>,</w:t>
      </w:r>
      <w:r w:rsidR="009D4B7E" w:rsidRPr="00246D05">
        <w:rPr>
          <w:b/>
        </w:rPr>
        <w:t xml:space="preserve"> it </w:t>
      </w:r>
      <w:r w:rsidR="00D74655" w:rsidRPr="00246D05">
        <w:rPr>
          <w:b/>
        </w:rPr>
        <w:t>may be beneficial</w:t>
      </w:r>
      <w:r w:rsidR="009D4B7E" w:rsidRPr="00246D05">
        <w:rPr>
          <w:b/>
        </w:rPr>
        <w:t xml:space="preserve"> to</w:t>
      </w:r>
      <w:r w:rsidRPr="00246D05">
        <w:rPr>
          <w:b/>
        </w:rPr>
        <w:t xml:space="preserve"> capture under a single </w:t>
      </w:r>
      <w:r w:rsidR="000F309E">
        <w:rPr>
          <w:b/>
        </w:rPr>
        <w:t>National Competition Policy</w:t>
      </w:r>
      <w:r w:rsidR="000F309E" w:rsidRPr="00246D05">
        <w:rPr>
          <w:b/>
        </w:rPr>
        <w:t xml:space="preserve"> </w:t>
      </w:r>
      <w:r w:rsidRPr="00246D05">
        <w:rPr>
          <w:b/>
        </w:rPr>
        <w:t xml:space="preserve">the different elements necessary to </w:t>
      </w:r>
      <w:r w:rsidR="00F54175" w:rsidRPr="00246D05">
        <w:rPr>
          <w:b/>
        </w:rPr>
        <w:t>foster a more dynamic competitive environment in Armenian markets</w:t>
      </w:r>
      <w:r w:rsidR="00D74655" w:rsidRPr="00246D05">
        <w:rPr>
          <w:b/>
        </w:rPr>
        <w:t>.</w:t>
      </w:r>
      <w:r w:rsidR="00D74655">
        <w:t xml:space="preserve"> </w:t>
      </w:r>
      <w:r w:rsidR="004819D7" w:rsidRPr="004819D7">
        <w:t>T</w:t>
      </w:r>
      <w:r w:rsidRPr="00791DFA">
        <w:t xml:space="preserve">his exercise typically involves understanding the available regulatory and non-regulatory tools and how they interact with each other. What will be the domestic standing of the </w:t>
      </w:r>
      <w:r w:rsidR="00037D10">
        <w:t>national competition policy</w:t>
      </w:r>
      <w:r w:rsidRPr="00791DFA">
        <w:t xml:space="preserve"> </w:t>
      </w:r>
      <w:r w:rsidR="00037D10">
        <w:t xml:space="preserve">(NCP) </w:t>
      </w:r>
      <w:r w:rsidRPr="00791DFA">
        <w:t>in terms of capacity to influence other policies and regulations and how these domestic principles relate to current or poten</w:t>
      </w:r>
      <w:r w:rsidR="00F54175" w:rsidRPr="00791DFA">
        <w:t>tial international commitments</w:t>
      </w:r>
      <w:r w:rsidRPr="00791DFA">
        <w:t xml:space="preserve">. </w:t>
      </w:r>
    </w:p>
    <w:p w14:paraId="37969909" w14:textId="77777777" w:rsidR="001524E8" w:rsidRPr="00791DFA" w:rsidRDefault="001524E8" w:rsidP="00246D05">
      <w:pPr>
        <w:pStyle w:val="ListParagraph"/>
        <w:ind w:left="360"/>
        <w:jc w:val="both"/>
      </w:pPr>
    </w:p>
    <w:p w14:paraId="2779CC62" w14:textId="3A6A264D" w:rsidR="001E2A5C" w:rsidRPr="00791DFA" w:rsidRDefault="004819D7" w:rsidP="00246D05">
      <w:pPr>
        <w:jc w:val="both"/>
      </w:pPr>
      <w:r w:rsidRPr="00246D05">
        <w:rPr>
          <w:b/>
        </w:rPr>
        <w:t>T</w:t>
      </w:r>
      <w:r w:rsidR="00DC24F0" w:rsidRPr="00246D05">
        <w:rPr>
          <w:b/>
        </w:rPr>
        <w:t xml:space="preserve">he institutional setup to implement </w:t>
      </w:r>
      <w:proofErr w:type="gramStart"/>
      <w:r w:rsidR="00DC24F0" w:rsidRPr="00246D05">
        <w:rPr>
          <w:b/>
        </w:rPr>
        <w:t>a</w:t>
      </w:r>
      <w:proofErr w:type="gramEnd"/>
      <w:r w:rsidR="00DC24F0" w:rsidRPr="00246D05">
        <w:rPr>
          <w:b/>
        </w:rPr>
        <w:t xml:space="preserve"> NCP </w:t>
      </w:r>
      <w:r w:rsidR="00940AC3" w:rsidRPr="00246D05">
        <w:rPr>
          <w:b/>
        </w:rPr>
        <w:t>w</w:t>
      </w:r>
      <w:r w:rsidR="00D74655" w:rsidRPr="00246D05">
        <w:rPr>
          <w:b/>
        </w:rPr>
        <w:t xml:space="preserve">ould also </w:t>
      </w:r>
      <w:r w:rsidR="00DC24F0" w:rsidRPr="00246D05">
        <w:rPr>
          <w:b/>
        </w:rPr>
        <w:t>be critical.</w:t>
      </w:r>
      <w:r w:rsidR="00DC24F0" w:rsidRPr="00791DFA">
        <w:t xml:space="preserve"> This assessment would imply understanding whether a single entity could </w:t>
      </w:r>
      <w:proofErr w:type="gramStart"/>
      <w:r w:rsidR="00DC24F0" w:rsidRPr="00791DFA">
        <w:t>be in charge of</w:t>
      </w:r>
      <w:proofErr w:type="gramEnd"/>
      <w:r w:rsidR="00DC24F0" w:rsidRPr="00791DFA">
        <w:t xml:space="preserve"> implementation such as the Productivity Commission in the case of Australia or implementation would require coordination among different b</w:t>
      </w:r>
      <w:r w:rsidR="00F54175" w:rsidRPr="00791DFA">
        <w:t>odies, notably involving the Ministry of Economic Development as well as S</w:t>
      </w:r>
      <w:r w:rsidR="001524E8">
        <w:t>C</w:t>
      </w:r>
      <w:r w:rsidR="00F54175" w:rsidRPr="00791DFA">
        <w:t>PEC</w:t>
      </w:r>
      <w:r w:rsidR="00C45250">
        <w:t>.</w:t>
      </w:r>
      <w:r w:rsidR="00DC24F0" w:rsidRPr="00791DFA">
        <w:t xml:space="preserve"> </w:t>
      </w:r>
    </w:p>
    <w:p w14:paraId="06A2847A" w14:textId="77777777" w:rsidR="00E20E18" w:rsidRDefault="00E20E18" w:rsidP="001E2A5C"/>
    <w:p w14:paraId="23C0EAA1" w14:textId="77777777" w:rsidR="007A6CDF" w:rsidRDefault="00D92B36" w:rsidP="00EB5885">
      <w:pPr>
        <w:pStyle w:val="Heading2"/>
        <w:numPr>
          <w:ilvl w:val="0"/>
          <w:numId w:val="1"/>
        </w:numPr>
      </w:pPr>
      <w:bookmarkStart w:id="24" w:name="_Ref528446521"/>
      <w:bookmarkStart w:id="25" w:name="_Toc11855837"/>
      <w:r>
        <w:t>Proposed approach to progress markets and competition reforms in Armenia</w:t>
      </w:r>
      <w:bookmarkEnd w:id="24"/>
      <w:bookmarkEnd w:id="25"/>
    </w:p>
    <w:p w14:paraId="3AF5DFB5" w14:textId="77777777" w:rsidR="00D757B4" w:rsidRDefault="00D757B4" w:rsidP="003D078F">
      <w:pPr>
        <w:jc w:val="both"/>
      </w:pPr>
    </w:p>
    <w:p w14:paraId="7D68E839" w14:textId="0FBBD22C" w:rsidR="009870EA" w:rsidRPr="009870EA" w:rsidRDefault="003D078F" w:rsidP="00487B59">
      <w:pPr>
        <w:jc w:val="both"/>
      </w:pPr>
      <w:r w:rsidRPr="009870EA">
        <w:t>Based on the above,</w:t>
      </w:r>
      <w:r w:rsidR="002B19EA" w:rsidRPr="009870EA">
        <w:t xml:space="preserve"> </w:t>
      </w:r>
      <w:r w:rsidR="002E5A90" w:rsidRPr="009870EA">
        <w:fldChar w:fldCharType="begin"/>
      </w:r>
      <w:r w:rsidR="002E5A90" w:rsidRPr="009870EA">
        <w:instrText xml:space="preserve"> REF _Ref11853726 \h  \* MERGEFORMAT </w:instrText>
      </w:r>
      <w:r w:rsidR="002E5A90" w:rsidRPr="009870EA">
        <w:fldChar w:fldCharType="separate"/>
      </w:r>
      <w:r w:rsidR="00A31FAC" w:rsidRPr="00383CD1">
        <w:t>Table 5</w:t>
      </w:r>
      <w:r w:rsidR="002E5A90" w:rsidRPr="009870EA">
        <w:fldChar w:fldCharType="end"/>
      </w:r>
      <w:r w:rsidRPr="009870EA">
        <w:t xml:space="preserve"> summarizes the key issues across the three pillars of competition policy as well as examples of potential areas for further assessment, support and reforms. It is not intended to be exhaustive but captures an important set of the issues encountered.</w:t>
      </w:r>
      <w:r w:rsidR="00487B59" w:rsidRPr="009870EA">
        <w:t xml:space="preserve"> </w:t>
      </w:r>
    </w:p>
    <w:p w14:paraId="7A7CCAC2" w14:textId="77777777" w:rsidR="009870EA" w:rsidRPr="009870EA" w:rsidRDefault="009870EA" w:rsidP="00487B59">
      <w:pPr>
        <w:jc w:val="both"/>
      </w:pPr>
    </w:p>
    <w:p w14:paraId="0593E598" w14:textId="17EA7CD6" w:rsidR="00487B59" w:rsidRPr="009870EA" w:rsidRDefault="009870EA" w:rsidP="00487B59">
      <w:pPr>
        <w:jc w:val="both"/>
      </w:pPr>
      <w:r w:rsidRPr="009870EA">
        <w:fldChar w:fldCharType="begin"/>
      </w:r>
      <w:r w:rsidRPr="009870EA">
        <w:instrText xml:space="preserve"> REF _Ref11854152 \h </w:instrText>
      </w:r>
      <w:r w:rsidRPr="00246D05">
        <w:instrText xml:space="preserve"> \* MERGEFORMAT </w:instrText>
      </w:r>
      <w:r w:rsidRPr="009870EA">
        <w:fldChar w:fldCharType="separate"/>
      </w:r>
      <w:r w:rsidR="00A31FAC" w:rsidRPr="00BD4FC6">
        <w:rPr>
          <w:rFonts w:cstheme="minorHAnsi"/>
          <w:b/>
        </w:rPr>
        <w:t xml:space="preserve">Figure </w:t>
      </w:r>
      <w:r w:rsidR="00A31FAC">
        <w:rPr>
          <w:rFonts w:cstheme="minorHAnsi"/>
          <w:b/>
          <w:noProof/>
        </w:rPr>
        <w:t>5</w:t>
      </w:r>
      <w:r w:rsidRPr="009870EA">
        <w:fldChar w:fldCharType="end"/>
      </w:r>
      <w:r w:rsidRPr="009870EA">
        <w:t xml:space="preserve"> outlines</w:t>
      </w:r>
      <w:r w:rsidR="00487B59" w:rsidRPr="009870EA">
        <w:t xml:space="preserve"> promising and actionable areas for support to the </w:t>
      </w:r>
      <w:proofErr w:type="spellStart"/>
      <w:r w:rsidR="00487B59" w:rsidRPr="009870EA">
        <w:t>GoA</w:t>
      </w:r>
      <w:proofErr w:type="spellEnd"/>
      <w:r w:rsidRPr="009870EA">
        <w:t xml:space="preserve"> in the short term</w:t>
      </w:r>
      <w:r w:rsidR="00487B59" w:rsidRPr="009870EA">
        <w:t xml:space="preserve"> (i.e. over the next 8 months).  In some cases, these activities could align with and complement the ongoing work of other Global Practices (GPs) of the WBG (e.g. Finance, Competitiveness and Innovation (FCI) GP on deep dive sectoral assessments, Governance GP on public procurement and competition assessment under the RIA). </w:t>
      </w:r>
    </w:p>
    <w:p w14:paraId="15DBAC99" w14:textId="77777777" w:rsidR="00487B59" w:rsidRPr="00487B59" w:rsidRDefault="00487B59" w:rsidP="00487B59">
      <w:pPr>
        <w:jc w:val="both"/>
      </w:pPr>
    </w:p>
    <w:p w14:paraId="27791BC9" w14:textId="77777777" w:rsidR="00487B59" w:rsidRDefault="00487B59" w:rsidP="003D078F">
      <w:pPr>
        <w:jc w:val="both"/>
      </w:pPr>
    </w:p>
    <w:p w14:paraId="6C2BBC51" w14:textId="77777777" w:rsidR="00487B59" w:rsidRDefault="00487B59" w:rsidP="003D078F">
      <w:pPr>
        <w:jc w:val="both"/>
      </w:pPr>
    </w:p>
    <w:p w14:paraId="3597C3AC" w14:textId="77777777" w:rsidR="00512EFD" w:rsidRDefault="00512EFD" w:rsidP="00512EFD">
      <w:pPr>
        <w:keepNext/>
        <w:rPr>
          <w:b/>
        </w:rPr>
        <w:sectPr w:rsidR="00512EFD">
          <w:headerReference w:type="default" r:id="rId16"/>
          <w:footerReference w:type="default" r:id="rId17"/>
          <w:pgSz w:w="12240" w:h="15840"/>
          <w:pgMar w:top="1440" w:right="1440" w:bottom="1440" w:left="1440" w:header="720" w:footer="720" w:gutter="0"/>
          <w:cols w:space="720"/>
          <w:docGrid w:linePitch="360"/>
        </w:sectPr>
      </w:pPr>
    </w:p>
    <w:p w14:paraId="1A3A6E7C" w14:textId="0BFC3DB2" w:rsidR="00D92B36" w:rsidRDefault="002E5A90" w:rsidP="000451C6">
      <w:pPr>
        <w:keepNext/>
        <w:rPr>
          <w:b/>
        </w:rPr>
      </w:pPr>
      <w:bookmarkStart w:id="26" w:name="_Ref11853726"/>
      <w:r w:rsidRPr="00246D05">
        <w:rPr>
          <w:b/>
          <w:sz w:val="24"/>
          <w:szCs w:val="24"/>
        </w:rPr>
        <w:t xml:space="preserve">Table </w:t>
      </w:r>
      <w:r w:rsidRPr="00246D05">
        <w:rPr>
          <w:b/>
          <w:sz w:val="24"/>
          <w:szCs w:val="24"/>
        </w:rPr>
        <w:fldChar w:fldCharType="begin"/>
      </w:r>
      <w:r w:rsidRPr="00246D05">
        <w:rPr>
          <w:b/>
          <w:sz w:val="24"/>
          <w:szCs w:val="24"/>
        </w:rPr>
        <w:instrText xml:space="preserve"> SEQ Table \* ARABIC </w:instrText>
      </w:r>
      <w:r w:rsidRPr="00246D05">
        <w:rPr>
          <w:b/>
          <w:sz w:val="24"/>
          <w:szCs w:val="24"/>
        </w:rPr>
        <w:fldChar w:fldCharType="separate"/>
      </w:r>
      <w:r w:rsidR="00A31FAC">
        <w:rPr>
          <w:b/>
          <w:noProof/>
          <w:sz w:val="24"/>
          <w:szCs w:val="24"/>
        </w:rPr>
        <w:t>5</w:t>
      </w:r>
      <w:r w:rsidRPr="00246D05">
        <w:rPr>
          <w:b/>
          <w:sz w:val="24"/>
          <w:szCs w:val="24"/>
        </w:rPr>
        <w:fldChar w:fldCharType="end"/>
      </w:r>
      <w:bookmarkEnd w:id="26"/>
      <w:r w:rsidRPr="00246D05">
        <w:rPr>
          <w:b/>
          <w:sz w:val="24"/>
          <w:szCs w:val="24"/>
        </w:rPr>
        <w:t xml:space="preserve">. </w:t>
      </w:r>
      <w:r w:rsidR="00D92B36" w:rsidRPr="00246D05">
        <w:rPr>
          <w:b/>
          <w:sz w:val="24"/>
          <w:szCs w:val="24"/>
        </w:rPr>
        <w:t>Summary</w:t>
      </w:r>
      <w:r w:rsidR="00D92B36" w:rsidRPr="00B70873">
        <w:rPr>
          <w:b/>
        </w:rPr>
        <w:t xml:space="preserve"> of key issues and potential areas for support</w:t>
      </w:r>
    </w:p>
    <w:p w14:paraId="4EAD4C16" w14:textId="77777777" w:rsidR="00AF3AC8" w:rsidRPr="00B70873" w:rsidRDefault="00AF3AC8" w:rsidP="000451C6">
      <w:pPr>
        <w:keepNext/>
        <w:rPr>
          <w:b/>
        </w:rPr>
      </w:pPr>
    </w:p>
    <w:tbl>
      <w:tblPr>
        <w:tblW w:w="13682" w:type="dxa"/>
        <w:tblInd w:w="-460" w:type="dxa"/>
        <w:tblCellMar>
          <w:left w:w="0" w:type="dxa"/>
          <w:right w:w="0" w:type="dxa"/>
        </w:tblCellMar>
        <w:tblLook w:val="0420" w:firstRow="1" w:lastRow="0" w:firstColumn="0" w:lastColumn="0" w:noHBand="0" w:noVBand="1"/>
      </w:tblPr>
      <w:tblGrid>
        <w:gridCol w:w="3914"/>
        <w:gridCol w:w="3605"/>
        <w:gridCol w:w="2267"/>
        <w:gridCol w:w="2004"/>
        <w:gridCol w:w="1892"/>
      </w:tblGrid>
      <w:tr w:rsidR="0038343C" w:rsidRPr="00512EFD" w14:paraId="0F86EB7C" w14:textId="77777777" w:rsidTr="000451C6">
        <w:trPr>
          <w:trHeight w:val="205"/>
          <w:tblHeader/>
        </w:trPr>
        <w:tc>
          <w:tcPr>
            <w:tcW w:w="3914" w:type="dxa"/>
            <w:tcBorders>
              <w:top w:val="single" w:sz="8" w:space="0" w:color="002345"/>
              <w:left w:val="single" w:sz="8" w:space="0" w:color="002345"/>
              <w:bottom w:val="single" w:sz="8" w:space="0" w:color="002345"/>
              <w:right w:val="nil"/>
            </w:tcBorders>
            <w:shd w:val="clear" w:color="auto" w:fill="002345"/>
            <w:tcMar>
              <w:top w:w="72" w:type="dxa"/>
              <w:left w:w="144" w:type="dxa"/>
              <w:bottom w:w="72" w:type="dxa"/>
              <w:right w:w="144" w:type="dxa"/>
            </w:tcMar>
            <w:hideMark/>
          </w:tcPr>
          <w:p w14:paraId="694CB4F1" w14:textId="77777777" w:rsidR="00512EFD" w:rsidRPr="000451C6" w:rsidRDefault="00512EFD" w:rsidP="00701C1E">
            <w:pPr>
              <w:jc w:val="center"/>
              <w:rPr>
                <w:sz w:val="20"/>
                <w:szCs w:val="20"/>
              </w:rPr>
            </w:pPr>
            <w:r w:rsidRPr="000451C6">
              <w:rPr>
                <w:b/>
                <w:bCs/>
                <w:sz w:val="20"/>
                <w:szCs w:val="20"/>
              </w:rPr>
              <w:t>Issue</w:t>
            </w:r>
          </w:p>
        </w:tc>
        <w:tc>
          <w:tcPr>
            <w:tcW w:w="3605" w:type="dxa"/>
            <w:tcBorders>
              <w:top w:val="single" w:sz="8" w:space="0" w:color="002345"/>
              <w:left w:val="nil"/>
              <w:bottom w:val="single" w:sz="8" w:space="0" w:color="002345"/>
            </w:tcBorders>
            <w:shd w:val="clear" w:color="auto" w:fill="002345"/>
            <w:tcMar>
              <w:top w:w="72" w:type="dxa"/>
              <w:left w:w="144" w:type="dxa"/>
              <w:bottom w:w="72" w:type="dxa"/>
              <w:right w:w="144" w:type="dxa"/>
            </w:tcMar>
            <w:hideMark/>
          </w:tcPr>
          <w:p w14:paraId="3EC6704C" w14:textId="77777777" w:rsidR="00512EFD" w:rsidRPr="000451C6" w:rsidRDefault="00512EFD" w:rsidP="00701C1E">
            <w:pPr>
              <w:jc w:val="center"/>
              <w:rPr>
                <w:sz w:val="20"/>
                <w:szCs w:val="20"/>
              </w:rPr>
            </w:pPr>
            <w:r w:rsidRPr="000451C6">
              <w:rPr>
                <w:b/>
                <w:bCs/>
                <w:sz w:val="20"/>
                <w:szCs w:val="20"/>
              </w:rPr>
              <w:t>Potential support/reforms</w:t>
            </w:r>
          </w:p>
        </w:tc>
        <w:tc>
          <w:tcPr>
            <w:tcW w:w="2267" w:type="dxa"/>
            <w:tcBorders>
              <w:top w:val="single" w:sz="8" w:space="0" w:color="002345"/>
              <w:bottom w:val="single" w:sz="8" w:space="0" w:color="002345"/>
            </w:tcBorders>
            <w:shd w:val="clear" w:color="auto" w:fill="002345"/>
          </w:tcPr>
          <w:p w14:paraId="5DCED8EB" w14:textId="77777777" w:rsidR="00512EFD" w:rsidRDefault="00512EFD">
            <w:pPr>
              <w:jc w:val="center"/>
              <w:rPr>
                <w:b/>
                <w:bCs/>
                <w:sz w:val="20"/>
                <w:szCs w:val="20"/>
              </w:rPr>
            </w:pPr>
            <w:r>
              <w:rPr>
                <w:b/>
                <w:bCs/>
                <w:sz w:val="20"/>
                <w:szCs w:val="20"/>
              </w:rPr>
              <w:t>Timeline</w:t>
            </w:r>
          </w:p>
          <w:p w14:paraId="636489E2" w14:textId="77777777" w:rsidR="0038343C" w:rsidRPr="000451C6" w:rsidRDefault="0038343C">
            <w:pPr>
              <w:jc w:val="center"/>
              <w:rPr>
                <w:b/>
                <w:bCs/>
                <w:sz w:val="20"/>
                <w:szCs w:val="20"/>
              </w:rPr>
            </w:pPr>
            <w:r>
              <w:rPr>
                <w:b/>
                <w:bCs/>
                <w:sz w:val="20"/>
                <w:szCs w:val="20"/>
              </w:rPr>
              <w:t>(short/medium term)</w:t>
            </w:r>
          </w:p>
        </w:tc>
        <w:tc>
          <w:tcPr>
            <w:tcW w:w="2004" w:type="dxa"/>
            <w:tcBorders>
              <w:top w:val="single" w:sz="8" w:space="0" w:color="002345"/>
              <w:left w:val="nil"/>
              <w:bottom w:val="single" w:sz="8" w:space="0" w:color="002345"/>
              <w:right w:val="nil"/>
            </w:tcBorders>
            <w:shd w:val="clear" w:color="auto" w:fill="002345"/>
          </w:tcPr>
          <w:p w14:paraId="230A8D21" w14:textId="77777777" w:rsidR="00512EFD" w:rsidRDefault="00512EFD" w:rsidP="00771D47">
            <w:pPr>
              <w:jc w:val="center"/>
              <w:rPr>
                <w:b/>
                <w:bCs/>
                <w:sz w:val="20"/>
                <w:szCs w:val="20"/>
              </w:rPr>
            </w:pPr>
            <w:r>
              <w:rPr>
                <w:b/>
                <w:bCs/>
                <w:sz w:val="20"/>
                <w:szCs w:val="20"/>
              </w:rPr>
              <w:t>Impact</w:t>
            </w:r>
            <w:r w:rsidR="00044209">
              <w:rPr>
                <w:b/>
                <w:bCs/>
                <w:sz w:val="20"/>
                <w:szCs w:val="20"/>
              </w:rPr>
              <w:t xml:space="preserve"> (Assuming sound implementation)</w:t>
            </w:r>
          </w:p>
        </w:tc>
        <w:tc>
          <w:tcPr>
            <w:tcW w:w="1891" w:type="dxa"/>
            <w:tcBorders>
              <w:top w:val="single" w:sz="8" w:space="0" w:color="002345"/>
              <w:left w:val="nil"/>
              <w:bottom w:val="single" w:sz="8" w:space="0" w:color="002345"/>
              <w:right w:val="single" w:sz="8" w:space="0" w:color="002345"/>
            </w:tcBorders>
            <w:shd w:val="clear" w:color="auto" w:fill="002345"/>
          </w:tcPr>
          <w:p w14:paraId="66D4DF49" w14:textId="77777777" w:rsidR="00512EFD" w:rsidRPr="00512EFD" w:rsidRDefault="00512EFD">
            <w:pPr>
              <w:jc w:val="center"/>
              <w:rPr>
                <w:b/>
                <w:bCs/>
                <w:sz w:val="20"/>
                <w:szCs w:val="20"/>
              </w:rPr>
            </w:pPr>
            <w:r>
              <w:rPr>
                <w:b/>
                <w:bCs/>
                <w:sz w:val="20"/>
                <w:szCs w:val="20"/>
              </w:rPr>
              <w:t>Feasibility</w:t>
            </w:r>
          </w:p>
        </w:tc>
      </w:tr>
      <w:tr w:rsidR="00512EFD" w:rsidRPr="00512EFD" w14:paraId="3A7EFE28" w14:textId="77777777" w:rsidTr="000451C6">
        <w:trPr>
          <w:trHeight w:val="268"/>
        </w:trPr>
        <w:tc>
          <w:tcPr>
            <w:tcW w:w="13682" w:type="dxa"/>
            <w:gridSpan w:val="5"/>
            <w:tcBorders>
              <w:top w:val="single" w:sz="8" w:space="0" w:color="002345"/>
              <w:bottom w:val="single" w:sz="8" w:space="0" w:color="002345"/>
            </w:tcBorders>
            <w:shd w:val="clear" w:color="auto" w:fill="E2EFD9" w:themeFill="accent6" w:themeFillTint="33"/>
            <w:tcMar>
              <w:top w:w="72" w:type="dxa"/>
              <w:left w:w="144" w:type="dxa"/>
              <w:bottom w:w="72" w:type="dxa"/>
              <w:right w:w="144" w:type="dxa"/>
            </w:tcMar>
          </w:tcPr>
          <w:p w14:paraId="4604A01B" w14:textId="77777777" w:rsidR="00512EFD" w:rsidRPr="00512EFD" w:rsidRDefault="00512EFD" w:rsidP="00771D47">
            <w:pPr>
              <w:jc w:val="center"/>
              <w:rPr>
                <w:b/>
                <w:bCs/>
                <w:sz w:val="20"/>
                <w:szCs w:val="20"/>
              </w:rPr>
            </w:pPr>
            <w:r w:rsidRPr="000451C6">
              <w:rPr>
                <w:b/>
                <w:bCs/>
                <w:sz w:val="20"/>
                <w:szCs w:val="20"/>
              </w:rPr>
              <w:t xml:space="preserve">Pillar 1: </w:t>
            </w:r>
            <w:r w:rsidRPr="000451C6">
              <w:rPr>
                <w:rFonts w:eastAsia="Times New Roman"/>
                <w:b/>
                <w:sz w:val="20"/>
                <w:szCs w:val="20"/>
              </w:rPr>
              <w:t>Opening markets through pro-competition sector regulation</w:t>
            </w:r>
          </w:p>
        </w:tc>
      </w:tr>
      <w:tr w:rsidR="0038343C" w:rsidRPr="00512EFD" w14:paraId="224FDFE5" w14:textId="77777777" w:rsidTr="000451C6">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hideMark/>
          </w:tcPr>
          <w:p w14:paraId="34E90FE9" w14:textId="77777777" w:rsidR="00512EFD" w:rsidRPr="000451C6" w:rsidRDefault="00512EFD" w:rsidP="00783E60">
            <w:pPr>
              <w:rPr>
                <w:sz w:val="20"/>
                <w:szCs w:val="20"/>
              </w:rPr>
            </w:pPr>
            <w:r w:rsidRPr="000451C6">
              <w:rPr>
                <w:sz w:val="20"/>
                <w:szCs w:val="20"/>
              </w:rPr>
              <w:t>Scope to improve RIA Competition Assessment:</w:t>
            </w:r>
          </w:p>
          <w:p w14:paraId="6C142D24" w14:textId="77777777" w:rsidR="00512EFD" w:rsidRPr="000451C6" w:rsidRDefault="00512EFD" w:rsidP="0009715B">
            <w:pPr>
              <w:numPr>
                <w:ilvl w:val="0"/>
                <w:numId w:val="11"/>
              </w:numPr>
              <w:rPr>
                <w:sz w:val="20"/>
                <w:szCs w:val="20"/>
              </w:rPr>
            </w:pPr>
            <w:r w:rsidRPr="000451C6">
              <w:rPr>
                <w:sz w:val="20"/>
                <w:szCs w:val="20"/>
              </w:rPr>
              <w:t>Checklist requires improvement to focus on harmful effects</w:t>
            </w:r>
          </w:p>
          <w:p w14:paraId="5D14B390" w14:textId="77777777" w:rsidR="00512EFD" w:rsidRPr="000451C6" w:rsidRDefault="00512EFD" w:rsidP="0009715B">
            <w:pPr>
              <w:numPr>
                <w:ilvl w:val="0"/>
                <w:numId w:val="11"/>
              </w:numPr>
              <w:rPr>
                <w:sz w:val="20"/>
                <w:szCs w:val="20"/>
              </w:rPr>
            </w:pPr>
            <w:r w:rsidRPr="000451C6">
              <w:rPr>
                <w:sz w:val="20"/>
                <w:szCs w:val="20"/>
              </w:rPr>
              <w:t>Lack of implementation capacity in NCLR</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hideMark/>
          </w:tcPr>
          <w:p w14:paraId="7E399451" w14:textId="4320ADCA" w:rsidR="00512EFD" w:rsidRPr="000451C6" w:rsidRDefault="00512EFD" w:rsidP="0009715B">
            <w:pPr>
              <w:numPr>
                <w:ilvl w:val="0"/>
                <w:numId w:val="11"/>
              </w:numPr>
              <w:rPr>
                <w:sz w:val="20"/>
                <w:szCs w:val="20"/>
              </w:rPr>
            </w:pPr>
            <w:r w:rsidRPr="000451C6">
              <w:rPr>
                <w:sz w:val="20"/>
                <w:szCs w:val="20"/>
              </w:rPr>
              <w:t>Revise and strengthen competition checklist based on MCPAT and international practice</w:t>
            </w:r>
            <w:r w:rsidR="00C45250">
              <w:rPr>
                <w:sz w:val="20"/>
                <w:szCs w:val="20"/>
              </w:rPr>
              <w:t xml:space="preserve"> </w:t>
            </w:r>
            <w:r w:rsidR="00C45250" w:rsidRPr="00246D05">
              <w:rPr>
                <w:rFonts w:asciiTheme="minorHAnsi" w:hAnsiTheme="minorHAnsi"/>
                <w:sz w:val="20"/>
                <w:szCs w:val="20"/>
              </w:rPr>
              <w:t>along with involving the specialized body, i.e., the Commission in further elaborating and improving competition issues contained in the checklist</w:t>
            </w:r>
            <w:r w:rsidR="00C45250">
              <w:rPr>
                <w:rFonts w:asciiTheme="minorHAnsi" w:hAnsiTheme="minorHAnsi"/>
                <w:sz w:val="20"/>
                <w:szCs w:val="20"/>
              </w:rPr>
              <w:t>.</w:t>
            </w:r>
          </w:p>
          <w:p w14:paraId="01FBF50B" w14:textId="77777777" w:rsidR="00512EFD" w:rsidRPr="000451C6" w:rsidRDefault="00512EFD" w:rsidP="0009715B">
            <w:pPr>
              <w:numPr>
                <w:ilvl w:val="0"/>
                <w:numId w:val="11"/>
              </w:numPr>
              <w:rPr>
                <w:sz w:val="20"/>
                <w:szCs w:val="20"/>
              </w:rPr>
            </w:pPr>
            <w:r w:rsidRPr="000451C6">
              <w:rPr>
                <w:sz w:val="20"/>
                <w:szCs w:val="20"/>
              </w:rPr>
              <w:t>Peer learning workshop on implementation</w:t>
            </w:r>
          </w:p>
        </w:tc>
        <w:tc>
          <w:tcPr>
            <w:tcW w:w="2267" w:type="dxa"/>
            <w:tcBorders>
              <w:top w:val="single" w:sz="8" w:space="0" w:color="002345"/>
              <w:bottom w:val="single" w:sz="8" w:space="0" w:color="002345"/>
            </w:tcBorders>
            <w:shd w:val="clear" w:color="auto" w:fill="F2F2F2" w:themeFill="background1" w:themeFillShade="F2"/>
          </w:tcPr>
          <w:p w14:paraId="39F46629" w14:textId="77777777" w:rsidR="00512EFD" w:rsidRPr="000451C6" w:rsidRDefault="00512EFD" w:rsidP="000451C6">
            <w:pPr>
              <w:pStyle w:val="ListParagraph"/>
              <w:numPr>
                <w:ilvl w:val="0"/>
                <w:numId w:val="13"/>
              </w:numPr>
              <w:tabs>
                <w:tab w:val="clear" w:pos="720"/>
              </w:tabs>
              <w:ind w:left="167" w:hanging="132"/>
              <w:jc w:val="center"/>
              <w:rPr>
                <w:sz w:val="20"/>
                <w:szCs w:val="20"/>
              </w:rPr>
            </w:pPr>
            <w:r>
              <w:rPr>
                <w:sz w:val="20"/>
                <w:szCs w:val="20"/>
              </w:rPr>
              <w:t>Short</w:t>
            </w:r>
          </w:p>
        </w:tc>
        <w:tc>
          <w:tcPr>
            <w:tcW w:w="2004" w:type="dxa"/>
            <w:tcBorders>
              <w:top w:val="single" w:sz="8" w:space="0" w:color="002345"/>
              <w:left w:val="nil"/>
              <w:bottom w:val="single" w:sz="8" w:space="0" w:color="002345"/>
              <w:right w:val="nil"/>
            </w:tcBorders>
            <w:shd w:val="clear" w:color="auto" w:fill="F2F2F2" w:themeFill="background1" w:themeFillShade="F2"/>
          </w:tcPr>
          <w:p w14:paraId="70001174" w14:textId="77777777" w:rsidR="00512EFD" w:rsidRPr="00512EFD" w:rsidRDefault="00512EFD" w:rsidP="000451C6">
            <w:pPr>
              <w:jc w:val="center"/>
              <w:rPr>
                <w:sz w:val="20"/>
                <w:szCs w:val="20"/>
              </w:rPr>
            </w:pPr>
            <w:r>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DAA88D3" w14:textId="77777777" w:rsidR="00512EFD" w:rsidRPr="00512EFD" w:rsidRDefault="00512EFD" w:rsidP="000451C6">
            <w:pPr>
              <w:jc w:val="center"/>
              <w:rPr>
                <w:sz w:val="20"/>
                <w:szCs w:val="20"/>
              </w:rPr>
            </w:pPr>
            <w:r>
              <w:rPr>
                <w:sz w:val="20"/>
                <w:szCs w:val="20"/>
              </w:rPr>
              <w:t>High</w:t>
            </w:r>
          </w:p>
        </w:tc>
      </w:tr>
      <w:tr w:rsidR="0038343C" w:rsidRPr="00512EFD" w14:paraId="2FC2DD64"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hideMark/>
          </w:tcPr>
          <w:p w14:paraId="6D4D147A" w14:textId="77777777" w:rsidR="00512EFD" w:rsidRPr="000451C6" w:rsidRDefault="00512EFD" w:rsidP="00483A73">
            <w:pPr>
              <w:rPr>
                <w:sz w:val="20"/>
                <w:szCs w:val="20"/>
              </w:rPr>
            </w:pPr>
            <w:r w:rsidRPr="000451C6">
              <w:rPr>
                <w:sz w:val="20"/>
                <w:szCs w:val="20"/>
              </w:rPr>
              <w:t xml:space="preserve">PSRC lack of market analysis expertise in network regulation </w:t>
            </w:r>
          </w:p>
          <w:p w14:paraId="411786AE" w14:textId="77777777" w:rsidR="00512EFD" w:rsidRPr="000451C6" w:rsidRDefault="00512EFD" w:rsidP="0009715B">
            <w:pPr>
              <w:pStyle w:val="ListParagraph"/>
              <w:numPr>
                <w:ilvl w:val="0"/>
                <w:numId w:val="12"/>
              </w:numPr>
              <w:ind w:left="743" w:hanging="450"/>
              <w:rPr>
                <w:sz w:val="20"/>
                <w:szCs w:val="20"/>
              </w:rPr>
            </w:pPr>
            <w:r w:rsidRPr="000451C6">
              <w:rPr>
                <w:sz w:val="20"/>
                <w:szCs w:val="20"/>
              </w:rPr>
              <w:t>E.g. in determining telecoms players with Significant Market Power</w:t>
            </w:r>
          </w:p>
          <w:p w14:paraId="3E968C84" w14:textId="77777777" w:rsidR="00512EFD" w:rsidRPr="000451C6" w:rsidRDefault="00512EFD" w:rsidP="0009715B">
            <w:pPr>
              <w:pStyle w:val="ListParagraph"/>
              <w:numPr>
                <w:ilvl w:val="0"/>
                <w:numId w:val="12"/>
              </w:numPr>
              <w:ind w:left="743" w:hanging="450"/>
              <w:rPr>
                <w:sz w:val="20"/>
                <w:szCs w:val="20"/>
              </w:rPr>
            </w:pPr>
            <w:r w:rsidRPr="000451C6">
              <w:rPr>
                <w:sz w:val="20"/>
                <w:szCs w:val="20"/>
              </w:rPr>
              <w:t>Particularly relevant now PSRC has final decision on ex post competition cases rather than SCPEC</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hideMark/>
          </w:tcPr>
          <w:p w14:paraId="30996C7C" w14:textId="77777777" w:rsidR="00512EFD" w:rsidRPr="000451C6" w:rsidRDefault="00512EFD" w:rsidP="0009715B">
            <w:pPr>
              <w:numPr>
                <w:ilvl w:val="0"/>
                <w:numId w:val="13"/>
              </w:numPr>
              <w:rPr>
                <w:sz w:val="20"/>
                <w:szCs w:val="20"/>
              </w:rPr>
            </w:pPr>
            <w:r w:rsidRPr="000451C6">
              <w:rPr>
                <w:sz w:val="20"/>
                <w:szCs w:val="20"/>
              </w:rPr>
              <w:t>Workshop on markets and competition assessment in telecoms and transport</w:t>
            </w:r>
          </w:p>
          <w:p w14:paraId="08E3A44C" w14:textId="77777777" w:rsidR="00512EFD" w:rsidRPr="000451C6" w:rsidRDefault="00512EFD" w:rsidP="0009715B">
            <w:pPr>
              <w:numPr>
                <w:ilvl w:val="0"/>
                <w:numId w:val="13"/>
              </w:numPr>
              <w:rPr>
                <w:sz w:val="20"/>
                <w:szCs w:val="20"/>
              </w:rPr>
            </w:pPr>
            <w:r w:rsidRPr="000451C6">
              <w:rPr>
                <w:sz w:val="20"/>
                <w:szCs w:val="20"/>
              </w:rPr>
              <w:t>Develop revised cooperation framework with SCPEC for handling ex post competition issues</w:t>
            </w:r>
          </w:p>
        </w:tc>
        <w:tc>
          <w:tcPr>
            <w:tcW w:w="2267" w:type="dxa"/>
            <w:tcBorders>
              <w:top w:val="single" w:sz="8" w:space="0" w:color="002345"/>
              <w:bottom w:val="single" w:sz="8" w:space="0" w:color="002345"/>
            </w:tcBorders>
            <w:shd w:val="clear" w:color="auto" w:fill="F2F2F2" w:themeFill="background1" w:themeFillShade="F2"/>
          </w:tcPr>
          <w:p w14:paraId="2022A385" w14:textId="77777777" w:rsidR="00512EFD" w:rsidRPr="000451C6" w:rsidRDefault="00512EFD" w:rsidP="000451C6">
            <w:pPr>
              <w:pStyle w:val="ListParagraph"/>
              <w:numPr>
                <w:ilvl w:val="0"/>
                <w:numId w:val="13"/>
              </w:numPr>
              <w:tabs>
                <w:tab w:val="clear" w:pos="720"/>
              </w:tabs>
              <w:ind w:left="167" w:hanging="132"/>
              <w:jc w:val="center"/>
              <w:rPr>
                <w:sz w:val="20"/>
                <w:szCs w:val="20"/>
              </w:rPr>
            </w:pPr>
            <w:r w:rsidRPr="000451C6">
              <w:rPr>
                <w:sz w:val="20"/>
                <w:szCs w:val="20"/>
              </w:rPr>
              <w:t>Short (workshop)</w:t>
            </w:r>
          </w:p>
          <w:p w14:paraId="6BE7E9B9" w14:textId="77777777" w:rsidR="00512EFD" w:rsidRPr="000451C6" w:rsidRDefault="00512EFD" w:rsidP="000451C6">
            <w:pPr>
              <w:pStyle w:val="ListParagraph"/>
              <w:numPr>
                <w:ilvl w:val="0"/>
                <w:numId w:val="13"/>
              </w:numPr>
              <w:tabs>
                <w:tab w:val="clear" w:pos="720"/>
              </w:tabs>
              <w:ind w:left="167" w:hanging="132"/>
              <w:jc w:val="center"/>
              <w:rPr>
                <w:sz w:val="20"/>
                <w:szCs w:val="20"/>
              </w:rPr>
            </w:pPr>
            <w:r w:rsidRPr="000451C6">
              <w:rPr>
                <w:sz w:val="20"/>
                <w:szCs w:val="20"/>
              </w:rPr>
              <w:t>Medium (capacity for ex post enforcement and cooperation with SCPEC)</w:t>
            </w:r>
          </w:p>
        </w:tc>
        <w:tc>
          <w:tcPr>
            <w:tcW w:w="2004" w:type="dxa"/>
            <w:tcBorders>
              <w:top w:val="single" w:sz="8" w:space="0" w:color="002345"/>
              <w:left w:val="nil"/>
              <w:bottom w:val="single" w:sz="8" w:space="0" w:color="002345"/>
              <w:right w:val="nil"/>
            </w:tcBorders>
            <w:shd w:val="clear" w:color="auto" w:fill="F2F2F2" w:themeFill="background1" w:themeFillShade="F2"/>
          </w:tcPr>
          <w:p w14:paraId="3AFE5831" w14:textId="77777777" w:rsidR="00512EFD" w:rsidRPr="00512EFD" w:rsidRDefault="004C1CA0" w:rsidP="000451C6">
            <w:pPr>
              <w:jc w:val="center"/>
              <w:rPr>
                <w:sz w:val="20"/>
                <w:szCs w:val="20"/>
              </w:rPr>
            </w:pPr>
            <w:r>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A8A1E8D" w14:textId="77777777" w:rsidR="00512EFD" w:rsidRPr="00512EFD" w:rsidRDefault="00512EFD" w:rsidP="000451C6">
            <w:pPr>
              <w:jc w:val="center"/>
              <w:rPr>
                <w:sz w:val="20"/>
                <w:szCs w:val="20"/>
              </w:rPr>
            </w:pPr>
            <w:r>
              <w:rPr>
                <w:sz w:val="20"/>
                <w:szCs w:val="20"/>
              </w:rPr>
              <w:t>Medium</w:t>
            </w:r>
          </w:p>
        </w:tc>
      </w:tr>
      <w:tr w:rsidR="0038343C" w:rsidRPr="00512EFD" w14:paraId="22635A5C"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hideMark/>
          </w:tcPr>
          <w:p w14:paraId="61B41AD2" w14:textId="77777777" w:rsidR="00512EFD" w:rsidRPr="000451C6" w:rsidRDefault="009950A4" w:rsidP="000451C6">
            <w:pPr>
              <w:rPr>
                <w:sz w:val="20"/>
                <w:szCs w:val="20"/>
              </w:rPr>
            </w:pPr>
            <w:r>
              <w:rPr>
                <w:sz w:val="20"/>
                <w:szCs w:val="20"/>
              </w:rPr>
              <w:t xml:space="preserve">Scope for </w:t>
            </w:r>
            <w:proofErr w:type="spellStart"/>
            <w:r w:rsidR="00512EFD" w:rsidRPr="000451C6">
              <w:rPr>
                <w:sz w:val="20"/>
                <w:szCs w:val="20"/>
              </w:rPr>
              <w:t>MoE</w:t>
            </w:r>
            <w:r>
              <w:rPr>
                <w:sz w:val="20"/>
                <w:szCs w:val="20"/>
              </w:rPr>
              <w:t>’s</w:t>
            </w:r>
            <w:proofErr w:type="spellEnd"/>
            <w:r w:rsidR="00512EFD" w:rsidRPr="000451C6">
              <w:rPr>
                <w:sz w:val="20"/>
                <w:szCs w:val="20"/>
              </w:rPr>
              <w:t xml:space="preserve"> </w:t>
            </w:r>
            <w:r>
              <w:rPr>
                <w:sz w:val="20"/>
                <w:szCs w:val="20"/>
              </w:rPr>
              <w:t>Economic Strategy to be</w:t>
            </w:r>
            <w:r w:rsidR="00512EFD" w:rsidRPr="000451C6">
              <w:rPr>
                <w:sz w:val="20"/>
                <w:szCs w:val="20"/>
              </w:rPr>
              <w:t xml:space="preserve"> developed </w:t>
            </w:r>
            <w:r>
              <w:rPr>
                <w:sz w:val="20"/>
                <w:szCs w:val="20"/>
              </w:rPr>
              <w:t xml:space="preserve">incorporating competition principles </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hideMark/>
          </w:tcPr>
          <w:p w14:paraId="5575CDCB" w14:textId="77777777" w:rsidR="00512EFD" w:rsidRPr="000451C6" w:rsidRDefault="00512EFD" w:rsidP="0009715B">
            <w:pPr>
              <w:pStyle w:val="ListParagraph"/>
              <w:numPr>
                <w:ilvl w:val="0"/>
                <w:numId w:val="13"/>
              </w:numPr>
              <w:rPr>
                <w:sz w:val="20"/>
                <w:szCs w:val="20"/>
              </w:rPr>
            </w:pPr>
            <w:r w:rsidRPr="000451C6">
              <w:rPr>
                <w:sz w:val="20"/>
                <w:szCs w:val="20"/>
              </w:rPr>
              <w:t xml:space="preserve">Assess </w:t>
            </w:r>
            <w:proofErr w:type="spellStart"/>
            <w:r w:rsidRPr="000451C6">
              <w:rPr>
                <w:sz w:val="20"/>
                <w:szCs w:val="20"/>
              </w:rPr>
              <w:t>MoE</w:t>
            </w:r>
            <w:proofErr w:type="spellEnd"/>
            <w:r w:rsidRPr="000451C6">
              <w:rPr>
                <w:sz w:val="20"/>
                <w:szCs w:val="20"/>
              </w:rPr>
              <w:t xml:space="preserve"> </w:t>
            </w:r>
            <w:r w:rsidR="009950A4">
              <w:rPr>
                <w:sz w:val="20"/>
                <w:szCs w:val="20"/>
              </w:rPr>
              <w:t>Economic Strategy</w:t>
            </w:r>
            <w:r w:rsidRPr="000451C6">
              <w:rPr>
                <w:sz w:val="20"/>
                <w:szCs w:val="20"/>
              </w:rPr>
              <w:t xml:space="preserve"> measures based on potential effect on competition</w:t>
            </w:r>
          </w:p>
        </w:tc>
        <w:tc>
          <w:tcPr>
            <w:tcW w:w="2267" w:type="dxa"/>
            <w:tcBorders>
              <w:top w:val="single" w:sz="8" w:space="0" w:color="002345"/>
              <w:bottom w:val="single" w:sz="8" w:space="0" w:color="002345"/>
            </w:tcBorders>
            <w:shd w:val="clear" w:color="auto" w:fill="F2F2F2" w:themeFill="background1" w:themeFillShade="F2"/>
          </w:tcPr>
          <w:p w14:paraId="2364C6FB" w14:textId="77777777" w:rsidR="00512EFD" w:rsidRPr="009E0429" w:rsidRDefault="00512EFD" w:rsidP="000451C6">
            <w:pPr>
              <w:pStyle w:val="ListParagraph"/>
              <w:numPr>
                <w:ilvl w:val="0"/>
                <w:numId w:val="13"/>
              </w:numPr>
              <w:tabs>
                <w:tab w:val="clear" w:pos="720"/>
              </w:tabs>
              <w:ind w:left="167" w:hanging="132"/>
              <w:jc w:val="center"/>
              <w:rPr>
                <w:sz w:val="20"/>
                <w:szCs w:val="20"/>
              </w:rPr>
            </w:pPr>
            <w:r w:rsidRPr="009E0429">
              <w:rPr>
                <w:sz w:val="20"/>
                <w:szCs w:val="20"/>
              </w:rPr>
              <w:t>Short (</w:t>
            </w:r>
            <w:r>
              <w:rPr>
                <w:sz w:val="20"/>
                <w:szCs w:val="20"/>
              </w:rPr>
              <w:t>assessment and recommendations</w:t>
            </w:r>
            <w:r w:rsidRPr="009E0429">
              <w:rPr>
                <w:sz w:val="20"/>
                <w:szCs w:val="20"/>
              </w:rPr>
              <w:t>)</w:t>
            </w:r>
          </w:p>
          <w:p w14:paraId="6C3243AD" w14:textId="77777777" w:rsidR="00512EFD" w:rsidRPr="000451C6" w:rsidRDefault="00512EFD" w:rsidP="000451C6">
            <w:pPr>
              <w:jc w:val="center"/>
              <w:rPr>
                <w:sz w:val="20"/>
                <w:szCs w:val="20"/>
              </w:rPr>
            </w:pPr>
          </w:p>
        </w:tc>
        <w:tc>
          <w:tcPr>
            <w:tcW w:w="2004" w:type="dxa"/>
            <w:tcBorders>
              <w:top w:val="single" w:sz="8" w:space="0" w:color="002345"/>
              <w:left w:val="nil"/>
              <w:bottom w:val="single" w:sz="8" w:space="0" w:color="002345"/>
              <w:right w:val="nil"/>
            </w:tcBorders>
            <w:shd w:val="clear" w:color="auto" w:fill="F2F2F2" w:themeFill="background1" w:themeFillShade="F2"/>
          </w:tcPr>
          <w:p w14:paraId="5F5B4266" w14:textId="77777777" w:rsidR="00512EFD" w:rsidRPr="000451C6" w:rsidRDefault="004C1CA0" w:rsidP="000451C6">
            <w:pPr>
              <w:jc w:val="center"/>
              <w:rPr>
                <w:sz w:val="20"/>
                <w:szCs w:val="20"/>
              </w:rPr>
            </w:pPr>
            <w:r>
              <w:rPr>
                <w:sz w:val="20"/>
                <w:szCs w:val="20"/>
              </w:rPr>
              <w:t>Medium</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B0F3B50" w14:textId="77777777" w:rsidR="00512EFD" w:rsidRPr="000451C6" w:rsidRDefault="00512EFD" w:rsidP="000451C6">
            <w:pPr>
              <w:jc w:val="center"/>
              <w:rPr>
                <w:sz w:val="20"/>
                <w:szCs w:val="20"/>
              </w:rPr>
            </w:pPr>
            <w:r w:rsidRPr="000451C6">
              <w:rPr>
                <w:sz w:val="20"/>
                <w:szCs w:val="20"/>
              </w:rPr>
              <w:t>Medium</w:t>
            </w:r>
          </w:p>
        </w:tc>
      </w:tr>
      <w:tr w:rsidR="0038343C" w:rsidRPr="00512EFD" w14:paraId="12DA7141"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588E3D48" w14:textId="77777777" w:rsidR="00512EFD" w:rsidRPr="000451C6" w:rsidRDefault="00512EFD" w:rsidP="00783E60">
            <w:pPr>
              <w:rPr>
                <w:sz w:val="20"/>
                <w:szCs w:val="20"/>
              </w:rPr>
            </w:pPr>
            <w:r w:rsidRPr="000451C6">
              <w:rPr>
                <w:sz w:val="20"/>
                <w:szCs w:val="20"/>
              </w:rPr>
              <w:t xml:space="preserve">Rail: Potentially inadequate provisions for access to monopolist’s infrastructure to encourage entry  </w:t>
            </w:r>
          </w:p>
          <w:p w14:paraId="63D1E665" w14:textId="77777777" w:rsidR="00512EFD" w:rsidRPr="000451C6" w:rsidRDefault="00512EFD" w:rsidP="0009715B">
            <w:pPr>
              <w:numPr>
                <w:ilvl w:val="0"/>
                <w:numId w:val="13"/>
              </w:numPr>
              <w:rPr>
                <w:sz w:val="20"/>
                <w:szCs w:val="20"/>
              </w:rPr>
            </w:pPr>
            <w:r w:rsidRPr="000451C6">
              <w:rPr>
                <w:sz w:val="20"/>
                <w:szCs w:val="20"/>
              </w:rPr>
              <w:t>Regulation on access and access tariffs not defined – although entry of a second operator could provide differentiated services</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06809879" w14:textId="77777777" w:rsidR="00512EFD" w:rsidRPr="000451C6" w:rsidRDefault="00512EFD" w:rsidP="0009715B">
            <w:pPr>
              <w:numPr>
                <w:ilvl w:val="0"/>
                <w:numId w:val="13"/>
              </w:numPr>
              <w:rPr>
                <w:sz w:val="20"/>
                <w:szCs w:val="20"/>
              </w:rPr>
            </w:pPr>
            <w:r w:rsidRPr="000451C6">
              <w:rPr>
                <w:sz w:val="20"/>
                <w:szCs w:val="20"/>
              </w:rPr>
              <w:t>Consider potential viability of opening market to a second operator</w:t>
            </w:r>
          </w:p>
          <w:p w14:paraId="0E65FD07" w14:textId="77777777" w:rsidR="00512EFD" w:rsidRPr="000451C6" w:rsidRDefault="00512EFD" w:rsidP="0009715B">
            <w:pPr>
              <w:numPr>
                <w:ilvl w:val="0"/>
                <w:numId w:val="13"/>
              </w:numPr>
              <w:rPr>
                <w:sz w:val="20"/>
                <w:szCs w:val="20"/>
              </w:rPr>
            </w:pPr>
            <w:r w:rsidRPr="000451C6">
              <w:rPr>
                <w:sz w:val="20"/>
                <w:szCs w:val="20"/>
              </w:rPr>
              <w:t>Develop access regulation</w:t>
            </w:r>
          </w:p>
        </w:tc>
        <w:tc>
          <w:tcPr>
            <w:tcW w:w="2267" w:type="dxa"/>
            <w:tcBorders>
              <w:top w:val="single" w:sz="8" w:space="0" w:color="002345"/>
              <w:bottom w:val="single" w:sz="8" w:space="0" w:color="002345"/>
            </w:tcBorders>
            <w:shd w:val="clear" w:color="auto" w:fill="F2F2F2" w:themeFill="background1" w:themeFillShade="F2"/>
          </w:tcPr>
          <w:p w14:paraId="79A8A951" w14:textId="77777777" w:rsidR="00512EFD" w:rsidRPr="000451C6" w:rsidRDefault="0038343C" w:rsidP="000451C6">
            <w:pPr>
              <w:pStyle w:val="ListParagraph"/>
              <w:numPr>
                <w:ilvl w:val="0"/>
                <w:numId w:val="13"/>
              </w:numPr>
              <w:tabs>
                <w:tab w:val="clear" w:pos="720"/>
              </w:tabs>
              <w:ind w:left="167" w:hanging="132"/>
              <w:jc w:val="center"/>
              <w:rPr>
                <w:sz w:val="20"/>
                <w:szCs w:val="20"/>
              </w:rPr>
            </w:pPr>
            <w:r w:rsidRPr="009E0429">
              <w:rPr>
                <w:sz w:val="20"/>
                <w:szCs w:val="20"/>
              </w:rPr>
              <w:t>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567475F8" w14:textId="77777777" w:rsidR="00512EFD" w:rsidRPr="00512EFD" w:rsidRDefault="009950A4" w:rsidP="000451C6">
            <w:pPr>
              <w:jc w:val="center"/>
              <w:rPr>
                <w:sz w:val="20"/>
                <w:szCs w:val="20"/>
              </w:rPr>
            </w:pPr>
            <w:r>
              <w:rPr>
                <w:sz w:val="20"/>
                <w:szCs w:val="20"/>
              </w:rPr>
              <w:t>Low</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CDE9A83" w14:textId="77777777" w:rsidR="00512EFD" w:rsidRPr="00512EFD" w:rsidRDefault="0038343C" w:rsidP="000451C6">
            <w:pPr>
              <w:ind w:left="360"/>
              <w:jc w:val="center"/>
              <w:rPr>
                <w:sz w:val="20"/>
                <w:szCs w:val="20"/>
              </w:rPr>
            </w:pPr>
            <w:r>
              <w:rPr>
                <w:sz w:val="20"/>
                <w:szCs w:val="20"/>
              </w:rPr>
              <w:t>Low - Medium</w:t>
            </w:r>
          </w:p>
        </w:tc>
      </w:tr>
      <w:tr w:rsidR="0038343C" w:rsidRPr="00512EFD" w14:paraId="6EDE2751" w14:textId="77777777" w:rsidTr="000451C6">
        <w:trPr>
          <w:trHeight w:val="3697"/>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61378009" w14:textId="77777777" w:rsidR="00512EFD" w:rsidRPr="000451C6" w:rsidRDefault="00512EFD" w:rsidP="00701C1E">
            <w:pPr>
              <w:rPr>
                <w:sz w:val="20"/>
                <w:szCs w:val="20"/>
              </w:rPr>
            </w:pPr>
            <w:r w:rsidRPr="000451C6">
              <w:rPr>
                <w:sz w:val="20"/>
                <w:szCs w:val="20"/>
              </w:rPr>
              <w:t xml:space="preserve">Aviation: </w:t>
            </w:r>
          </w:p>
          <w:p w14:paraId="2937C6AB" w14:textId="77777777" w:rsidR="00512EFD" w:rsidRPr="000451C6" w:rsidRDefault="00512EFD" w:rsidP="0009715B">
            <w:pPr>
              <w:pStyle w:val="ListParagraph"/>
              <w:numPr>
                <w:ilvl w:val="0"/>
                <w:numId w:val="14"/>
              </w:numPr>
              <w:ind w:left="743"/>
              <w:rPr>
                <w:sz w:val="20"/>
                <w:szCs w:val="20"/>
              </w:rPr>
            </w:pPr>
            <w:r w:rsidRPr="000451C6">
              <w:rPr>
                <w:sz w:val="20"/>
                <w:szCs w:val="20"/>
              </w:rPr>
              <w:t>Previous de facto monopoly in aviation fuel</w:t>
            </w:r>
          </w:p>
          <w:p w14:paraId="5BCD4917" w14:textId="77777777" w:rsidR="00512EFD" w:rsidRPr="000451C6" w:rsidRDefault="00512EFD" w:rsidP="0009715B">
            <w:pPr>
              <w:pStyle w:val="ListParagraph"/>
              <w:numPr>
                <w:ilvl w:val="0"/>
                <w:numId w:val="14"/>
              </w:numPr>
              <w:ind w:left="743"/>
              <w:rPr>
                <w:sz w:val="20"/>
                <w:szCs w:val="20"/>
              </w:rPr>
            </w:pPr>
            <w:r w:rsidRPr="000451C6">
              <w:rPr>
                <w:sz w:val="20"/>
                <w:szCs w:val="20"/>
              </w:rPr>
              <w:t xml:space="preserve">Some report prohibitive fees at </w:t>
            </w:r>
            <w:proofErr w:type="spellStart"/>
            <w:r w:rsidRPr="000451C6">
              <w:rPr>
                <w:sz w:val="20"/>
                <w:szCs w:val="20"/>
              </w:rPr>
              <w:t>Zvartnots</w:t>
            </w:r>
            <w:proofErr w:type="spellEnd"/>
            <w:r w:rsidRPr="000451C6">
              <w:rPr>
                <w:sz w:val="20"/>
                <w:szCs w:val="20"/>
              </w:rPr>
              <w:t xml:space="preserve"> Airport (landing and handling)</w:t>
            </w:r>
          </w:p>
          <w:p w14:paraId="6D79CF52" w14:textId="77777777" w:rsidR="00512EFD" w:rsidRPr="000451C6" w:rsidRDefault="00512EFD" w:rsidP="0009715B">
            <w:pPr>
              <w:pStyle w:val="ListParagraph"/>
              <w:numPr>
                <w:ilvl w:val="0"/>
                <w:numId w:val="14"/>
              </w:numPr>
              <w:ind w:left="743"/>
              <w:rPr>
                <w:sz w:val="20"/>
                <w:szCs w:val="20"/>
              </w:rPr>
            </w:pPr>
            <w:proofErr w:type="gramStart"/>
            <w:r w:rsidRPr="000451C6">
              <w:rPr>
                <w:sz w:val="20"/>
                <w:szCs w:val="20"/>
              </w:rPr>
              <w:t>A number of</w:t>
            </w:r>
            <w:proofErr w:type="gramEnd"/>
            <w:r w:rsidRPr="000451C6">
              <w:rPr>
                <w:sz w:val="20"/>
                <w:szCs w:val="20"/>
              </w:rPr>
              <w:t xml:space="preserve"> players have exited in recent years</w:t>
            </w:r>
          </w:p>
          <w:p w14:paraId="75136011" w14:textId="77777777" w:rsidR="00512EFD" w:rsidRPr="000451C6" w:rsidRDefault="00512EFD" w:rsidP="0009715B">
            <w:pPr>
              <w:pStyle w:val="ListParagraph"/>
              <w:numPr>
                <w:ilvl w:val="0"/>
                <w:numId w:val="14"/>
              </w:numPr>
              <w:ind w:left="743"/>
              <w:rPr>
                <w:sz w:val="20"/>
                <w:szCs w:val="20"/>
              </w:rPr>
            </w:pPr>
            <w:r w:rsidRPr="000451C6">
              <w:rPr>
                <w:sz w:val="20"/>
                <w:szCs w:val="20"/>
              </w:rPr>
              <w:t>European LCCs have not yet entered despite negotiations in recent years</w:t>
            </w:r>
          </w:p>
          <w:p w14:paraId="03595FF2" w14:textId="77777777" w:rsidR="00512EFD" w:rsidRPr="000451C6" w:rsidRDefault="00512EFD" w:rsidP="0009715B">
            <w:pPr>
              <w:pStyle w:val="ListParagraph"/>
              <w:numPr>
                <w:ilvl w:val="0"/>
                <w:numId w:val="14"/>
              </w:numPr>
              <w:ind w:left="743"/>
              <w:rPr>
                <w:sz w:val="20"/>
                <w:szCs w:val="20"/>
              </w:rPr>
            </w:pPr>
            <w:r w:rsidRPr="000451C6">
              <w:rPr>
                <w:sz w:val="20"/>
                <w:szCs w:val="20"/>
              </w:rPr>
              <w:t>Potential to develop Gyumri Airport to attract more European LCCs – currently only Russian airlines</w:t>
            </w:r>
          </w:p>
          <w:p w14:paraId="16C26C75" w14:textId="77777777" w:rsidR="00512EFD" w:rsidRPr="000451C6" w:rsidRDefault="00512EFD" w:rsidP="0009715B">
            <w:pPr>
              <w:pStyle w:val="ListParagraph"/>
              <w:numPr>
                <w:ilvl w:val="0"/>
                <w:numId w:val="14"/>
              </w:numPr>
              <w:ind w:left="743"/>
              <w:rPr>
                <w:sz w:val="20"/>
                <w:szCs w:val="20"/>
              </w:rPr>
            </w:pPr>
            <w:r w:rsidRPr="000451C6">
              <w:rPr>
                <w:sz w:val="20"/>
                <w:szCs w:val="20"/>
              </w:rPr>
              <w:t>Potential to develop more domestic routes – currently only one air operator certificate issued for a domestic route</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3BC7780E" w14:textId="77777777" w:rsidR="00512EFD" w:rsidRPr="000451C6" w:rsidRDefault="00512EFD" w:rsidP="0009715B">
            <w:pPr>
              <w:numPr>
                <w:ilvl w:val="0"/>
                <w:numId w:val="15"/>
              </w:numPr>
              <w:rPr>
                <w:sz w:val="20"/>
                <w:szCs w:val="20"/>
              </w:rPr>
            </w:pPr>
            <w:r w:rsidRPr="000451C6">
              <w:rPr>
                <w:sz w:val="20"/>
                <w:szCs w:val="20"/>
              </w:rPr>
              <w:t xml:space="preserve">Consider benefits of developing further domestic routes and/or licensing additional air operators </w:t>
            </w:r>
          </w:p>
          <w:p w14:paraId="6E5589B9" w14:textId="77777777" w:rsidR="00512EFD" w:rsidRPr="000451C6" w:rsidRDefault="00512EFD" w:rsidP="0009715B">
            <w:pPr>
              <w:numPr>
                <w:ilvl w:val="0"/>
                <w:numId w:val="15"/>
              </w:numPr>
              <w:rPr>
                <w:sz w:val="20"/>
                <w:szCs w:val="20"/>
              </w:rPr>
            </w:pPr>
            <w:r w:rsidRPr="000451C6">
              <w:rPr>
                <w:sz w:val="20"/>
                <w:szCs w:val="20"/>
              </w:rPr>
              <w:t>Review reasons for lack of entry of European LCCs at Gyumri</w:t>
            </w:r>
          </w:p>
          <w:p w14:paraId="629179D6" w14:textId="77777777" w:rsidR="00512EFD" w:rsidRPr="000451C6" w:rsidRDefault="00512EFD" w:rsidP="0009715B">
            <w:pPr>
              <w:numPr>
                <w:ilvl w:val="0"/>
                <w:numId w:val="15"/>
              </w:numPr>
              <w:rPr>
                <w:sz w:val="20"/>
                <w:szCs w:val="20"/>
              </w:rPr>
            </w:pPr>
            <w:r w:rsidRPr="000451C6">
              <w:rPr>
                <w:sz w:val="20"/>
                <w:szCs w:val="20"/>
              </w:rPr>
              <w:t>Review and address drivers of de facto fuel monopoly</w:t>
            </w:r>
          </w:p>
        </w:tc>
        <w:tc>
          <w:tcPr>
            <w:tcW w:w="2267" w:type="dxa"/>
            <w:tcBorders>
              <w:top w:val="single" w:sz="8" w:space="0" w:color="002345"/>
              <w:bottom w:val="single" w:sz="8" w:space="0" w:color="002345"/>
            </w:tcBorders>
            <w:shd w:val="clear" w:color="auto" w:fill="F2F2F2" w:themeFill="background1" w:themeFillShade="F2"/>
          </w:tcPr>
          <w:p w14:paraId="01FBFBDC" w14:textId="77777777" w:rsidR="00512EFD" w:rsidRPr="000451C6" w:rsidRDefault="0038343C" w:rsidP="000451C6">
            <w:pPr>
              <w:jc w:val="center"/>
              <w:rPr>
                <w:sz w:val="20"/>
                <w:szCs w:val="20"/>
              </w:rPr>
            </w:pPr>
            <w:r>
              <w:rPr>
                <w:sz w:val="20"/>
                <w:szCs w:val="20"/>
              </w:rPr>
              <w:t xml:space="preserve">• </w:t>
            </w:r>
            <w:r w:rsidRPr="0038343C">
              <w:rPr>
                <w:sz w:val="20"/>
                <w:szCs w:val="20"/>
              </w:rPr>
              <w:t>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3AF9D6BA" w14:textId="77777777" w:rsidR="00512EFD" w:rsidRPr="00512EFD" w:rsidRDefault="0038343C" w:rsidP="000451C6">
            <w:pPr>
              <w:ind w:left="720"/>
              <w:rPr>
                <w:sz w:val="20"/>
                <w:szCs w:val="20"/>
              </w:rPr>
            </w:pPr>
            <w:r>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1DAF7311" w14:textId="77777777" w:rsidR="00512EFD" w:rsidRPr="00512EFD" w:rsidRDefault="0038343C" w:rsidP="000451C6">
            <w:pPr>
              <w:ind w:left="360"/>
              <w:jc w:val="center"/>
              <w:rPr>
                <w:sz w:val="20"/>
                <w:szCs w:val="20"/>
              </w:rPr>
            </w:pPr>
            <w:r>
              <w:rPr>
                <w:sz w:val="20"/>
                <w:szCs w:val="20"/>
              </w:rPr>
              <w:t>Medium</w:t>
            </w:r>
          </w:p>
        </w:tc>
      </w:tr>
      <w:tr w:rsidR="0038343C" w:rsidRPr="00512EFD" w14:paraId="55A07281"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5B974DF4" w14:textId="77777777" w:rsidR="00512EFD" w:rsidRPr="000451C6" w:rsidRDefault="00512EFD" w:rsidP="00A45A3B">
            <w:pPr>
              <w:rPr>
                <w:sz w:val="20"/>
                <w:szCs w:val="20"/>
              </w:rPr>
            </w:pPr>
            <w:r w:rsidRPr="000451C6">
              <w:rPr>
                <w:sz w:val="20"/>
                <w:szCs w:val="20"/>
              </w:rPr>
              <w:t>Telecoms</w:t>
            </w:r>
          </w:p>
          <w:p w14:paraId="56966979" w14:textId="77777777" w:rsidR="00512EFD" w:rsidRPr="000451C6" w:rsidRDefault="00512EFD" w:rsidP="000451C6">
            <w:pPr>
              <w:pStyle w:val="ListParagraph"/>
              <w:numPr>
                <w:ilvl w:val="0"/>
                <w:numId w:val="17"/>
              </w:numPr>
              <w:jc w:val="both"/>
              <w:rPr>
                <w:sz w:val="20"/>
                <w:szCs w:val="20"/>
              </w:rPr>
            </w:pPr>
            <w:r w:rsidRPr="000451C6">
              <w:rPr>
                <w:sz w:val="20"/>
                <w:szCs w:val="20"/>
              </w:rPr>
              <w:t>Methods for regulating interconnection could be improved</w:t>
            </w:r>
          </w:p>
          <w:p w14:paraId="63592D02" w14:textId="77777777" w:rsidR="00512EFD" w:rsidRPr="000451C6" w:rsidRDefault="00512EFD" w:rsidP="000451C6">
            <w:pPr>
              <w:pStyle w:val="ListParagraph"/>
              <w:numPr>
                <w:ilvl w:val="0"/>
                <w:numId w:val="17"/>
              </w:numPr>
              <w:jc w:val="both"/>
              <w:rPr>
                <w:sz w:val="20"/>
                <w:szCs w:val="20"/>
              </w:rPr>
            </w:pPr>
            <w:r w:rsidRPr="000451C6">
              <w:rPr>
                <w:sz w:val="20"/>
                <w:szCs w:val="20"/>
              </w:rPr>
              <w:t xml:space="preserve">No plans to release remaining 4G spectrum in a way that could allow for new entry </w:t>
            </w:r>
          </w:p>
          <w:p w14:paraId="6F208EB3" w14:textId="77777777" w:rsidR="00512EFD" w:rsidRPr="000451C6" w:rsidRDefault="00512EFD" w:rsidP="000451C6">
            <w:pPr>
              <w:pStyle w:val="ListParagraph"/>
              <w:numPr>
                <w:ilvl w:val="0"/>
                <w:numId w:val="17"/>
              </w:numPr>
              <w:jc w:val="both"/>
              <w:rPr>
                <w:sz w:val="20"/>
                <w:szCs w:val="20"/>
              </w:rPr>
            </w:pPr>
            <w:r w:rsidRPr="000451C6">
              <w:rPr>
                <w:sz w:val="20"/>
                <w:szCs w:val="20"/>
              </w:rPr>
              <w:t>Lack of infrastructure sharing regulations may become an issue when 5G roll out begins</w:t>
            </w:r>
          </w:p>
          <w:p w14:paraId="4F0F5539" w14:textId="77777777" w:rsidR="00512EFD" w:rsidRPr="000451C6" w:rsidRDefault="00512EFD" w:rsidP="000451C6">
            <w:pPr>
              <w:pStyle w:val="ListParagraph"/>
              <w:numPr>
                <w:ilvl w:val="0"/>
                <w:numId w:val="17"/>
              </w:numPr>
              <w:jc w:val="both"/>
              <w:rPr>
                <w:sz w:val="20"/>
                <w:szCs w:val="20"/>
              </w:rPr>
            </w:pPr>
            <w:r w:rsidRPr="000451C6">
              <w:rPr>
                <w:sz w:val="20"/>
                <w:szCs w:val="20"/>
              </w:rPr>
              <w:t>Lack of asymmetric regulation may hinder competition dynamics.</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1A4550A3" w14:textId="77777777" w:rsidR="00512EFD" w:rsidRPr="000451C6" w:rsidRDefault="00512EFD" w:rsidP="000451C6">
            <w:pPr>
              <w:ind w:left="720"/>
              <w:rPr>
                <w:sz w:val="20"/>
                <w:szCs w:val="20"/>
              </w:rPr>
            </w:pPr>
          </w:p>
          <w:p w14:paraId="70334A63" w14:textId="77777777" w:rsidR="00512EFD" w:rsidRPr="000451C6" w:rsidRDefault="00512EFD" w:rsidP="000451C6">
            <w:pPr>
              <w:numPr>
                <w:ilvl w:val="0"/>
                <w:numId w:val="17"/>
              </w:numPr>
              <w:rPr>
                <w:sz w:val="20"/>
                <w:szCs w:val="20"/>
              </w:rPr>
            </w:pPr>
            <w:r w:rsidRPr="000451C6">
              <w:rPr>
                <w:sz w:val="20"/>
                <w:szCs w:val="20"/>
              </w:rPr>
              <w:t>Strengthen methodology for determining interconnection rates</w:t>
            </w:r>
          </w:p>
          <w:p w14:paraId="7AB9BB9C" w14:textId="77777777" w:rsidR="00512EFD" w:rsidRPr="000451C6" w:rsidRDefault="00512EFD" w:rsidP="000451C6">
            <w:pPr>
              <w:numPr>
                <w:ilvl w:val="0"/>
                <w:numId w:val="17"/>
              </w:numPr>
              <w:rPr>
                <w:sz w:val="20"/>
                <w:szCs w:val="20"/>
              </w:rPr>
            </w:pPr>
            <w:r w:rsidRPr="000451C6">
              <w:rPr>
                <w:sz w:val="20"/>
                <w:szCs w:val="20"/>
              </w:rPr>
              <w:t>Develop infrastructure sharing regulation</w:t>
            </w:r>
          </w:p>
          <w:p w14:paraId="425F556B" w14:textId="77777777" w:rsidR="00512EFD" w:rsidRPr="000451C6" w:rsidRDefault="00512EFD" w:rsidP="000451C6">
            <w:pPr>
              <w:numPr>
                <w:ilvl w:val="0"/>
                <w:numId w:val="17"/>
              </w:numPr>
              <w:rPr>
                <w:sz w:val="20"/>
                <w:szCs w:val="20"/>
              </w:rPr>
            </w:pPr>
            <w:r w:rsidRPr="000451C6">
              <w:rPr>
                <w:sz w:val="20"/>
                <w:szCs w:val="20"/>
              </w:rPr>
              <w:t>Assess benefits of releasing spectrum in a more pro-competition way</w:t>
            </w:r>
          </w:p>
          <w:p w14:paraId="5E5CCC8D" w14:textId="77777777" w:rsidR="00512EFD" w:rsidRPr="000451C6" w:rsidRDefault="00512EFD" w:rsidP="000451C6">
            <w:pPr>
              <w:numPr>
                <w:ilvl w:val="0"/>
                <w:numId w:val="17"/>
              </w:numPr>
              <w:rPr>
                <w:sz w:val="20"/>
                <w:szCs w:val="20"/>
              </w:rPr>
            </w:pPr>
            <w:r w:rsidRPr="000451C6">
              <w:rPr>
                <w:sz w:val="20"/>
                <w:szCs w:val="20"/>
              </w:rPr>
              <w:t>Assess benefits of implementing asymmetric regulation</w:t>
            </w:r>
          </w:p>
          <w:p w14:paraId="29201F88" w14:textId="77777777" w:rsidR="00512EFD" w:rsidRPr="000451C6" w:rsidRDefault="00512EFD" w:rsidP="007834D6">
            <w:pPr>
              <w:ind w:left="720"/>
              <w:rPr>
                <w:sz w:val="20"/>
                <w:szCs w:val="20"/>
              </w:rPr>
            </w:pPr>
          </w:p>
        </w:tc>
        <w:tc>
          <w:tcPr>
            <w:tcW w:w="2267" w:type="dxa"/>
            <w:tcBorders>
              <w:top w:val="single" w:sz="8" w:space="0" w:color="002345"/>
              <w:bottom w:val="single" w:sz="8" w:space="0" w:color="002345"/>
            </w:tcBorders>
            <w:shd w:val="clear" w:color="auto" w:fill="F2F2F2" w:themeFill="background1" w:themeFillShade="F2"/>
          </w:tcPr>
          <w:p w14:paraId="506663DF" w14:textId="77777777" w:rsidR="0038343C" w:rsidRPr="000451C6" w:rsidRDefault="0038343C" w:rsidP="00BA7EF3">
            <w:pPr>
              <w:pStyle w:val="ListParagraph"/>
              <w:numPr>
                <w:ilvl w:val="0"/>
                <w:numId w:val="17"/>
              </w:numPr>
              <w:jc w:val="center"/>
              <w:rPr>
                <w:sz w:val="20"/>
                <w:szCs w:val="20"/>
              </w:rPr>
            </w:pPr>
            <w:r w:rsidRPr="000451C6">
              <w:rPr>
                <w:sz w:val="20"/>
                <w:szCs w:val="20"/>
              </w:rPr>
              <w:t>Short (interconnection)</w:t>
            </w:r>
          </w:p>
          <w:p w14:paraId="03123616" w14:textId="77777777" w:rsidR="00512EFD" w:rsidRPr="000451C6" w:rsidRDefault="0038343C" w:rsidP="000451C6">
            <w:pPr>
              <w:pStyle w:val="ListParagraph"/>
              <w:numPr>
                <w:ilvl w:val="0"/>
                <w:numId w:val="17"/>
              </w:numPr>
              <w:jc w:val="center"/>
              <w:rPr>
                <w:sz w:val="20"/>
                <w:szCs w:val="20"/>
              </w:rPr>
            </w:pPr>
            <w:r w:rsidRPr="000451C6">
              <w:rPr>
                <w:sz w:val="20"/>
                <w:szCs w:val="20"/>
              </w:rPr>
              <w:t>Medium (other actions)</w:t>
            </w:r>
          </w:p>
        </w:tc>
        <w:tc>
          <w:tcPr>
            <w:tcW w:w="2004" w:type="dxa"/>
            <w:tcBorders>
              <w:top w:val="single" w:sz="8" w:space="0" w:color="002345"/>
              <w:left w:val="nil"/>
              <w:bottom w:val="single" w:sz="8" w:space="0" w:color="002345"/>
              <w:right w:val="nil"/>
            </w:tcBorders>
            <w:shd w:val="clear" w:color="auto" w:fill="F2F2F2" w:themeFill="background1" w:themeFillShade="F2"/>
          </w:tcPr>
          <w:p w14:paraId="6CB195D3" w14:textId="77777777" w:rsidR="00512EFD" w:rsidRPr="00512EFD" w:rsidRDefault="0038343C" w:rsidP="000451C6">
            <w:pPr>
              <w:jc w:val="center"/>
              <w:rPr>
                <w:sz w:val="20"/>
                <w:szCs w:val="20"/>
              </w:rPr>
            </w:pPr>
            <w:r>
              <w:rPr>
                <w:sz w:val="20"/>
                <w:szCs w:val="20"/>
              </w:rPr>
              <w:t>Medium</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73CDA375" w14:textId="77777777" w:rsidR="0015654F" w:rsidRDefault="0038343C" w:rsidP="000451C6">
            <w:pPr>
              <w:jc w:val="center"/>
              <w:rPr>
                <w:sz w:val="20"/>
                <w:szCs w:val="20"/>
              </w:rPr>
            </w:pPr>
            <w:r>
              <w:rPr>
                <w:sz w:val="20"/>
                <w:szCs w:val="20"/>
              </w:rPr>
              <w:t>Medium - High (interconnection)</w:t>
            </w:r>
          </w:p>
          <w:p w14:paraId="3304AE53" w14:textId="77777777" w:rsidR="0038343C" w:rsidRPr="00512EFD" w:rsidRDefault="0038343C" w:rsidP="000451C6">
            <w:pPr>
              <w:jc w:val="center"/>
              <w:rPr>
                <w:sz w:val="20"/>
                <w:szCs w:val="20"/>
              </w:rPr>
            </w:pPr>
            <w:r>
              <w:rPr>
                <w:sz w:val="20"/>
                <w:szCs w:val="20"/>
              </w:rPr>
              <w:t>Medium (others)</w:t>
            </w:r>
          </w:p>
        </w:tc>
      </w:tr>
      <w:tr w:rsidR="0038343C" w:rsidRPr="00512EFD" w14:paraId="7123361D"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07559C3A" w14:textId="77777777" w:rsidR="00512EFD" w:rsidRPr="000451C6" w:rsidRDefault="00512EFD" w:rsidP="00701C1E">
            <w:pPr>
              <w:rPr>
                <w:sz w:val="20"/>
                <w:szCs w:val="20"/>
              </w:rPr>
            </w:pPr>
            <w:r w:rsidRPr="000451C6">
              <w:rPr>
                <w:sz w:val="20"/>
                <w:szCs w:val="20"/>
              </w:rPr>
              <w:t>Energy</w:t>
            </w:r>
          </w:p>
          <w:p w14:paraId="7A571CFB" w14:textId="77777777" w:rsidR="00512EFD" w:rsidRPr="000451C6" w:rsidRDefault="00512EFD" w:rsidP="00701C1E">
            <w:pPr>
              <w:rPr>
                <w:i/>
                <w:sz w:val="20"/>
                <w:szCs w:val="20"/>
              </w:rPr>
            </w:pPr>
            <w:r w:rsidRPr="000451C6">
              <w:rPr>
                <w:i/>
                <w:sz w:val="20"/>
                <w:szCs w:val="20"/>
              </w:rPr>
              <w:t>Electricity</w:t>
            </w:r>
            <w:r w:rsidR="0038343C">
              <w:rPr>
                <w:i/>
                <w:sz w:val="20"/>
                <w:szCs w:val="20"/>
              </w:rPr>
              <w:t>:</w:t>
            </w:r>
          </w:p>
          <w:p w14:paraId="7AFFC70F" w14:textId="77777777" w:rsidR="00512EFD" w:rsidRPr="000451C6" w:rsidRDefault="00512EFD" w:rsidP="0009715B">
            <w:pPr>
              <w:numPr>
                <w:ilvl w:val="0"/>
                <w:numId w:val="16"/>
              </w:numPr>
              <w:rPr>
                <w:sz w:val="20"/>
                <w:szCs w:val="20"/>
              </w:rPr>
            </w:pPr>
            <w:r w:rsidRPr="000451C6">
              <w:rPr>
                <w:sz w:val="20"/>
                <w:szCs w:val="20"/>
              </w:rPr>
              <w:t>Legal amendments to open electricity supply market enacted but not implemented (through separation of distribution -supply monopoly)</w:t>
            </w:r>
          </w:p>
          <w:p w14:paraId="15ADF012" w14:textId="77777777" w:rsidR="00512EFD" w:rsidRPr="000451C6" w:rsidRDefault="00512EFD" w:rsidP="000451C6">
            <w:pPr>
              <w:rPr>
                <w:sz w:val="20"/>
                <w:szCs w:val="20"/>
              </w:rPr>
            </w:pPr>
          </w:p>
          <w:p w14:paraId="4CDFAC1E" w14:textId="77777777" w:rsidR="00512EFD" w:rsidRPr="000451C6" w:rsidRDefault="00512EFD" w:rsidP="000451C6">
            <w:pPr>
              <w:rPr>
                <w:i/>
                <w:sz w:val="20"/>
                <w:szCs w:val="20"/>
              </w:rPr>
            </w:pPr>
            <w:r w:rsidRPr="000451C6">
              <w:rPr>
                <w:i/>
                <w:sz w:val="20"/>
                <w:szCs w:val="20"/>
              </w:rPr>
              <w:t>Gas</w:t>
            </w:r>
            <w:r w:rsidR="0038343C">
              <w:rPr>
                <w:i/>
                <w:sz w:val="20"/>
                <w:szCs w:val="20"/>
              </w:rPr>
              <w:t>:</w:t>
            </w:r>
          </w:p>
          <w:p w14:paraId="3BDAE2F9" w14:textId="77777777" w:rsidR="00512EFD" w:rsidRPr="000451C6" w:rsidRDefault="00512EFD">
            <w:pPr>
              <w:numPr>
                <w:ilvl w:val="0"/>
                <w:numId w:val="16"/>
              </w:numPr>
              <w:rPr>
                <w:sz w:val="20"/>
                <w:szCs w:val="20"/>
              </w:rPr>
            </w:pPr>
            <w:r w:rsidRPr="000451C6">
              <w:rPr>
                <w:sz w:val="20"/>
                <w:szCs w:val="20"/>
              </w:rPr>
              <w:t>Monopoly in gas distribution and supply</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57424FC2" w14:textId="77777777" w:rsidR="00512EFD" w:rsidRPr="000451C6" w:rsidRDefault="00512EFD" w:rsidP="000451C6">
            <w:pPr>
              <w:ind w:left="720"/>
              <w:rPr>
                <w:sz w:val="20"/>
                <w:szCs w:val="20"/>
              </w:rPr>
            </w:pPr>
          </w:p>
          <w:p w14:paraId="25FAB57F" w14:textId="77777777" w:rsidR="00512EFD" w:rsidRPr="000451C6" w:rsidRDefault="00512EFD" w:rsidP="000451C6">
            <w:pPr>
              <w:rPr>
                <w:sz w:val="20"/>
                <w:szCs w:val="20"/>
              </w:rPr>
            </w:pPr>
          </w:p>
          <w:p w14:paraId="1E1191D2" w14:textId="77777777" w:rsidR="00512EFD" w:rsidRPr="000451C6" w:rsidRDefault="00512EFD" w:rsidP="000451C6">
            <w:pPr>
              <w:rPr>
                <w:sz w:val="20"/>
                <w:szCs w:val="20"/>
              </w:rPr>
            </w:pPr>
          </w:p>
          <w:p w14:paraId="2313E01C" w14:textId="77777777" w:rsidR="00512EFD" w:rsidRPr="000451C6" w:rsidRDefault="00512EFD" w:rsidP="0009715B">
            <w:pPr>
              <w:numPr>
                <w:ilvl w:val="0"/>
                <w:numId w:val="17"/>
              </w:numPr>
              <w:rPr>
                <w:sz w:val="20"/>
                <w:szCs w:val="20"/>
              </w:rPr>
            </w:pPr>
            <w:r w:rsidRPr="000451C6">
              <w:rPr>
                <w:sz w:val="20"/>
                <w:szCs w:val="20"/>
              </w:rPr>
              <w:t>Develop implementing regulation for separation of distribution and supply of electricity- including third party access conditions</w:t>
            </w:r>
          </w:p>
          <w:p w14:paraId="4C895C33" w14:textId="77777777" w:rsidR="00512EFD" w:rsidRPr="000451C6" w:rsidRDefault="00512EFD" w:rsidP="000451C6">
            <w:pPr>
              <w:ind w:left="720"/>
              <w:rPr>
                <w:sz w:val="20"/>
                <w:szCs w:val="20"/>
              </w:rPr>
            </w:pPr>
          </w:p>
          <w:p w14:paraId="4CA2FC0D" w14:textId="77777777" w:rsidR="00512EFD" w:rsidRPr="000451C6" w:rsidRDefault="00512EFD" w:rsidP="000451C6">
            <w:pPr>
              <w:ind w:left="720"/>
              <w:rPr>
                <w:sz w:val="20"/>
                <w:szCs w:val="20"/>
              </w:rPr>
            </w:pPr>
          </w:p>
          <w:p w14:paraId="23AC4B4D" w14:textId="77777777" w:rsidR="00512EFD" w:rsidRPr="000451C6" w:rsidRDefault="00512EFD" w:rsidP="000451C6">
            <w:pPr>
              <w:ind w:left="720"/>
              <w:rPr>
                <w:sz w:val="20"/>
                <w:szCs w:val="20"/>
              </w:rPr>
            </w:pPr>
          </w:p>
          <w:p w14:paraId="23D194E1" w14:textId="77777777" w:rsidR="00512EFD" w:rsidRPr="000451C6" w:rsidRDefault="00512EFD" w:rsidP="0009715B">
            <w:pPr>
              <w:numPr>
                <w:ilvl w:val="0"/>
                <w:numId w:val="17"/>
              </w:numPr>
              <w:rPr>
                <w:sz w:val="20"/>
                <w:szCs w:val="20"/>
              </w:rPr>
            </w:pPr>
            <w:r w:rsidRPr="000451C6">
              <w:rPr>
                <w:sz w:val="20"/>
                <w:szCs w:val="20"/>
              </w:rPr>
              <w:t>Assess potential to quantify impact of gas distribution/supply monopoly</w:t>
            </w:r>
          </w:p>
        </w:tc>
        <w:tc>
          <w:tcPr>
            <w:tcW w:w="2267" w:type="dxa"/>
            <w:tcBorders>
              <w:top w:val="single" w:sz="8" w:space="0" w:color="002345"/>
              <w:bottom w:val="single" w:sz="8" w:space="0" w:color="002345"/>
            </w:tcBorders>
            <w:shd w:val="clear" w:color="auto" w:fill="F2F2F2" w:themeFill="background1" w:themeFillShade="F2"/>
          </w:tcPr>
          <w:p w14:paraId="3A492F4A" w14:textId="77777777" w:rsidR="00512EFD" w:rsidRDefault="00512EFD" w:rsidP="000451C6">
            <w:pPr>
              <w:ind w:left="720"/>
              <w:jc w:val="center"/>
              <w:rPr>
                <w:sz w:val="20"/>
                <w:szCs w:val="20"/>
              </w:rPr>
            </w:pPr>
          </w:p>
          <w:p w14:paraId="24A80286" w14:textId="77777777" w:rsidR="0038343C" w:rsidRDefault="0038343C" w:rsidP="000451C6">
            <w:pPr>
              <w:ind w:left="720"/>
              <w:jc w:val="center"/>
              <w:rPr>
                <w:sz w:val="20"/>
                <w:szCs w:val="20"/>
              </w:rPr>
            </w:pPr>
          </w:p>
          <w:p w14:paraId="5C75A3F2" w14:textId="77777777" w:rsidR="0038343C" w:rsidRDefault="0038343C" w:rsidP="000451C6">
            <w:pPr>
              <w:ind w:left="720"/>
              <w:jc w:val="center"/>
              <w:rPr>
                <w:sz w:val="20"/>
                <w:szCs w:val="20"/>
              </w:rPr>
            </w:pPr>
          </w:p>
          <w:p w14:paraId="281F6FE1" w14:textId="77777777" w:rsidR="0038343C" w:rsidRDefault="0038343C" w:rsidP="000451C6">
            <w:pPr>
              <w:pStyle w:val="ListParagraph"/>
              <w:numPr>
                <w:ilvl w:val="0"/>
                <w:numId w:val="17"/>
              </w:numPr>
              <w:jc w:val="center"/>
              <w:rPr>
                <w:sz w:val="20"/>
                <w:szCs w:val="20"/>
              </w:rPr>
            </w:pPr>
            <w:r w:rsidRPr="000451C6">
              <w:rPr>
                <w:sz w:val="20"/>
                <w:szCs w:val="20"/>
              </w:rPr>
              <w:t>Short – medium</w:t>
            </w:r>
          </w:p>
          <w:p w14:paraId="5913D2F8" w14:textId="77777777" w:rsidR="0038343C" w:rsidRDefault="0038343C" w:rsidP="000451C6">
            <w:pPr>
              <w:jc w:val="center"/>
              <w:rPr>
                <w:sz w:val="20"/>
                <w:szCs w:val="20"/>
              </w:rPr>
            </w:pPr>
          </w:p>
          <w:p w14:paraId="689151D4" w14:textId="77777777" w:rsidR="0038343C" w:rsidRDefault="0038343C" w:rsidP="000451C6">
            <w:pPr>
              <w:jc w:val="center"/>
              <w:rPr>
                <w:sz w:val="20"/>
                <w:szCs w:val="20"/>
              </w:rPr>
            </w:pPr>
          </w:p>
          <w:p w14:paraId="29FD14C6" w14:textId="77777777" w:rsidR="0038343C" w:rsidRDefault="0038343C" w:rsidP="000451C6">
            <w:pPr>
              <w:jc w:val="center"/>
              <w:rPr>
                <w:sz w:val="20"/>
                <w:szCs w:val="20"/>
              </w:rPr>
            </w:pPr>
          </w:p>
          <w:p w14:paraId="6D12B2D7" w14:textId="77777777" w:rsidR="0038343C" w:rsidRDefault="0038343C" w:rsidP="000451C6">
            <w:pPr>
              <w:jc w:val="center"/>
              <w:rPr>
                <w:sz w:val="20"/>
                <w:szCs w:val="20"/>
              </w:rPr>
            </w:pPr>
          </w:p>
          <w:p w14:paraId="0163C3D1" w14:textId="77777777" w:rsidR="0038343C" w:rsidRDefault="0038343C" w:rsidP="000451C6">
            <w:pPr>
              <w:jc w:val="center"/>
              <w:rPr>
                <w:sz w:val="20"/>
                <w:szCs w:val="20"/>
              </w:rPr>
            </w:pPr>
          </w:p>
          <w:p w14:paraId="6B5BD701" w14:textId="77777777" w:rsidR="0038343C" w:rsidRDefault="0038343C" w:rsidP="000451C6">
            <w:pPr>
              <w:jc w:val="center"/>
              <w:rPr>
                <w:sz w:val="20"/>
                <w:szCs w:val="20"/>
              </w:rPr>
            </w:pPr>
          </w:p>
          <w:p w14:paraId="3D543667" w14:textId="77777777" w:rsidR="0038343C" w:rsidRPr="000451C6" w:rsidRDefault="0038343C" w:rsidP="000451C6">
            <w:pPr>
              <w:jc w:val="center"/>
              <w:rPr>
                <w:sz w:val="20"/>
                <w:szCs w:val="20"/>
              </w:rPr>
            </w:pPr>
          </w:p>
          <w:p w14:paraId="62B7E828" w14:textId="77777777" w:rsidR="0038343C" w:rsidRPr="000451C6" w:rsidRDefault="0038343C" w:rsidP="000451C6">
            <w:pPr>
              <w:pStyle w:val="ListParagraph"/>
              <w:numPr>
                <w:ilvl w:val="0"/>
                <w:numId w:val="17"/>
              </w:numPr>
              <w:jc w:val="center"/>
              <w:rPr>
                <w:sz w:val="20"/>
                <w:szCs w:val="20"/>
              </w:rPr>
            </w:pPr>
            <w:r>
              <w:rPr>
                <w:sz w:val="20"/>
                <w:szCs w:val="20"/>
              </w:rPr>
              <w:t>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44521F19" w14:textId="77777777" w:rsidR="00512EFD" w:rsidRDefault="00512EFD" w:rsidP="000451C6">
            <w:pPr>
              <w:ind w:left="720"/>
              <w:jc w:val="center"/>
              <w:rPr>
                <w:sz w:val="20"/>
                <w:szCs w:val="20"/>
              </w:rPr>
            </w:pPr>
          </w:p>
          <w:p w14:paraId="1D7FD062" w14:textId="77777777" w:rsidR="0038343C" w:rsidRDefault="0038343C" w:rsidP="000451C6">
            <w:pPr>
              <w:ind w:left="720"/>
              <w:jc w:val="center"/>
              <w:rPr>
                <w:sz w:val="20"/>
                <w:szCs w:val="20"/>
              </w:rPr>
            </w:pPr>
          </w:p>
          <w:p w14:paraId="4B6A1252" w14:textId="77777777" w:rsidR="0038343C" w:rsidRDefault="0038343C" w:rsidP="000451C6">
            <w:pPr>
              <w:ind w:left="720"/>
              <w:jc w:val="center"/>
              <w:rPr>
                <w:sz w:val="20"/>
                <w:szCs w:val="20"/>
              </w:rPr>
            </w:pPr>
          </w:p>
          <w:p w14:paraId="3F4DC202" w14:textId="77777777" w:rsidR="0038343C" w:rsidRDefault="0038343C" w:rsidP="000451C6">
            <w:pPr>
              <w:ind w:left="720"/>
              <w:jc w:val="center"/>
              <w:rPr>
                <w:sz w:val="20"/>
                <w:szCs w:val="20"/>
              </w:rPr>
            </w:pPr>
            <w:r>
              <w:rPr>
                <w:sz w:val="20"/>
                <w:szCs w:val="20"/>
              </w:rPr>
              <w:t>Requires further assessment</w:t>
            </w:r>
          </w:p>
          <w:p w14:paraId="2518A7FC" w14:textId="77777777" w:rsidR="0038343C" w:rsidRDefault="0038343C" w:rsidP="000451C6">
            <w:pPr>
              <w:ind w:left="720"/>
              <w:jc w:val="center"/>
              <w:rPr>
                <w:sz w:val="20"/>
                <w:szCs w:val="20"/>
              </w:rPr>
            </w:pPr>
          </w:p>
          <w:p w14:paraId="3DF13F8B" w14:textId="77777777" w:rsidR="0038343C" w:rsidRDefault="0038343C" w:rsidP="000451C6">
            <w:pPr>
              <w:ind w:left="720"/>
              <w:jc w:val="center"/>
              <w:rPr>
                <w:sz w:val="20"/>
                <w:szCs w:val="20"/>
              </w:rPr>
            </w:pPr>
          </w:p>
          <w:p w14:paraId="6B1F9EE5" w14:textId="77777777" w:rsidR="0038343C" w:rsidRDefault="0038343C" w:rsidP="000451C6">
            <w:pPr>
              <w:ind w:left="720"/>
              <w:jc w:val="center"/>
              <w:rPr>
                <w:sz w:val="20"/>
                <w:szCs w:val="20"/>
              </w:rPr>
            </w:pPr>
          </w:p>
          <w:p w14:paraId="371FAA82" w14:textId="77777777" w:rsidR="0038343C" w:rsidRDefault="0038343C" w:rsidP="000451C6">
            <w:pPr>
              <w:ind w:left="720"/>
              <w:jc w:val="center"/>
              <w:rPr>
                <w:sz w:val="20"/>
                <w:szCs w:val="20"/>
              </w:rPr>
            </w:pPr>
          </w:p>
          <w:p w14:paraId="54DD05AE" w14:textId="77777777" w:rsidR="0038343C" w:rsidRDefault="0038343C" w:rsidP="000451C6">
            <w:pPr>
              <w:ind w:left="720"/>
              <w:jc w:val="center"/>
              <w:rPr>
                <w:sz w:val="20"/>
                <w:szCs w:val="20"/>
              </w:rPr>
            </w:pPr>
          </w:p>
          <w:p w14:paraId="3E2FD6DA" w14:textId="77777777" w:rsidR="0038343C" w:rsidRPr="00512EFD" w:rsidRDefault="0038343C" w:rsidP="000451C6">
            <w:pPr>
              <w:ind w:left="720"/>
              <w:jc w:val="center"/>
              <w:rPr>
                <w:sz w:val="20"/>
                <w:szCs w:val="20"/>
              </w:rPr>
            </w:pPr>
            <w:r>
              <w:rPr>
                <w:sz w:val="20"/>
                <w:szCs w:val="20"/>
              </w:rPr>
              <w:t>Requires further assessment</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C523F96" w14:textId="77777777" w:rsidR="00512EFD" w:rsidRDefault="00512EFD" w:rsidP="000451C6">
            <w:pPr>
              <w:ind w:left="720"/>
              <w:jc w:val="center"/>
              <w:rPr>
                <w:sz w:val="20"/>
                <w:szCs w:val="20"/>
              </w:rPr>
            </w:pPr>
          </w:p>
          <w:p w14:paraId="0A5E47E5" w14:textId="77777777" w:rsidR="0038343C" w:rsidRDefault="0038343C" w:rsidP="000451C6">
            <w:pPr>
              <w:ind w:left="720"/>
              <w:jc w:val="center"/>
              <w:rPr>
                <w:sz w:val="20"/>
                <w:szCs w:val="20"/>
              </w:rPr>
            </w:pPr>
          </w:p>
          <w:p w14:paraId="5DF8CCF8" w14:textId="77777777" w:rsidR="0038343C" w:rsidRDefault="0038343C" w:rsidP="000451C6">
            <w:pPr>
              <w:ind w:left="720"/>
              <w:jc w:val="center"/>
              <w:rPr>
                <w:sz w:val="20"/>
                <w:szCs w:val="20"/>
              </w:rPr>
            </w:pPr>
          </w:p>
          <w:p w14:paraId="2CDC2973" w14:textId="77777777" w:rsidR="0038343C" w:rsidRDefault="0038343C" w:rsidP="000451C6">
            <w:pPr>
              <w:ind w:left="720"/>
              <w:jc w:val="center"/>
              <w:rPr>
                <w:sz w:val="20"/>
                <w:szCs w:val="20"/>
              </w:rPr>
            </w:pPr>
            <w:r>
              <w:rPr>
                <w:sz w:val="20"/>
                <w:szCs w:val="20"/>
              </w:rPr>
              <w:t>Requires further assessment</w:t>
            </w:r>
          </w:p>
          <w:p w14:paraId="152EF513" w14:textId="77777777" w:rsidR="0038343C" w:rsidRDefault="0038343C" w:rsidP="000451C6">
            <w:pPr>
              <w:ind w:left="720"/>
              <w:jc w:val="center"/>
              <w:rPr>
                <w:sz w:val="20"/>
                <w:szCs w:val="20"/>
              </w:rPr>
            </w:pPr>
          </w:p>
          <w:p w14:paraId="457C9AA4" w14:textId="77777777" w:rsidR="0038343C" w:rsidRDefault="0038343C" w:rsidP="000451C6">
            <w:pPr>
              <w:ind w:left="720"/>
              <w:jc w:val="center"/>
              <w:rPr>
                <w:sz w:val="20"/>
                <w:szCs w:val="20"/>
              </w:rPr>
            </w:pPr>
          </w:p>
          <w:p w14:paraId="58455D05" w14:textId="77777777" w:rsidR="0038343C" w:rsidRDefault="0038343C" w:rsidP="000451C6">
            <w:pPr>
              <w:ind w:left="720"/>
              <w:jc w:val="center"/>
              <w:rPr>
                <w:sz w:val="20"/>
                <w:szCs w:val="20"/>
              </w:rPr>
            </w:pPr>
          </w:p>
          <w:p w14:paraId="780E61AE" w14:textId="77777777" w:rsidR="0038343C" w:rsidRDefault="0038343C" w:rsidP="000451C6">
            <w:pPr>
              <w:ind w:left="720"/>
              <w:jc w:val="center"/>
              <w:rPr>
                <w:sz w:val="20"/>
                <w:szCs w:val="20"/>
              </w:rPr>
            </w:pPr>
          </w:p>
          <w:p w14:paraId="5AC63A62" w14:textId="77777777" w:rsidR="0038343C" w:rsidRDefault="0038343C" w:rsidP="000451C6">
            <w:pPr>
              <w:ind w:left="720"/>
              <w:jc w:val="center"/>
              <w:rPr>
                <w:sz w:val="20"/>
                <w:szCs w:val="20"/>
              </w:rPr>
            </w:pPr>
          </w:p>
          <w:p w14:paraId="01BAAA48" w14:textId="77777777" w:rsidR="0038343C" w:rsidRPr="00512EFD" w:rsidRDefault="002B2754" w:rsidP="000451C6">
            <w:pPr>
              <w:ind w:left="720"/>
              <w:jc w:val="center"/>
              <w:rPr>
                <w:sz w:val="20"/>
                <w:szCs w:val="20"/>
              </w:rPr>
            </w:pPr>
            <w:r>
              <w:rPr>
                <w:sz w:val="20"/>
                <w:szCs w:val="20"/>
              </w:rPr>
              <w:t>Low</w:t>
            </w:r>
          </w:p>
        </w:tc>
      </w:tr>
      <w:tr w:rsidR="0038343C" w:rsidRPr="00512EFD" w14:paraId="2C17853B"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6EDFEBF3" w14:textId="77777777" w:rsidR="00512EFD" w:rsidRPr="000451C6" w:rsidRDefault="00512EFD" w:rsidP="00701C1E">
            <w:pPr>
              <w:rPr>
                <w:sz w:val="20"/>
                <w:szCs w:val="20"/>
              </w:rPr>
            </w:pPr>
            <w:r w:rsidRPr="000451C6">
              <w:rPr>
                <w:sz w:val="20"/>
                <w:szCs w:val="20"/>
              </w:rPr>
              <w:t>Agribusiness</w:t>
            </w:r>
          </w:p>
          <w:p w14:paraId="1F6BABF6" w14:textId="77777777" w:rsidR="00512EFD" w:rsidRPr="000451C6" w:rsidRDefault="00512EFD" w:rsidP="0009715B">
            <w:pPr>
              <w:numPr>
                <w:ilvl w:val="0"/>
                <w:numId w:val="18"/>
              </w:numPr>
              <w:rPr>
                <w:sz w:val="20"/>
                <w:szCs w:val="20"/>
              </w:rPr>
            </w:pPr>
            <w:r w:rsidRPr="000451C6">
              <w:rPr>
                <w:sz w:val="20"/>
                <w:szCs w:val="20"/>
              </w:rPr>
              <w:t>De facto monopoly on import of seed from Russia</w:t>
            </w:r>
          </w:p>
          <w:p w14:paraId="00B0B864" w14:textId="77777777" w:rsidR="00512EFD" w:rsidRPr="000451C6" w:rsidRDefault="00512EFD" w:rsidP="0009715B">
            <w:pPr>
              <w:numPr>
                <w:ilvl w:val="0"/>
                <w:numId w:val="18"/>
              </w:numPr>
              <w:rPr>
                <w:sz w:val="20"/>
                <w:szCs w:val="20"/>
              </w:rPr>
            </w:pPr>
            <w:r w:rsidRPr="000451C6">
              <w:rPr>
                <w:sz w:val="20"/>
                <w:szCs w:val="20"/>
              </w:rPr>
              <w:t xml:space="preserve">Removal of subsidy scheme and direct government distribution in some </w:t>
            </w:r>
            <w:proofErr w:type="spellStart"/>
            <w:r w:rsidRPr="000451C6">
              <w:rPr>
                <w:sz w:val="20"/>
                <w:szCs w:val="20"/>
              </w:rPr>
              <w:t>agri</w:t>
            </w:r>
            <w:proofErr w:type="spellEnd"/>
            <w:r w:rsidRPr="000451C6">
              <w:rPr>
                <w:sz w:val="20"/>
                <w:szCs w:val="20"/>
              </w:rPr>
              <w:t>-inputs but changes in market structure are unclear</w:t>
            </w:r>
          </w:p>
          <w:p w14:paraId="169E7466" w14:textId="77777777" w:rsidR="00512EFD" w:rsidRPr="000451C6" w:rsidRDefault="00512EFD" w:rsidP="0009715B">
            <w:pPr>
              <w:numPr>
                <w:ilvl w:val="0"/>
                <w:numId w:val="18"/>
              </w:numPr>
              <w:rPr>
                <w:sz w:val="20"/>
                <w:szCs w:val="20"/>
              </w:rPr>
            </w:pPr>
            <w:r w:rsidRPr="000451C6">
              <w:rPr>
                <w:sz w:val="20"/>
                <w:szCs w:val="20"/>
              </w:rPr>
              <w:t xml:space="preserve">Transparency of prices/quantities among </w:t>
            </w:r>
            <w:proofErr w:type="spellStart"/>
            <w:r w:rsidRPr="000451C6">
              <w:rPr>
                <w:sz w:val="20"/>
                <w:szCs w:val="20"/>
              </w:rPr>
              <w:t>agro</w:t>
            </w:r>
            <w:proofErr w:type="spellEnd"/>
            <w:r w:rsidRPr="000451C6">
              <w:rPr>
                <w:sz w:val="20"/>
                <w:szCs w:val="20"/>
              </w:rPr>
              <w:t>-processing association members raises risk of collusion on farmgate prices</w:t>
            </w:r>
          </w:p>
          <w:p w14:paraId="57E43D01" w14:textId="77777777" w:rsidR="00512EFD" w:rsidRPr="000451C6" w:rsidRDefault="00512EFD" w:rsidP="0009715B">
            <w:pPr>
              <w:numPr>
                <w:ilvl w:val="0"/>
                <w:numId w:val="18"/>
              </w:numPr>
              <w:rPr>
                <w:sz w:val="20"/>
                <w:szCs w:val="20"/>
              </w:rPr>
            </w:pPr>
            <w:r w:rsidRPr="000451C6">
              <w:rPr>
                <w:sz w:val="20"/>
                <w:szCs w:val="20"/>
              </w:rPr>
              <w:t>Moves towards greater contract farming unintentionally restrict competition if not well designed</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6A052D6F" w14:textId="77777777" w:rsidR="007B38D8" w:rsidRDefault="007B38D8" w:rsidP="000451C6">
            <w:pPr>
              <w:ind w:left="720"/>
              <w:rPr>
                <w:sz w:val="20"/>
                <w:szCs w:val="20"/>
              </w:rPr>
            </w:pPr>
          </w:p>
          <w:p w14:paraId="63ACEA37" w14:textId="77777777" w:rsidR="00512EFD" w:rsidRPr="000451C6" w:rsidRDefault="00512EFD" w:rsidP="0009715B">
            <w:pPr>
              <w:numPr>
                <w:ilvl w:val="0"/>
                <w:numId w:val="19"/>
              </w:numPr>
              <w:rPr>
                <w:sz w:val="20"/>
                <w:szCs w:val="20"/>
              </w:rPr>
            </w:pPr>
            <w:r w:rsidRPr="000451C6">
              <w:rPr>
                <w:sz w:val="20"/>
                <w:szCs w:val="20"/>
              </w:rPr>
              <w:t>Detailed assessment of key value chains to identify specific recommendation to improve market dynamics.</w:t>
            </w:r>
          </w:p>
          <w:p w14:paraId="7BA23996" w14:textId="77777777" w:rsidR="00512EFD" w:rsidRPr="000451C6" w:rsidRDefault="00512EFD" w:rsidP="0009715B">
            <w:pPr>
              <w:numPr>
                <w:ilvl w:val="0"/>
                <w:numId w:val="19"/>
              </w:numPr>
              <w:rPr>
                <w:sz w:val="20"/>
                <w:szCs w:val="20"/>
              </w:rPr>
            </w:pPr>
            <w:r w:rsidRPr="000451C6">
              <w:rPr>
                <w:sz w:val="20"/>
                <w:szCs w:val="20"/>
              </w:rPr>
              <w:t xml:space="preserve">Review and provide recommendations on the role of </w:t>
            </w:r>
            <w:proofErr w:type="spellStart"/>
            <w:r w:rsidRPr="000451C6">
              <w:rPr>
                <w:sz w:val="20"/>
                <w:szCs w:val="20"/>
              </w:rPr>
              <w:t>agro</w:t>
            </w:r>
            <w:proofErr w:type="spellEnd"/>
            <w:r w:rsidRPr="000451C6">
              <w:rPr>
                <w:sz w:val="20"/>
                <w:szCs w:val="20"/>
              </w:rPr>
              <w:t>-processing associations in sharing information / determining market parameters.</w:t>
            </w:r>
          </w:p>
          <w:p w14:paraId="19882821" w14:textId="77777777" w:rsidR="00512EFD" w:rsidRPr="000451C6" w:rsidRDefault="00512EFD" w:rsidP="0009715B">
            <w:pPr>
              <w:numPr>
                <w:ilvl w:val="0"/>
                <w:numId w:val="19"/>
              </w:numPr>
              <w:rPr>
                <w:sz w:val="20"/>
                <w:szCs w:val="20"/>
              </w:rPr>
            </w:pPr>
            <w:r w:rsidRPr="000451C6">
              <w:rPr>
                <w:sz w:val="20"/>
                <w:szCs w:val="20"/>
              </w:rPr>
              <w:t>Assess impacts of removal of subsidy scheme to provide further recommendations to strengthen market outcomes</w:t>
            </w:r>
          </w:p>
        </w:tc>
        <w:tc>
          <w:tcPr>
            <w:tcW w:w="2267" w:type="dxa"/>
            <w:tcBorders>
              <w:top w:val="single" w:sz="8" w:space="0" w:color="002345"/>
              <w:bottom w:val="single" w:sz="8" w:space="0" w:color="002345"/>
            </w:tcBorders>
            <w:shd w:val="clear" w:color="auto" w:fill="F2F2F2" w:themeFill="background1" w:themeFillShade="F2"/>
          </w:tcPr>
          <w:p w14:paraId="17783E8D" w14:textId="77777777" w:rsidR="00512EFD" w:rsidRPr="000451C6" w:rsidRDefault="0015654F" w:rsidP="000451C6">
            <w:pPr>
              <w:numPr>
                <w:ilvl w:val="0"/>
                <w:numId w:val="19"/>
              </w:numPr>
              <w:jc w:val="center"/>
              <w:rPr>
                <w:sz w:val="20"/>
                <w:szCs w:val="20"/>
              </w:rPr>
            </w:pPr>
            <w:r>
              <w:rPr>
                <w:sz w:val="20"/>
                <w:szCs w:val="20"/>
              </w:rPr>
              <w:t>Short (assessment of key value chains and market dynamics with recommendations)</w:t>
            </w:r>
          </w:p>
        </w:tc>
        <w:tc>
          <w:tcPr>
            <w:tcW w:w="2004" w:type="dxa"/>
            <w:tcBorders>
              <w:top w:val="single" w:sz="8" w:space="0" w:color="002345"/>
              <w:left w:val="nil"/>
              <w:bottom w:val="single" w:sz="8" w:space="0" w:color="002345"/>
              <w:right w:val="nil"/>
            </w:tcBorders>
            <w:shd w:val="clear" w:color="auto" w:fill="F2F2F2" w:themeFill="background1" w:themeFillShade="F2"/>
          </w:tcPr>
          <w:p w14:paraId="7B04626A" w14:textId="77777777" w:rsidR="00512EFD" w:rsidRPr="00512EFD" w:rsidRDefault="0015654F" w:rsidP="000451C6">
            <w:pPr>
              <w:ind w:left="720"/>
              <w:jc w:val="center"/>
              <w:rPr>
                <w:sz w:val="20"/>
                <w:szCs w:val="20"/>
              </w:rPr>
            </w:pPr>
            <w:r>
              <w:rPr>
                <w:sz w:val="20"/>
                <w:szCs w:val="20"/>
              </w:rPr>
              <w:t>Medium</w:t>
            </w:r>
            <w:r w:rsidR="009950A4">
              <w:rPr>
                <w:sz w:val="20"/>
                <w:szCs w:val="20"/>
              </w:rPr>
              <w:t xml:space="preserve"> </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72406960" w14:textId="77777777" w:rsidR="00512EFD" w:rsidRPr="00512EFD" w:rsidRDefault="0015654F" w:rsidP="000451C6">
            <w:pPr>
              <w:ind w:left="720"/>
              <w:jc w:val="center"/>
              <w:rPr>
                <w:sz w:val="20"/>
                <w:szCs w:val="20"/>
              </w:rPr>
            </w:pPr>
            <w:r>
              <w:rPr>
                <w:sz w:val="20"/>
                <w:szCs w:val="20"/>
              </w:rPr>
              <w:t>High</w:t>
            </w:r>
          </w:p>
        </w:tc>
      </w:tr>
      <w:tr w:rsidR="0015654F" w:rsidRPr="00512EFD" w14:paraId="6040509A" w14:textId="77777777" w:rsidTr="000451C6">
        <w:trPr>
          <w:trHeight w:val="250"/>
        </w:trPr>
        <w:tc>
          <w:tcPr>
            <w:tcW w:w="13682" w:type="dxa"/>
            <w:gridSpan w:val="5"/>
            <w:tcBorders>
              <w:top w:val="single" w:sz="8" w:space="0" w:color="002345"/>
              <w:left w:val="single" w:sz="8" w:space="0" w:color="002345"/>
              <w:bottom w:val="single" w:sz="8" w:space="0" w:color="002345"/>
              <w:right w:val="single" w:sz="8" w:space="0" w:color="002345"/>
            </w:tcBorders>
            <w:shd w:val="clear" w:color="auto" w:fill="E2EFD9" w:themeFill="accent6" w:themeFillTint="33"/>
            <w:tcMar>
              <w:top w:w="72" w:type="dxa"/>
              <w:left w:w="144" w:type="dxa"/>
              <w:bottom w:w="72" w:type="dxa"/>
              <w:right w:w="144" w:type="dxa"/>
            </w:tcMar>
          </w:tcPr>
          <w:p w14:paraId="1D5EFDEE" w14:textId="77777777" w:rsidR="0015654F" w:rsidRPr="00512EFD" w:rsidRDefault="0015654F" w:rsidP="000451C6">
            <w:pPr>
              <w:keepNext/>
              <w:ind w:left="720"/>
              <w:jc w:val="center"/>
              <w:rPr>
                <w:b/>
                <w:sz w:val="20"/>
                <w:szCs w:val="20"/>
              </w:rPr>
            </w:pPr>
            <w:r w:rsidRPr="000451C6">
              <w:rPr>
                <w:b/>
                <w:sz w:val="20"/>
                <w:szCs w:val="20"/>
              </w:rPr>
              <w:t>Pillar 2: Promoting a level playing field</w:t>
            </w:r>
          </w:p>
        </w:tc>
      </w:tr>
      <w:tr w:rsidR="0038343C" w:rsidRPr="00512EFD" w14:paraId="6B6C6E2B"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1E61062E" w14:textId="6B150477" w:rsidR="00512EFD" w:rsidRPr="000451C6" w:rsidRDefault="006332E4" w:rsidP="00701C1E">
            <w:pPr>
              <w:rPr>
                <w:sz w:val="20"/>
                <w:szCs w:val="20"/>
              </w:rPr>
            </w:pPr>
            <w:r>
              <w:rPr>
                <w:sz w:val="20"/>
                <w:szCs w:val="20"/>
              </w:rPr>
              <w:t>Lack of</w:t>
            </w:r>
            <w:r w:rsidRPr="000451C6">
              <w:rPr>
                <w:sz w:val="20"/>
                <w:szCs w:val="20"/>
              </w:rPr>
              <w:t xml:space="preserve"> </w:t>
            </w:r>
            <w:r w:rsidR="00512EFD" w:rsidRPr="000451C6">
              <w:rPr>
                <w:sz w:val="20"/>
                <w:szCs w:val="20"/>
              </w:rPr>
              <w:t>mechanisms to control potential market distortions of State Aid</w:t>
            </w:r>
            <w:r>
              <w:rPr>
                <w:sz w:val="20"/>
                <w:szCs w:val="20"/>
              </w:rPr>
              <w:t>.</w:t>
            </w:r>
            <w:r w:rsidR="00512EFD" w:rsidRPr="000451C6">
              <w:rPr>
                <w:sz w:val="20"/>
                <w:szCs w:val="20"/>
              </w:rPr>
              <w:t xml:space="preserve"> </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0B36CB36" w14:textId="4DB8EE41" w:rsidR="00512EFD" w:rsidRPr="000451C6" w:rsidRDefault="00512EFD" w:rsidP="0009715B">
            <w:pPr>
              <w:numPr>
                <w:ilvl w:val="0"/>
                <w:numId w:val="20"/>
              </w:numPr>
              <w:rPr>
                <w:sz w:val="20"/>
                <w:szCs w:val="20"/>
              </w:rPr>
            </w:pPr>
            <w:r w:rsidRPr="000451C6">
              <w:rPr>
                <w:sz w:val="20"/>
                <w:szCs w:val="20"/>
              </w:rPr>
              <w:t>Support approval of State Aid Law</w:t>
            </w:r>
            <w:r w:rsidR="00C24123">
              <w:rPr>
                <w:sz w:val="20"/>
                <w:szCs w:val="20"/>
              </w:rPr>
              <w:t xml:space="preserve"> or improve the provisions of the RA Law on Protection of Economic Competition pertaining to State Aid.</w:t>
            </w:r>
          </w:p>
          <w:p w14:paraId="501E8872" w14:textId="77777777" w:rsidR="00512EFD" w:rsidRPr="000451C6" w:rsidRDefault="00512EFD" w:rsidP="0009715B">
            <w:pPr>
              <w:numPr>
                <w:ilvl w:val="0"/>
                <w:numId w:val="20"/>
              </w:numPr>
              <w:rPr>
                <w:sz w:val="20"/>
                <w:szCs w:val="20"/>
              </w:rPr>
            </w:pPr>
            <w:r w:rsidRPr="000451C6">
              <w:rPr>
                <w:sz w:val="20"/>
                <w:szCs w:val="20"/>
              </w:rPr>
              <w:t xml:space="preserve">Implementation of State Aid framework </w:t>
            </w:r>
          </w:p>
          <w:p w14:paraId="3E654F3C" w14:textId="6BC29323" w:rsidR="00512EFD" w:rsidRPr="000451C6" w:rsidRDefault="00C24123" w:rsidP="0009715B">
            <w:pPr>
              <w:numPr>
                <w:ilvl w:val="0"/>
                <w:numId w:val="20"/>
              </w:numPr>
              <w:rPr>
                <w:sz w:val="20"/>
                <w:szCs w:val="20"/>
              </w:rPr>
            </w:pPr>
            <w:r>
              <w:rPr>
                <w:sz w:val="20"/>
                <w:szCs w:val="20"/>
              </w:rPr>
              <w:t xml:space="preserve">Developing templates for </w:t>
            </w:r>
            <w:r w:rsidR="00512EFD" w:rsidRPr="000451C6">
              <w:rPr>
                <w:sz w:val="20"/>
                <w:szCs w:val="20"/>
              </w:rPr>
              <w:t xml:space="preserve">State Aid inventory; </w:t>
            </w:r>
          </w:p>
          <w:p w14:paraId="4F9D981F" w14:textId="7412D981" w:rsidR="00512EFD" w:rsidRPr="000451C6" w:rsidRDefault="00512EFD" w:rsidP="0009715B">
            <w:pPr>
              <w:numPr>
                <w:ilvl w:val="0"/>
                <w:numId w:val="20"/>
              </w:numPr>
              <w:rPr>
                <w:sz w:val="20"/>
                <w:szCs w:val="20"/>
              </w:rPr>
            </w:pPr>
            <w:r w:rsidRPr="000451C6">
              <w:rPr>
                <w:sz w:val="20"/>
                <w:szCs w:val="20"/>
              </w:rPr>
              <w:t xml:space="preserve">State Aid </w:t>
            </w:r>
            <w:r w:rsidR="00C24123">
              <w:rPr>
                <w:sz w:val="20"/>
                <w:szCs w:val="20"/>
              </w:rPr>
              <w:t xml:space="preserve">database </w:t>
            </w:r>
            <w:r w:rsidRPr="000451C6">
              <w:rPr>
                <w:sz w:val="20"/>
                <w:szCs w:val="20"/>
              </w:rPr>
              <w:t xml:space="preserve">portal; </w:t>
            </w:r>
          </w:p>
          <w:p w14:paraId="6BE1C99B" w14:textId="77777777" w:rsidR="00512EFD" w:rsidRPr="000451C6" w:rsidRDefault="00512EFD" w:rsidP="0009715B">
            <w:pPr>
              <w:numPr>
                <w:ilvl w:val="0"/>
                <w:numId w:val="20"/>
              </w:numPr>
              <w:rPr>
                <w:sz w:val="20"/>
                <w:szCs w:val="20"/>
              </w:rPr>
            </w:pPr>
            <w:r w:rsidRPr="000451C6">
              <w:rPr>
                <w:sz w:val="20"/>
                <w:szCs w:val="20"/>
              </w:rPr>
              <w:t>State Aid institutional setup (Ministry, SCPEC, State Aid grantors national and subnational)</w:t>
            </w:r>
          </w:p>
        </w:tc>
        <w:tc>
          <w:tcPr>
            <w:tcW w:w="2267" w:type="dxa"/>
            <w:tcBorders>
              <w:top w:val="single" w:sz="8" w:space="0" w:color="002345"/>
              <w:bottom w:val="single" w:sz="8" w:space="0" w:color="002345"/>
            </w:tcBorders>
            <w:shd w:val="clear" w:color="auto" w:fill="F2F2F2" w:themeFill="background1" w:themeFillShade="F2"/>
          </w:tcPr>
          <w:p w14:paraId="5000322C" w14:textId="205933A2" w:rsidR="00512EFD" w:rsidRDefault="0015654F" w:rsidP="000451C6">
            <w:pPr>
              <w:numPr>
                <w:ilvl w:val="0"/>
                <w:numId w:val="20"/>
              </w:numPr>
              <w:jc w:val="center"/>
              <w:rPr>
                <w:sz w:val="20"/>
                <w:szCs w:val="20"/>
              </w:rPr>
            </w:pPr>
            <w:r>
              <w:rPr>
                <w:sz w:val="20"/>
                <w:szCs w:val="20"/>
              </w:rPr>
              <w:t xml:space="preserve">Short </w:t>
            </w:r>
            <w:r w:rsidR="00C24123">
              <w:rPr>
                <w:sz w:val="20"/>
                <w:szCs w:val="20"/>
              </w:rPr>
              <w:t>(</w:t>
            </w:r>
            <w:r w:rsidR="00C24123" w:rsidRPr="00F375EB">
              <w:rPr>
                <w:sz w:val="20"/>
                <w:szCs w:val="20"/>
              </w:rPr>
              <w:t>‘Decision on identifying the government agency for performing inventory</w:t>
            </w:r>
            <w:r w:rsidR="00C24123">
              <w:rPr>
                <w:sz w:val="20"/>
                <w:szCs w:val="20"/>
              </w:rPr>
              <w:t>)</w:t>
            </w:r>
          </w:p>
          <w:p w14:paraId="4EC67890" w14:textId="3EEBAB9B" w:rsidR="00C24123" w:rsidRDefault="00C24123" w:rsidP="000451C6">
            <w:pPr>
              <w:numPr>
                <w:ilvl w:val="0"/>
                <w:numId w:val="20"/>
              </w:numPr>
              <w:jc w:val="center"/>
              <w:rPr>
                <w:sz w:val="20"/>
                <w:szCs w:val="20"/>
              </w:rPr>
            </w:pPr>
            <w:r>
              <w:rPr>
                <w:sz w:val="20"/>
                <w:szCs w:val="20"/>
              </w:rPr>
              <w:t>Medium (inventory)</w:t>
            </w:r>
          </w:p>
          <w:p w14:paraId="3291AD5C" w14:textId="77777777" w:rsidR="0015654F" w:rsidRPr="000451C6" w:rsidRDefault="0015654F" w:rsidP="000451C6">
            <w:pPr>
              <w:numPr>
                <w:ilvl w:val="0"/>
                <w:numId w:val="20"/>
              </w:numPr>
              <w:jc w:val="center"/>
              <w:rPr>
                <w:sz w:val="20"/>
                <w:szCs w:val="20"/>
              </w:rPr>
            </w:pPr>
            <w:r>
              <w:rPr>
                <w:sz w:val="20"/>
                <w:szCs w:val="20"/>
              </w:rPr>
              <w:t>Medium (legal and institutional set up and implementation)</w:t>
            </w:r>
          </w:p>
        </w:tc>
        <w:tc>
          <w:tcPr>
            <w:tcW w:w="2004" w:type="dxa"/>
            <w:tcBorders>
              <w:top w:val="single" w:sz="8" w:space="0" w:color="002345"/>
              <w:left w:val="nil"/>
              <w:bottom w:val="single" w:sz="8" w:space="0" w:color="002345"/>
              <w:right w:val="nil"/>
            </w:tcBorders>
            <w:shd w:val="clear" w:color="auto" w:fill="F2F2F2" w:themeFill="background1" w:themeFillShade="F2"/>
          </w:tcPr>
          <w:p w14:paraId="19B46111" w14:textId="77777777" w:rsidR="00512EFD" w:rsidRPr="00512EFD" w:rsidRDefault="009950A4" w:rsidP="000451C6">
            <w:pPr>
              <w:ind w:left="360"/>
              <w:jc w:val="center"/>
              <w:rPr>
                <w:sz w:val="20"/>
                <w:szCs w:val="20"/>
              </w:rPr>
            </w:pPr>
            <w:r>
              <w:rPr>
                <w:sz w:val="20"/>
                <w:szCs w:val="20"/>
              </w:rPr>
              <w:t>Medium</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37FC76F5" w14:textId="77777777" w:rsidR="00512EFD" w:rsidRPr="00512EFD" w:rsidRDefault="0015654F" w:rsidP="000451C6">
            <w:pPr>
              <w:jc w:val="center"/>
              <w:rPr>
                <w:sz w:val="20"/>
                <w:szCs w:val="20"/>
              </w:rPr>
            </w:pPr>
            <w:r>
              <w:rPr>
                <w:sz w:val="20"/>
                <w:szCs w:val="20"/>
              </w:rPr>
              <w:t>Medium</w:t>
            </w:r>
          </w:p>
        </w:tc>
      </w:tr>
      <w:tr w:rsidR="0038343C" w:rsidRPr="00512EFD" w14:paraId="7E0BD2A5"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39CB474E" w14:textId="77777777" w:rsidR="00512EFD" w:rsidRPr="000451C6" w:rsidRDefault="00512EFD" w:rsidP="00701C1E">
            <w:pPr>
              <w:rPr>
                <w:sz w:val="20"/>
                <w:szCs w:val="20"/>
              </w:rPr>
            </w:pPr>
            <w:r w:rsidRPr="000451C6">
              <w:rPr>
                <w:sz w:val="20"/>
                <w:szCs w:val="20"/>
              </w:rPr>
              <w:t xml:space="preserve">Competition concerns in public procurement framework </w:t>
            </w:r>
          </w:p>
          <w:p w14:paraId="467B5387" w14:textId="77777777" w:rsidR="00512EFD" w:rsidRPr="000451C6" w:rsidRDefault="00512EFD" w:rsidP="0009715B">
            <w:pPr>
              <w:numPr>
                <w:ilvl w:val="0"/>
                <w:numId w:val="8"/>
              </w:numPr>
              <w:rPr>
                <w:sz w:val="20"/>
                <w:szCs w:val="20"/>
              </w:rPr>
            </w:pPr>
            <w:r w:rsidRPr="000451C6">
              <w:rPr>
                <w:sz w:val="20"/>
                <w:szCs w:val="20"/>
              </w:rPr>
              <w:t>Insufficient market research obligations for tender design (suboptimal estimations)</w:t>
            </w:r>
          </w:p>
          <w:p w14:paraId="044033DE" w14:textId="77777777" w:rsidR="00512EFD" w:rsidRPr="000451C6" w:rsidRDefault="00512EFD" w:rsidP="0009715B">
            <w:pPr>
              <w:numPr>
                <w:ilvl w:val="0"/>
                <w:numId w:val="8"/>
              </w:numPr>
              <w:rPr>
                <w:sz w:val="20"/>
                <w:szCs w:val="20"/>
              </w:rPr>
            </w:pPr>
            <w:r w:rsidRPr="000451C6">
              <w:rPr>
                <w:sz w:val="20"/>
                <w:szCs w:val="20"/>
              </w:rPr>
              <w:t>Rigid qualification criteria (might affect entry/ability of firms to qualify)</w:t>
            </w:r>
          </w:p>
          <w:p w14:paraId="2E128C9D" w14:textId="77777777" w:rsidR="00512EFD" w:rsidRPr="000451C6" w:rsidRDefault="00512EFD" w:rsidP="0009715B">
            <w:pPr>
              <w:numPr>
                <w:ilvl w:val="0"/>
                <w:numId w:val="8"/>
              </w:numPr>
              <w:rPr>
                <w:sz w:val="20"/>
                <w:szCs w:val="20"/>
              </w:rPr>
            </w:pPr>
            <w:r w:rsidRPr="000451C6">
              <w:rPr>
                <w:sz w:val="20"/>
                <w:szCs w:val="20"/>
              </w:rPr>
              <w:t>Non-competitive procedures: Single source (utilities) and Urgent single source (urgent purchases) remain common</w:t>
            </w:r>
          </w:p>
          <w:p w14:paraId="18A92905" w14:textId="77777777" w:rsidR="00512EFD" w:rsidRPr="000451C6" w:rsidRDefault="00512EFD" w:rsidP="0009715B">
            <w:pPr>
              <w:numPr>
                <w:ilvl w:val="0"/>
                <w:numId w:val="8"/>
              </w:numPr>
              <w:rPr>
                <w:sz w:val="20"/>
                <w:szCs w:val="20"/>
              </w:rPr>
            </w:pPr>
            <w:r w:rsidRPr="000451C6">
              <w:rPr>
                <w:sz w:val="20"/>
                <w:szCs w:val="20"/>
              </w:rPr>
              <w:t xml:space="preserve">PP officials might design/award tenders in anticompetitive way (restrictive technical terms, short delays between publication and bidding, potential to award tenders on quality grounds, ex-post modifications) </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2C977152" w14:textId="77777777" w:rsidR="00512EFD" w:rsidRPr="000451C6" w:rsidRDefault="00512EFD" w:rsidP="0009715B">
            <w:pPr>
              <w:numPr>
                <w:ilvl w:val="0"/>
                <w:numId w:val="8"/>
              </w:numPr>
              <w:rPr>
                <w:sz w:val="20"/>
                <w:szCs w:val="20"/>
              </w:rPr>
            </w:pPr>
            <w:r w:rsidRPr="000451C6">
              <w:rPr>
                <w:sz w:val="20"/>
                <w:szCs w:val="20"/>
              </w:rPr>
              <w:t xml:space="preserve">Develop guidelines to embed competition in public procurement </w:t>
            </w:r>
          </w:p>
          <w:p w14:paraId="48E31BB9" w14:textId="77777777" w:rsidR="00512EFD" w:rsidRPr="000451C6" w:rsidRDefault="00512EFD" w:rsidP="0009715B">
            <w:pPr>
              <w:pStyle w:val="ListParagraph"/>
              <w:numPr>
                <w:ilvl w:val="0"/>
                <w:numId w:val="21"/>
              </w:numPr>
              <w:ind w:left="1108"/>
              <w:rPr>
                <w:sz w:val="20"/>
                <w:szCs w:val="20"/>
              </w:rPr>
            </w:pPr>
            <w:r w:rsidRPr="000451C6">
              <w:rPr>
                <w:sz w:val="20"/>
                <w:szCs w:val="20"/>
                <w:lang w:val="en-GB"/>
              </w:rPr>
              <w:t>To select the most pro-competitive procurement procedure;</w:t>
            </w:r>
          </w:p>
          <w:p w14:paraId="4BAB663E" w14:textId="77777777" w:rsidR="00512EFD" w:rsidRPr="000451C6" w:rsidRDefault="00512EFD" w:rsidP="0009715B">
            <w:pPr>
              <w:pStyle w:val="ListParagraph"/>
              <w:numPr>
                <w:ilvl w:val="0"/>
                <w:numId w:val="21"/>
              </w:numPr>
              <w:ind w:left="1108"/>
              <w:rPr>
                <w:sz w:val="20"/>
                <w:szCs w:val="20"/>
              </w:rPr>
            </w:pPr>
            <w:r w:rsidRPr="000451C6">
              <w:rPr>
                <w:sz w:val="20"/>
                <w:szCs w:val="20"/>
                <w:lang w:val="en-GB"/>
              </w:rPr>
              <w:t xml:space="preserve">To design the terms of the tender </w:t>
            </w:r>
            <w:proofErr w:type="gramStart"/>
            <w:r w:rsidRPr="000451C6">
              <w:rPr>
                <w:sz w:val="20"/>
                <w:szCs w:val="20"/>
                <w:lang w:val="en-GB"/>
              </w:rPr>
              <w:t>in order to</w:t>
            </w:r>
            <w:proofErr w:type="gramEnd"/>
            <w:r w:rsidRPr="000451C6">
              <w:rPr>
                <w:sz w:val="20"/>
                <w:szCs w:val="20"/>
                <w:lang w:val="en-GB"/>
              </w:rPr>
              <w:t xml:space="preserve"> favour competition; </w:t>
            </w:r>
          </w:p>
          <w:p w14:paraId="097E30CB" w14:textId="77777777" w:rsidR="00512EFD" w:rsidRPr="000451C6" w:rsidRDefault="00512EFD" w:rsidP="0009715B">
            <w:pPr>
              <w:pStyle w:val="ListParagraph"/>
              <w:numPr>
                <w:ilvl w:val="0"/>
                <w:numId w:val="21"/>
              </w:numPr>
              <w:ind w:left="1108"/>
              <w:rPr>
                <w:sz w:val="20"/>
                <w:szCs w:val="20"/>
              </w:rPr>
            </w:pPr>
            <w:r w:rsidRPr="000451C6">
              <w:rPr>
                <w:sz w:val="20"/>
                <w:szCs w:val="20"/>
                <w:lang w:val="en-GB"/>
              </w:rPr>
              <w:t>To prevent anticompetitive decisions during the tendering process;</w:t>
            </w:r>
          </w:p>
          <w:p w14:paraId="49228E2C" w14:textId="77777777" w:rsidR="00512EFD" w:rsidRPr="000451C6" w:rsidRDefault="00512EFD" w:rsidP="0009715B">
            <w:pPr>
              <w:pStyle w:val="ListParagraph"/>
              <w:numPr>
                <w:ilvl w:val="0"/>
                <w:numId w:val="21"/>
              </w:numPr>
              <w:ind w:left="1108"/>
              <w:rPr>
                <w:sz w:val="20"/>
                <w:szCs w:val="20"/>
                <w:lang w:val="en-GB"/>
              </w:rPr>
            </w:pPr>
            <w:r w:rsidRPr="000451C6">
              <w:rPr>
                <w:sz w:val="20"/>
                <w:szCs w:val="20"/>
                <w:lang w:val="en-GB"/>
              </w:rPr>
              <w:t xml:space="preserve">To avoid anticompetitive decisions after the tendering process. </w:t>
            </w:r>
          </w:p>
          <w:p w14:paraId="4DB51130" w14:textId="77777777" w:rsidR="00512EFD" w:rsidRPr="000451C6" w:rsidRDefault="00512EFD" w:rsidP="00447D73">
            <w:pPr>
              <w:rPr>
                <w:sz w:val="20"/>
                <w:szCs w:val="20"/>
              </w:rPr>
            </w:pPr>
          </w:p>
          <w:p w14:paraId="36614B29" w14:textId="77777777" w:rsidR="00512EFD" w:rsidRPr="000451C6" w:rsidRDefault="00512EFD" w:rsidP="0009715B">
            <w:pPr>
              <w:numPr>
                <w:ilvl w:val="0"/>
                <w:numId w:val="8"/>
              </w:numPr>
              <w:rPr>
                <w:sz w:val="20"/>
                <w:szCs w:val="20"/>
              </w:rPr>
            </w:pPr>
            <w:r w:rsidRPr="000451C6">
              <w:rPr>
                <w:sz w:val="20"/>
                <w:szCs w:val="20"/>
              </w:rPr>
              <w:t>Quantitative analysis of public procurement data to identify anti-competitive trends</w:t>
            </w:r>
          </w:p>
        </w:tc>
        <w:tc>
          <w:tcPr>
            <w:tcW w:w="2267" w:type="dxa"/>
            <w:tcBorders>
              <w:top w:val="single" w:sz="8" w:space="0" w:color="002345"/>
              <w:bottom w:val="single" w:sz="8" w:space="0" w:color="002345"/>
            </w:tcBorders>
            <w:shd w:val="clear" w:color="auto" w:fill="F2F2F2" w:themeFill="background1" w:themeFillShade="F2"/>
          </w:tcPr>
          <w:p w14:paraId="4D8D2CE0" w14:textId="4E864ACC" w:rsidR="00512EFD" w:rsidRPr="000451C6" w:rsidRDefault="0015654F" w:rsidP="000451C6">
            <w:pPr>
              <w:numPr>
                <w:ilvl w:val="0"/>
                <w:numId w:val="8"/>
              </w:numPr>
              <w:jc w:val="center"/>
              <w:rPr>
                <w:sz w:val="20"/>
                <w:szCs w:val="20"/>
              </w:rPr>
            </w:pPr>
            <w:r>
              <w:rPr>
                <w:sz w:val="20"/>
                <w:szCs w:val="20"/>
              </w:rPr>
              <w:t xml:space="preserve">Short </w:t>
            </w:r>
            <w:r w:rsidR="00C24123">
              <w:rPr>
                <w:sz w:val="20"/>
                <w:szCs w:val="20"/>
              </w:rPr>
              <w:t>/ 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3BFF6411" w14:textId="77777777" w:rsidR="00512EFD" w:rsidRPr="00512EFD" w:rsidRDefault="0015654F" w:rsidP="000451C6">
            <w:pPr>
              <w:ind w:left="360"/>
              <w:jc w:val="center"/>
              <w:rPr>
                <w:sz w:val="20"/>
                <w:szCs w:val="20"/>
              </w:rPr>
            </w:pPr>
            <w:r>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FAEC015" w14:textId="77777777" w:rsidR="00512EFD" w:rsidRPr="00512EFD" w:rsidRDefault="0015654F" w:rsidP="000451C6">
            <w:pPr>
              <w:jc w:val="center"/>
              <w:rPr>
                <w:sz w:val="20"/>
                <w:szCs w:val="20"/>
              </w:rPr>
            </w:pPr>
            <w:r>
              <w:rPr>
                <w:sz w:val="20"/>
                <w:szCs w:val="20"/>
              </w:rPr>
              <w:t>High</w:t>
            </w:r>
          </w:p>
        </w:tc>
      </w:tr>
      <w:tr w:rsidR="0015654F" w:rsidRPr="00512EFD" w14:paraId="725B5E40" w14:textId="77777777" w:rsidTr="000451C6">
        <w:trPr>
          <w:trHeight w:val="241"/>
        </w:trPr>
        <w:tc>
          <w:tcPr>
            <w:tcW w:w="13682" w:type="dxa"/>
            <w:gridSpan w:val="5"/>
            <w:tcBorders>
              <w:top w:val="single" w:sz="8" w:space="0" w:color="002345"/>
              <w:left w:val="single" w:sz="8" w:space="0" w:color="002345"/>
              <w:bottom w:val="single" w:sz="8" w:space="0" w:color="002345"/>
              <w:right w:val="single" w:sz="8" w:space="0" w:color="002345"/>
            </w:tcBorders>
            <w:shd w:val="clear" w:color="auto" w:fill="E2EFD9" w:themeFill="accent6" w:themeFillTint="33"/>
            <w:tcMar>
              <w:top w:w="72" w:type="dxa"/>
              <w:left w:w="145" w:type="dxa"/>
              <w:bottom w:w="72" w:type="dxa"/>
              <w:right w:w="145" w:type="dxa"/>
            </w:tcMar>
          </w:tcPr>
          <w:p w14:paraId="269D0F29" w14:textId="77777777" w:rsidR="0015654F" w:rsidRPr="00512EFD" w:rsidRDefault="0015654F" w:rsidP="000451C6">
            <w:pPr>
              <w:keepNext/>
              <w:ind w:left="720"/>
              <w:jc w:val="center"/>
              <w:rPr>
                <w:b/>
                <w:sz w:val="20"/>
                <w:szCs w:val="20"/>
              </w:rPr>
            </w:pPr>
            <w:r w:rsidRPr="000451C6">
              <w:rPr>
                <w:b/>
                <w:sz w:val="20"/>
                <w:szCs w:val="20"/>
              </w:rPr>
              <w:t>Pillar 3: Ensuring effective competition policy enforcement</w:t>
            </w:r>
          </w:p>
        </w:tc>
      </w:tr>
      <w:tr w:rsidR="0038343C" w:rsidRPr="00512EFD" w14:paraId="426A6BB5"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363BAC98" w14:textId="77777777" w:rsidR="00512EFD" w:rsidRPr="000451C6" w:rsidRDefault="00512EFD" w:rsidP="00701C1E">
            <w:pPr>
              <w:rPr>
                <w:sz w:val="20"/>
                <w:szCs w:val="20"/>
              </w:rPr>
            </w:pPr>
            <w:r w:rsidRPr="000451C6">
              <w:rPr>
                <w:sz w:val="20"/>
                <w:szCs w:val="20"/>
              </w:rPr>
              <w:t>Lack of experience in identifying/eliminating Anticompetitive Actions of Public Bodies (AAPB)</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2A591A10" w14:textId="77777777" w:rsidR="00512EFD" w:rsidRPr="000451C6" w:rsidRDefault="00512EFD" w:rsidP="0009715B">
            <w:pPr>
              <w:numPr>
                <w:ilvl w:val="0"/>
                <w:numId w:val="22"/>
              </w:numPr>
              <w:rPr>
                <w:sz w:val="20"/>
                <w:szCs w:val="20"/>
              </w:rPr>
            </w:pPr>
            <w:r w:rsidRPr="000451C6">
              <w:rPr>
                <w:sz w:val="20"/>
                <w:szCs w:val="20"/>
              </w:rPr>
              <w:t>Peer learning workshop on implementation of prohibition of AAPB (e.g. Peruvian and Ukrainian experience)</w:t>
            </w:r>
          </w:p>
          <w:p w14:paraId="37499F4C" w14:textId="77777777" w:rsidR="00512EFD" w:rsidRPr="000451C6" w:rsidRDefault="00512EFD" w:rsidP="0009715B">
            <w:pPr>
              <w:numPr>
                <w:ilvl w:val="0"/>
                <w:numId w:val="22"/>
              </w:numPr>
              <w:rPr>
                <w:sz w:val="20"/>
                <w:szCs w:val="20"/>
              </w:rPr>
            </w:pPr>
            <w:bookmarkStart w:id="27" w:name="_Hlk528445517"/>
            <w:r w:rsidRPr="000451C6">
              <w:rPr>
                <w:sz w:val="20"/>
                <w:szCs w:val="20"/>
              </w:rPr>
              <w:t>Develop a methodology to identify AAPB</w:t>
            </w:r>
            <w:bookmarkEnd w:id="27"/>
          </w:p>
        </w:tc>
        <w:tc>
          <w:tcPr>
            <w:tcW w:w="2267" w:type="dxa"/>
            <w:tcBorders>
              <w:top w:val="single" w:sz="8" w:space="0" w:color="002345"/>
              <w:bottom w:val="single" w:sz="8" w:space="0" w:color="002345"/>
            </w:tcBorders>
            <w:shd w:val="clear" w:color="auto" w:fill="F2F2F2" w:themeFill="background1" w:themeFillShade="F2"/>
          </w:tcPr>
          <w:p w14:paraId="1E70E507" w14:textId="77777777" w:rsidR="00512EFD" w:rsidRPr="000451C6" w:rsidRDefault="0015654F" w:rsidP="000451C6">
            <w:pPr>
              <w:pStyle w:val="ListParagraph"/>
              <w:numPr>
                <w:ilvl w:val="0"/>
                <w:numId w:val="22"/>
              </w:numPr>
              <w:jc w:val="center"/>
              <w:rPr>
                <w:sz w:val="20"/>
                <w:szCs w:val="20"/>
              </w:rPr>
            </w:pPr>
            <w:r w:rsidRPr="000451C6">
              <w:rPr>
                <w:sz w:val="20"/>
                <w:szCs w:val="20"/>
              </w:rPr>
              <w:t>Short</w:t>
            </w:r>
          </w:p>
        </w:tc>
        <w:tc>
          <w:tcPr>
            <w:tcW w:w="2004" w:type="dxa"/>
            <w:tcBorders>
              <w:top w:val="single" w:sz="8" w:space="0" w:color="002345"/>
              <w:left w:val="nil"/>
              <w:bottom w:val="single" w:sz="8" w:space="0" w:color="002345"/>
              <w:right w:val="nil"/>
            </w:tcBorders>
            <w:shd w:val="clear" w:color="auto" w:fill="F2F2F2" w:themeFill="background1" w:themeFillShade="F2"/>
          </w:tcPr>
          <w:p w14:paraId="6C0EFCC8" w14:textId="77777777" w:rsidR="00512EFD" w:rsidRPr="00512EFD" w:rsidRDefault="0015654F" w:rsidP="000451C6">
            <w:pPr>
              <w:jc w:val="center"/>
              <w:rPr>
                <w:sz w:val="20"/>
                <w:szCs w:val="20"/>
              </w:rPr>
            </w:pPr>
            <w:r>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16046A30" w14:textId="77777777" w:rsidR="00512EFD" w:rsidRPr="00512EFD" w:rsidRDefault="0015654F" w:rsidP="000451C6">
            <w:pPr>
              <w:jc w:val="center"/>
              <w:rPr>
                <w:sz w:val="20"/>
                <w:szCs w:val="20"/>
              </w:rPr>
            </w:pPr>
            <w:r>
              <w:rPr>
                <w:sz w:val="20"/>
                <w:szCs w:val="20"/>
              </w:rPr>
              <w:t>Medium - High</w:t>
            </w:r>
          </w:p>
        </w:tc>
      </w:tr>
      <w:tr w:rsidR="0038343C" w:rsidRPr="00512EFD" w14:paraId="60C99CD8"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07B2E868" w14:textId="77777777" w:rsidR="00512EFD" w:rsidRPr="000451C6" w:rsidRDefault="00512EFD" w:rsidP="00701C1E">
            <w:pPr>
              <w:rPr>
                <w:sz w:val="20"/>
                <w:szCs w:val="20"/>
              </w:rPr>
            </w:pPr>
            <w:r w:rsidRPr="000451C6">
              <w:rPr>
                <w:sz w:val="20"/>
                <w:szCs w:val="20"/>
              </w:rPr>
              <w:t xml:space="preserve">Burden </w:t>
            </w:r>
            <w:r w:rsidR="004C1CA0">
              <w:rPr>
                <w:sz w:val="20"/>
                <w:szCs w:val="20"/>
              </w:rPr>
              <w:t>on</w:t>
            </w:r>
            <w:r w:rsidR="004C1CA0" w:rsidRPr="000451C6">
              <w:rPr>
                <w:sz w:val="20"/>
                <w:szCs w:val="20"/>
              </w:rPr>
              <w:t xml:space="preserve"> </w:t>
            </w:r>
            <w:r w:rsidRPr="000451C6">
              <w:rPr>
                <w:sz w:val="20"/>
                <w:szCs w:val="20"/>
              </w:rPr>
              <w:t xml:space="preserve">firms considered </w:t>
            </w:r>
            <w:r w:rsidR="004C1CA0">
              <w:rPr>
                <w:sz w:val="20"/>
                <w:szCs w:val="20"/>
              </w:rPr>
              <w:t xml:space="preserve">to be </w:t>
            </w:r>
            <w:r w:rsidRPr="000451C6">
              <w:rPr>
                <w:sz w:val="20"/>
                <w:szCs w:val="20"/>
              </w:rPr>
              <w:t>dominant limits competition on the merits</w:t>
            </w:r>
          </w:p>
          <w:p w14:paraId="758A959A" w14:textId="191E7EA2" w:rsidR="00512EFD" w:rsidRPr="000451C6" w:rsidRDefault="00512EFD" w:rsidP="0009715B">
            <w:pPr>
              <w:pStyle w:val="ListParagraph"/>
              <w:numPr>
                <w:ilvl w:val="0"/>
                <w:numId w:val="24"/>
              </w:numPr>
              <w:tabs>
                <w:tab w:val="clear" w:pos="1080"/>
                <w:tab w:val="num" w:pos="743"/>
              </w:tabs>
              <w:ind w:left="743"/>
              <w:rPr>
                <w:sz w:val="20"/>
                <w:szCs w:val="20"/>
              </w:rPr>
            </w:pPr>
            <w:r w:rsidRPr="000451C6">
              <w:rPr>
                <w:sz w:val="20"/>
                <w:szCs w:val="20"/>
              </w:rPr>
              <w:t>Rigid</w:t>
            </w:r>
            <w:r w:rsidR="00C24123">
              <w:rPr>
                <w:sz w:val="20"/>
                <w:szCs w:val="20"/>
              </w:rPr>
              <w:t xml:space="preserve"> low</w:t>
            </w:r>
            <w:r w:rsidRPr="000451C6">
              <w:rPr>
                <w:sz w:val="20"/>
                <w:szCs w:val="20"/>
              </w:rPr>
              <w:t xml:space="preserve"> market share thresholds establishing dominance</w:t>
            </w:r>
          </w:p>
          <w:p w14:paraId="609A1B25" w14:textId="2D381B95" w:rsidR="00512EFD" w:rsidRDefault="00512EFD" w:rsidP="0009715B">
            <w:pPr>
              <w:pStyle w:val="ListParagraph"/>
              <w:numPr>
                <w:ilvl w:val="0"/>
                <w:numId w:val="24"/>
              </w:numPr>
              <w:tabs>
                <w:tab w:val="clear" w:pos="1080"/>
                <w:tab w:val="num" w:pos="743"/>
              </w:tabs>
              <w:ind w:left="743"/>
              <w:rPr>
                <w:sz w:val="20"/>
                <w:szCs w:val="20"/>
              </w:rPr>
            </w:pPr>
            <w:r w:rsidRPr="000451C6">
              <w:rPr>
                <w:sz w:val="20"/>
                <w:szCs w:val="20"/>
              </w:rPr>
              <w:t>Limited ability for so-called “dominant firms” to compete on the merits (e.g. prohibition of unjustifiably high or low prices and other efficiency enhancing strategies)</w:t>
            </w:r>
            <w:r w:rsidR="00C24123">
              <w:rPr>
                <w:sz w:val="20"/>
                <w:szCs w:val="20"/>
              </w:rPr>
              <w:t xml:space="preserve"> due to provisions added </w:t>
            </w:r>
            <w:proofErr w:type="gramStart"/>
            <w:r w:rsidR="00C24123">
              <w:rPr>
                <w:sz w:val="20"/>
                <w:szCs w:val="20"/>
              </w:rPr>
              <w:t>as a result of</w:t>
            </w:r>
            <w:proofErr w:type="gramEnd"/>
            <w:r w:rsidR="00C24123" w:rsidRPr="003E63CE">
              <w:rPr>
                <w:sz w:val="20"/>
                <w:szCs w:val="20"/>
              </w:rPr>
              <w:t xml:space="preserve"> regional EEA commitments</w:t>
            </w:r>
            <w:r w:rsidRPr="000451C6">
              <w:rPr>
                <w:sz w:val="20"/>
                <w:szCs w:val="20"/>
              </w:rPr>
              <w:t>.</w:t>
            </w:r>
          </w:p>
          <w:p w14:paraId="5C86FB2B" w14:textId="363C6C50" w:rsidR="00C24123" w:rsidRPr="000451C6" w:rsidRDefault="00C24123" w:rsidP="0009715B">
            <w:pPr>
              <w:pStyle w:val="ListParagraph"/>
              <w:numPr>
                <w:ilvl w:val="0"/>
                <w:numId w:val="24"/>
              </w:numPr>
              <w:tabs>
                <w:tab w:val="clear" w:pos="1080"/>
                <w:tab w:val="num" w:pos="743"/>
              </w:tabs>
              <w:ind w:left="743"/>
              <w:rPr>
                <w:sz w:val="20"/>
                <w:szCs w:val="20"/>
              </w:rPr>
            </w:pPr>
            <w:r w:rsidRPr="00246D05">
              <w:rPr>
                <w:sz w:val="20"/>
                <w:szCs w:val="20"/>
              </w:rPr>
              <w:t>Subjective criteria such as market shares or dominance as a trigger for review of a concentration might be problematic</w:t>
            </w:r>
            <w:r>
              <w:rPr>
                <w:sz w:val="20"/>
                <w:szCs w:val="20"/>
              </w:rPr>
              <w:t>.</w:t>
            </w:r>
          </w:p>
          <w:p w14:paraId="1310515B" w14:textId="41ECC9D8" w:rsidR="00512EFD" w:rsidRPr="000451C6" w:rsidRDefault="00512EFD" w:rsidP="00246D05">
            <w:pPr>
              <w:pStyle w:val="ListParagraph"/>
              <w:ind w:left="743"/>
              <w:rPr>
                <w:sz w:val="20"/>
                <w:szCs w:val="20"/>
              </w:rPr>
            </w:pPr>
            <w:r w:rsidRPr="000451C6">
              <w:rPr>
                <w:sz w:val="20"/>
                <w:szCs w:val="20"/>
              </w:rPr>
              <w:t xml:space="preserve">  </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50973EFB" w14:textId="2261F428" w:rsidR="00512EFD" w:rsidRPr="000451C6" w:rsidRDefault="00512EFD" w:rsidP="0009715B">
            <w:pPr>
              <w:pStyle w:val="ListParagraph"/>
              <w:numPr>
                <w:ilvl w:val="0"/>
                <w:numId w:val="23"/>
              </w:numPr>
              <w:ind w:left="748"/>
              <w:rPr>
                <w:sz w:val="20"/>
                <w:szCs w:val="20"/>
              </w:rPr>
            </w:pPr>
            <w:r w:rsidRPr="000451C6">
              <w:rPr>
                <w:sz w:val="20"/>
                <w:szCs w:val="20"/>
              </w:rPr>
              <w:t>Limit abuses of dominance to those that may result in market foreclosure of equally efficient firms</w:t>
            </w:r>
            <w:r w:rsidR="00C24123">
              <w:rPr>
                <w:sz w:val="20"/>
                <w:szCs w:val="20"/>
              </w:rPr>
              <w:t xml:space="preserve"> through the development of secondary legislation on monopolistically high and low prices along the lines of the analysis applied to excessive and predatory pricing respectively.</w:t>
            </w:r>
          </w:p>
          <w:p w14:paraId="55580FC1" w14:textId="3A9AE3E4" w:rsidR="00512EFD" w:rsidRPr="000451C6" w:rsidRDefault="00C24123" w:rsidP="0009715B">
            <w:pPr>
              <w:pStyle w:val="ListParagraph"/>
              <w:numPr>
                <w:ilvl w:val="0"/>
                <w:numId w:val="23"/>
              </w:numPr>
              <w:ind w:left="748"/>
              <w:rPr>
                <w:sz w:val="20"/>
                <w:szCs w:val="20"/>
              </w:rPr>
            </w:pPr>
            <w:r>
              <w:rPr>
                <w:sz w:val="20"/>
                <w:szCs w:val="20"/>
              </w:rPr>
              <w:t>Consider amending</w:t>
            </w:r>
            <w:r w:rsidR="00512EFD" w:rsidRPr="000451C6">
              <w:rPr>
                <w:sz w:val="20"/>
                <w:szCs w:val="20"/>
              </w:rPr>
              <w:t xml:space="preserve"> obligations for dominant firms</w:t>
            </w:r>
            <w:r>
              <w:rPr>
                <w:sz w:val="20"/>
                <w:szCs w:val="20"/>
              </w:rPr>
              <w:t xml:space="preserve"> to notify concentrations in favor of asset/turnover based thresholds</w:t>
            </w:r>
            <w:r w:rsidR="00512EFD" w:rsidRPr="000451C6">
              <w:rPr>
                <w:sz w:val="20"/>
                <w:szCs w:val="20"/>
              </w:rPr>
              <w:t xml:space="preserve"> </w:t>
            </w:r>
          </w:p>
        </w:tc>
        <w:tc>
          <w:tcPr>
            <w:tcW w:w="2267" w:type="dxa"/>
            <w:tcBorders>
              <w:top w:val="single" w:sz="8" w:space="0" w:color="002345"/>
              <w:bottom w:val="single" w:sz="8" w:space="0" w:color="002345"/>
            </w:tcBorders>
            <w:shd w:val="clear" w:color="auto" w:fill="F2F2F2" w:themeFill="background1" w:themeFillShade="F2"/>
          </w:tcPr>
          <w:p w14:paraId="2E614085" w14:textId="77777777" w:rsidR="00512EFD" w:rsidRPr="000451C6" w:rsidRDefault="0015654F" w:rsidP="000451C6">
            <w:pPr>
              <w:pStyle w:val="ListParagraph"/>
              <w:numPr>
                <w:ilvl w:val="0"/>
                <w:numId w:val="23"/>
              </w:numPr>
              <w:ind w:left="748"/>
              <w:jc w:val="center"/>
              <w:rPr>
                <w:sz w:val="20"/>
                <w:szCs w:val="20"/>
              </w:rPr>
            </w:pPr>
            <w:r>
              <w:rPr>
                <w:sz w:val="20"/>
                <w:szCs w:val="20"/>
              </w:rPr>
              <w:t>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63F50D40" w14:textId="77777777" w:rsidR="00512EFD" w:rsidRPr="000451C6" w:rsidRDefault="004C1CA0" w:rsidP="000451C6">
            <w:pPr>
              <w:jc w:val="center"/>
              <w:rPr>
                <w:sz w:val="20"/>
                <w:szCs w:val="20"/>
              </w:rPr>
            </w:pPr>
            <w:r>
              <w:rPr>
                <w:sz w:val="20"/>
                <w:szCs w:val="20"/>
              </w:rPr>
              <w:t>Medium</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4B0A2F69" w14:textId="77777777" w:rsidR="00512EFD" w:rsidRPr="000451C6" w:rsidRDefault="0015654F" w:rsidP="000451C6">
            <w:pPr>
              <w:jc w:val="center"/>
              <w:rPr>
                <w:sz w:val="20"/>
                <w:szCs w:val="20"/>
              </w:rPr>
            </w:pPr>
            <w:r w:rsidRPr="000451C6">
              <w:rPr>
                <w:sz w:val="20"/>
                <w:szCs w:val="20"/>
              </w:rPr>
              <w:t>Medium</w:t>
            </w:r>
          </w:p>
        </w:tc>
      </w:tr>
      <w:tr w:rsidR="0038343C" w:rsidRPr="00512EFD" w14:paraId="1C0BFB83"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3192F22C" w14:textId="63256410" w:rsidR="00512EFD" w:rsidRPr="000451C6" w:rsidRDefault="00512EFD" w:rsidP="00701C1E">
            <w:pPr>
              <w:rPr>
                <w:sz w:val="20"/>
                <w:szCs w:val="20"/>
              </w:rPr>
            </w:pPr>
            <w:r w:rsidRPr="000451C6">
              <w:rPr>
                <w:sz w:val="20"/>
                <w:szCs w:val="20"/>
              </w:rPr>
              <w:t xml:space="preserve">Limited </w:t>
            </w:r>
            <w:r w:rsidR="00C24123">
              <w:rPr>
                <w:sz w:val="20"/>
                <w:szCs w:val="20"/>
              </w:rPr>
              <w:t xml:space="preserve">powers to identify </w:t>
            </w:r>
            <w:r w:rsidRPr="000451C6">
              <w:rPr>
                <w:sz w:val="20"/>
                <w:szCs w:val="20"/>
              </w:rPr>
              <w:t>anti-c</w:t>
            </w:r>
            <w:r w:rsidR="00C24123">
              <w:rPr>
                <w:sz w:val="20"/>
                <w:szCs w:val="20"/>
              </w:rPr>
              <w:t xml:space="preserve">ompetitive agreements </w:t>
            </w:r>
          </w:p>
          <w:p w14:paraId="6D614471" w14:textId="403B654E" w:rsidR="00512EFD" w:rsidRPr="000451C6" w:rsidRDefault="00512EFD" w:rsidP="0009715B">
            <w:pPr>
              <w:numPr>
                <w:ilvl w:val="0"/>
                <w:numId w:val="25"/>
              </w:numPr>
              <w:rPr>
                <w:sz w:val="20"/>
                <w:szCs w:val="20"/>
              </w:rPr>
            </w:pPr>
            <w:r w:rsidRPr="000451C6">
              <w:rPr>
                <w:sz w:val="20"/>
                <w:szCs w:val="20"/>
              </w:rPr>
              <w:t xml:space="preserve">Lack of tools to collect direct evidence of cartels (no dawn raids/Limited cooperation with prosecutor; new leniency </w:t>
            </w:r>
            <w:r w:rsidR="00C24123">
              <w:rPr>
                <w:sz w:val="20"/>
                <w:szCs w:val="20"/>
              </w:rPr>
              <w:t xml:space="preserve">(exemption from sanctioning) </w:t>
            </w:r>
            <w:r w:rsidRPr="000451C6">
              <w:rPr>
                <w:sz w:val="20"/>
                <w:szCs w:val="20"/>
              </w:rPr>
              <w:t xml:space="preserve">policy difficult to implement). </w:t>
            </w:r>
          </w:p>
          <w:p w14:paraId="478BA7AC" w14:textId="45809994" w:rsidR="00512EFD" w:rsidRPr="000451C6" w:rsidRDefault="00512EFD" w:rsidP="0009715B">
            <w:pPr>
              <w:numPr>
                <w:ilvl w:val="0"/>
                <w:numId w:val="25"/>
              </w:numPr>
              <w:rPr>
                <w:sz w:val="20"/>
                <w:szCs w:val="20"/>
              </w:rPr>
            </w:pPr>
            <w:r w:rsidRPr="000451C6">
              <w:rPr>
                <w:sz w:val="20"/>
                <w:szCs w:val="20"/>
              </w:rPr>
              <w:t xml:space="preserve">Lack of implementation tools to identify efficiency-enhancing agreements </w:t>
            </w:r>
            <w:r w:rsidR="00C24123">
              <w:rPr>
                <w:sz w:val="20"/>
                <w:szCs w:val="20"/>
              </w:rPr>
              <w:t>which does not allow to treat these agreements as permissible ones within the scope of legal regulations set under the Law on Protection of Economic Competition</w:t>
            </w:r>
            <w:r w:rsidRPr="000451C6">
              <w:rPr>
                <w:sz w:val="20"/>
                <w:szCs w:val="20"/>
              </w:rPr>
              <w:t>.</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53AC5ECE" w14:textId="567B3894" w:rsidR="00512EFD" w:rsidRPr="000451C6" w:rsidRDefault="00512EFD" w:rsidP="0009715B">
            <w:pPr>
              <w:numPr>
                <w:ilvl w:val="0"/>
                <w:numId w:val="26"/>
              </w:numPr>
              <w:rPr>
                <w:sz w:val="20"/>
                <w:szCs w:val="20"/>
              </w:rPr>
            </w:pPr>
            <w:r w:rsidRPr="000451C6">
              <w:rPr>
                <w:sz w:val="20"/>
                <w:szCs w:val="20"/>
              </w:rPr>
              <w:t>Enhance SCPEC ability to collect direct evidence</w:t>
            </w:r>
            <w:r w:rsidR="00C24123">
              <w:rPr>
                <w:sz w:val="20"/>
                <w:szCs w:val="20"/>
              </w:rPr>
              <w:t xml:space="preserve"> by legally empowering the SCPEC to conduct dawn raids</w:t>
            </w:r>
            <w:r w:rsidRPr="000451C6">
              <w:rPr>
                <w:sz w:val="20"/>
                <w:szCs w:val="20"/>
              </w:rPr>
              <w:t>.</w:t>
            </w:r>
          </w:p>
          <w:p w14:paraId="16BDDF34" w14:textId="4B0D54D0" w:rsidR="00512EFD" w:rsidRPr="000451C6" w:rsidRDefault="00512EFD" w:rsidP="0009715B">
            <w:pPr>
              <w:numPr>
                <w:ilvl w:val="0"/>
                <w:numId w:val="26"/>
              </w:numPr>
              <w:rPr>
                <w:sz w:val="20"/>
                <w:szCs w:val="20"/>
              </w:rPr>
            </w:pPr>
            <w:r w:rsidRPr="000451C6">
              <w:rPr>
                <w:sz w:val="20"/>
                <w:szCs w:val="20"/>
              </w:rPr>
              <w:t>Develop secondary legislation to grant exemptions</w:t>
            </w:r>
            <w:r w:rsidR="00C24123">
              <w:rPr>
                <w:sz w:val="20"/>
                <w:szCs w:val="20"/>
              </w:rPr>
              <w:t xml:space="preserve"> for permissible agreements</w:t>
            </w:r>
            <w:r w:rsidRPr="000451C6">
              <w:rPr>
                <w:sz w:val="20"/>
                <w:szCs w:val="20"/>
              </w:rPr>
              <w:t xml:space="preserve">. </w:t>
            </w:r>
          </w:p>
          <w:p w14:paraId="0D28839E" w14:textId="258C47AD" w:rsidR="00512EFD" w:rsidRPr="000451C6" w:rsidRDefault="00512EFD" w:rsidP="0009715B">
            <w:pPr>
              <w:numPr>
                <w:ilvl w:val="0"/>
                <w:numId w:val="26"/>
              </w:numPr>
              <w:rPr>
                <w:sz w:val="20"/>
                <w:szCs w:val="20"/>
              </w:rPr>
            </w:pPr>
            <w:r w:rsidRPr="000451C6">
              <w:rPr>
                <w:sz w:val="20"/>
                <w:szCs w:val="20"/>
              </w:rPr>
              <w:t xml:space="preserve">Implement an effective leniency </w:t>
            </w:r>
            <w:r w:rsidR="00C24123">
              <w:rPr>
                <w:sz w:val="20"/>
                <w:szCs w:val="20"/>
              </w:rPr>
              <w:t xml:space="preserve">(exemption from sanctioning) </w:t>
            </w:r>
            <w:r w:rsidRPr="000451C6">
              <w:rPr>
                <w:sz w:val="20"/>
                <w:szCs w:val="20"/>
              </w:rPr>
              <w:t>policy.</w:t>
            </w:r>
          </w:p>
        </w:tc>
        <w:tc>
          <w:tcPr>
            <w:tcW w:w="2267" w:type="dxa"/>
            <w:tcBorders>
              <w:top w:val="single" w:sz="8" w:space="0" w:color="002345"/>
              <w:bottom w:val="single" w:sz="8" w:space="0" w:color="002345"/>
            </w:tcBorders>
            <w:shd w:val="clear" w:color="auto" w:fill="F2F2F2" w:themeFill="background1" w:themeFillShade="F2"/>
          </w:tcPr>
          <w:p w14:paraId="664E00F0" w14:textId="71908E11" w:rsidR="00512EFD" w:rsidRPr="000451C6" w:rsidRDefault="00AA1885" w:rsidP="000451C6">
            <w:pPr>
              <w:numPr>
                <w:ilvl w:val="0"/>
                <w:numId w:val="26"/>
              </w:numPr>
              <w:jc w:val="center"/>
              <w:rPr>
                <w:sz w:val="20"/>
                <w:szCs w:val="20"/>
              </w:rPr>
            </w:pPr>
            <w:r>
              <w:rPr>
                <w:sz w:val="20"/>
                <w:szCs w:val="20"/>
              </w:rPr>
              <w:t>Long</w:t>
            </w:r>
          </w:p>
        </w:tc>
        <w:tc>
          <w:tcPr>
            <w:tcW w:w="2004" w:type="dxa"/>
            <w:tcBorders>
              <w:top w:val="single" w:sz="8" w:space="0" w:color="002345"/>
              <w:left w:val="nil"/>
              <w:bottom w:val="single" w:sz="8" w:space="0" w:color="002345"/>
              <w:right w:val="nil"/>
            </w:tcBorders>
            <w:shd w:val="clear" w:color="auto" w:fill="F2F2F2" w:themeFill="background1" w:themeFillShade="F2"/>
          </w:tcPr>
          <w:p w14:paraId="5986EE66" w14:textId="77777777" w:rsidR="00512EFD" w:rsidRPr="00512EFD" w:rsidRDefault="009A05D9" w:rsidP="000451C6">
            <w:pPr>
              <w:jc w:val="center"/>
              <w:rPr>
                <w:sz w:val="20"/>
                <w:szCs w:val="20"/>
              </w:rPr>
            </w:pPr>
            <w:r>
              <w:rPr>
                <w:sz w:val="20"/>
                <w:szCs w:val="20"/>
              </w:rPr>
              <w:t xml:space="preserve">Medium - </w:t>
            </w:r>
            <w:r w:rsidR="0015654F">
              <w:rPr>
                <w:sz w:val="20"/>
                <w:szCs w:val="20"/>
              </w:rPr>
              <w:t>High</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28749885" w14:textId="77777777" w:rsidR="00512EFD" w:rsidRPr="00512EFD" w:rsidRDefault="0015654F" w:rsidP="000451C6">
            <w:pPr>
              <w:jc w:val="center"/>
              <w:rPr>
                <w:sz w:val="20"/>
                <w:szCs w:val="20"/>
              </w:rPr>
            </w:pPr>
            <w:r>
              <w:rPr>
                <w:sz w:val="20"/>
                <w:szCs w:val="20"/>
              </w:rPr>
              <w:t>Medium</w:t>
            </w:r>
          </w:p>
        </w:tc>
      </w:tr>
      <w:tr w:rsidR="00D567B5" w:rsidRPr="00512EFD" w14:paraId="346D4652"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5" w:type="dxa"/>
              <w:bottom w:w="72" w:type="dxa"/>
              <w:right w:w="145" w:type="dxa"/>
            </w:tcMar>
            <w:hideMark/>
          </w:tcPr>
          <w:p w14:paraId="12BC9839" w14:textId="77777777" w:rsidR="00D567B5" w:rsidRPr="000451C6" w:rsidRDefault="00D567B5" w:rsidP="00D567B5">
            <w:pPr>
              <w:rPr>
                <w:sz w:val="20"/>
                <w:szCs w:val="20"/>
              </w:rPr>
            </w:pPr>
            <w:r w:rsidRPr="000451C6">
              <w:rPr>
                <w:sz w:val="20"/>
                <w:szCs w:val="20"/>
              </w:rPr>
              <w:t>Suboptimal fines to foster deterrence</w:t>
            </w:r>
          </w:p>
          <w:p w14:paraId="68288F0F" w14:textId="60459B4A" w:rsidR="00D567B5" w:rsidRPr="000451C6" w:rsidRDefault="00D567B5" w:rsidP="00D567B5">
            <w:pPr>
              <w:numPr>
                <w:ilvl w:val="0"/>
                <w:numId w:val="9"/>
              </w:numPr>
              <w:rPr>
                <w:sz w:val="20"/>
                <w:szCs w:val="20"/>
              </w:rPr>
            </w:pPr>
            <w:r w:rsidRPr="000451C6">
              <w:rPr>
                <w:sz w:val="20"/>
                <w:szCs w:val="20"/>
              </w:rPr>
              <w:t xml:space="preserve">Low level of </w:t>
            </w:r>
            <w:r w:rsidR="00AA1885">
              <w:rPr>
                <w:sz w:val="20"/>
                <w:szCs w:val="20"/>
              </w:rPr>
              <w:t>penalties</w:t>
            </w:r>
            <w:r w:rsidR="00AA1885" w:rsidRPr="000451C6">
              <w:rPr>
                <w:sz w:val="20"/>
                <w:szCs w:val="20"/>
              </w:rPr>
              <w:t xml:space="preserve"> </w:t>
            </w:r>
            <w:r w:rsidRPr="000451C6">
              <w:rPr>
                <w:sz w:val="20"/>
                <w:szCs w:val="20"/>
              </w:rPr>
              <w:t xml:space="preserve">for failure to notify a </w:t>
            </w:r>
            <w:r w:rsidR="00AA1885">
              <w:rPr>
                <w:sz w:val="20"/>
                <w:szCs w:val="20"/>
              </w:rPr>
              <w:t>concentration or to comply with an information request by SCPEC</w:t>
            </w:r>
            <w:r w:rsidRPr="000451C6">
              <w:rPr>
                <w:sz w:val="20"/>
                <w:szCs w:val="20"/>
              </w:rPr>
              <w:t>).</w:t>
            </w:r>
          </w:p>
        </w:tc>
        <w:tc>
          <w:tcPr>
            <w:tcW w:w="3605" w:type="dxa"/>
            <w:tcBorders>
              <w:top w:val="single" w:sz="8" w:space="0" w:color="002345"/>
              <w:left w:val="nil"/>
              <w:bottom w:val="single" w:sz="8" w:space="0" w:color="002345"/>
            </w:tcBorders>
            <w:shd w:val="clear" w:color="auto" w:fill="F2F2F2" w:themeFill="background1" w:themeFillShade="F2"/>
            <w:tcMar>
              <w:top w:w="72" w:type="dxa"/>
              <w:left w:w="145" w:type="dxa"/>
              <w:bottom w:w="72" w:type="dxa"/>
              <w:right w:w="145" w:type="dxa"/>
            </w:tcMar>
            <w:hideMark/>
          </w:tcPr>
          <w:p w14:paraId="183C5E7B" w14:textId="040EE022" w:rsidR="00D567B5" w:rsidRPr="000451C6" w:rsidRDefault="00D567B5" w:rsidP="00D567B5">
            <w:pPr>
              <w:numPr>
                <w:ilvl w:val="0"/>
                <w:numId w:val="27"/>
              </w:numPr>
              <w:rPr>
                <w:sz w:val="20"/>
                <w:szCs w:val="20"/>
              </w:rPr>
            </w:pPr>
            <w:r w:rsidRPr="00246D05">
              <w:rPr>
                <w:sz w:val="20"/>
                <w:szCs w:val="20"/>
              </w:rPr>
              <w:t xml:space="preserve">Consider increasing fines for </w:t>
            </w:r>
            <w:r w:rsidR="00AA1885" w:rsidRPr="00246D05">
              <w:rPr>
                <w:sz w:val="20"/>
                <w:szCs w:val="20"/>
              </w:rPr>
              <w:t xml:space="preserve">failure to notify a concentration or to comply with an information request by SCPEC. </w:t>
            </w:r>
            <w:bookmarkStart w:id="28" w:name="_Hlk528445748"/>
            <w:r w:rsidRPr="000451C6">
              <w:rPr>
                <w:sz w:val="20"/>
                <w:szCs w:val="20"/>
              </w:rPr>
              <w:t xml:space="preserve">Develop a clear methodology to calculate </w:t>
            </w:r>
            <w:r w:rsidR="00AA1885">
              <w:rPr>
                <w:sz w:val="20"/>
                <w:szCs w:val="20"/>
              </w:rPr>
              <w:t xml:space="preserve">penalties adequate to the </w:t>
            </w:r>
            <w:proofErr w:type="gramStart"/>
            <w:r w:rsidR="00AA1885">
              <w:rPr>
                <w:sz w:val="20"/>
                <w:szCs w:val="20"/>
              </w:rPr>
              <w:t>infringements .</w:t>
            </w:r>
            <w:bookmarkEnd w:id="28"/>
            <w:proofErr w:type="gramEnd"/>
          </w:p>
        </w:tc>
        <w:tc>
          <w:tcPr>
            <w:tcW w:w="2267" w:type="dxa"/>
            <w:tcBorders>
              <w:top w:val="single" w:sz="8" w:space="0" w:color="002345"/>
              <w:bottom w:val="single" w:sz="8" w:space="0" w:color="002345"/>
            </w:tcBorders>
            <w:shd w:val="clear" w:color="auto" w:fill="F2F2F2" w:themeFill="background1" w:themeFillShade="F2"/>
          </w:tcPr>
          <w:p w14:paraId="5F0145E9" w14:textId="77777777" w:rsidR="00D567B5" w:rsidRPr="000451C6" w:rsidRDefault="00D567B5" w:rsidP="000451C6">
            <w:pPr>
              <w:pStyle w:val="ListParagraph"/>
              <w:numPr>
                <w:ilvl w:val="0"/>
                <w:numId w:val="27"/>
              </w:numPr>
              <w:rPr>
                <w:sz w:val="20"/>
                <w:szCs w:val="20"/>
              </w:rPr>
            </w:pPr>
            <w:r w:rsidRPr="000451C6">
              <w:rPr>
                <w:sz w:val="20"/>
                <w:szCs w:val="20"/>
              </w:rPr>
              <w:t>Medium</w:t>
            </w:r>
          </w:p>
        </w:tc>
        <w:tc>
          <w:tcPr>
            <w:tcW w:w="2004" w:type="dxa"/>
            <w:tcBorders>
              <w:top w:val="single" w:sz="8" w:space="0" w:color="002345"/>
              <w:left w:val="nil"/>
              <w:bottom w:val="single" w:sz="8" w:space="0" w:color="002345"/>
              <w:right w:val="nil"/>
            </w:tcBorders>
            <w:shd w:val="clear" w:color="auto" w:fill="F2F2F2" w:themeFill="background1" w:themeFillShade="F2"/>
          </w:tcPr>
          <w:p w14:paraId="4EE3E272" w14:textId="77777777" w:rsidR="00D567B5" w:rsidRPr="00512EFD" w:rsidRDefault="004C1CA0" w:rsidP="000451C6">
            <w:pPr>
              <w:jc w:val="center"/>
              <w:rPr>
                <w:sz w:val="20"/>
                <w:szCs w:val="20"/>
              </w:rPr>
            </w:pPr>
            <w:r>
              <w:rPr>
                <w:sz w:val="20"/>
                <w:szCs w:val="20"/>
              </w:rPr>
              <w:t>Medium</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17731159" w14:textId="77777777" w:rsidR="00D567B5" w:rsidRPr="00512EFD" w:rsidRDefault="00D567B5" w:rsidP="000451C6">
            <w:pPr>
              <w:jc w:val="center"/>
              <w:rPr>
                <w:sz w:val="20"/>
                <w:szCs w:val="20"/>
              </w:rPr>
            </w:pPr>
            <w:r>
              <w:rPr>
                <w:sz w:val="20"/>
                <w:szCs w:val="20"/>
              </w:rPr>
              <w:t>Medium</w:t>
            </w:r>
          </w:p>
        </w:tc>
      </w:tr>
      <w:tr w:rsidR="00D567B5" w:rsidRPr="00512EFD" w14:paraId="3B6C07C5" w14:textId="77777777" w:rsidTr="000451C6">
        <w:trPr>
          <w:trHeight w:val="241"/>
        </w:trPr>
        <w:tc>
          <w:tcPr>
            <w:tcW w:w="13682" w:type="dxa"/>
            <w:gridSpan w:val="5"/>
            <w:tcBorders>
              <w:top w:val="single" w:sz="8" w:space="0" w:color="002345"/>
              <w:left w:val="single" w:sz="8" w:space="0" w:color="002345"/>
              <w:bottom w:val="single" w:sz="8" w:space="0" w:color="002345"/>
              <w:right w:val="single" w:sz="8" w:space="0" w:color="002345"/>
            </w:tcBorders>
            <w:shd w:val="clear" w:color="auto" w:fill="E2EFD9" w:themeFill="accent6" w:themeFillTint="33"/>
            <w:tcMar>
              <w:top w:w="72" w:type="dxa"/>
              <w:left w:w="145" w:type="dxa"/>
              <w:bottom w:w="72" w:type="dxa"/>
              <w:right w:w="145" w:type="dxa"/>
            </w:tcMar>
          </w:tcPr>
          <w:p w14:paraId="5F2F7A19" w14:textId="77777777" w:rsidR="00D567B5" w:rsidRPr="00512EFD" w:rsidRDefault="00D567B5" w:rsidP="00771D47">
            <w:pPr>
              <w:ind w:left="720"/>
              <w:jc w:val="center"/>
              <w:rPr>
                <w:b/>
                <w:sz w:val="20"/>
                <w:szCs w:val="20"/>
              </w:rPr>
            </w:pPr>
            <w:r w:rsidRPr="000451C6">
              <w:rPr>
                <w:b/>
                <w:sz w:val="20"/>
                <w:szCs w:val="20"/>
              </w:rPr>
              <w:t>Cross-cutting: Developing a National Competition Policy</w:t>
            </w:r>
          </w:p>
        </w:tc>
      </w:tr>
      <w:tr w:rsidR="00D567B5" w:rsidRPr="00512EFD" w14:paraId="2BDF3608" w14:textId="77777777" w:rsidTr="000451C6">
        <w:trPr>
          <w:trHeight w:val="584"/>
        </w:trPr>
        <w:tc>
          <w:tcPr>
            <w:tcW w:w="3914" w:type="dxa"/>
            <w:tcBorders>
              <w:top w:val="single" w:sz="8" w:space="0" w:color="002345"/>
              <w:left w:val="single" w:sz="8" w:space="0" w:color="002345"/>
              <w:bottom w:val="single" w:sz="8" w:space="0" w:color="002345"/>
              <w:right w:val="nil"/>
            </w:tcBorders>
            <w:shd w:val="clear" w:color="auto" w:fill="F2F2F2" w:themeFill="background1" w:themeFillShade="F2"/>
            <w:tcMar>
              <w:top w:w="72" w:type="dxa"/>
              <w:left w:w="144" w:type="dxa"/>
              <w:bottom w:w="72" w:type="dxa"/>
              <w:right w:w="144" w:type="dxa"/>
            </w:tcMar>
          </w:tcPr>
          <w:p w14:paraId="3A72DF9E" w14:textId="77777777" w:rsidR="00D567B5" w:rsidRPr="000451C6" w:rsidRDefault="00D567B5" w:rsidP="00D567B5">
            <w:pPr>
              <w:numPr>
                <w:ilvl w:val="0"/>
                <w:numId w:val="16"/>
              </w:numPr>
              <w:rPr>
                <w:sz w:val="20"/>
                <w:szCs w:val="20"/>
              </w:rPr>
            </w:pPr>
            <w:r w:rsidRPr="000451C6">
              <w:rPr>
                <w:sz w:val="20"/>
                <w:szCs w:val="20"/>
              </w:rPr>
              <w:t xml:space="preserve">Lack of coordinated mechanisms/incentives to implement a coordinated approach to foster competition across sectors/markets. </w:t>
            </w:r>
          </w:p>
          <w:p w14:paraId="63F97C13" w14:textId="77777777" w:rsidR="00D567B5" w:rsidRPr="000451C6" w:rsidRDefault="00D567B5" w:rsidP="00D567B5">
            <w:pPr>
              <w:ind w:left="720"/>
              <w:rPr>
                <w:sz w:val="20"/>
                <w:szCs w:val="20"/>
              </w:rPr>
            </w:pPr>
          </w:p>
        </w:tc>
        <w:tc>
          <w:tcPr>
            <w:tcW w:w="3605" w:type="dxa"/>
            <w:tcBorders>
              <w:top w:val="single" w:sz="8" w:space="0" w:color="002345"/>
              <w:left w:val="nil"/>
              <w:bottom w:val="single" w:sz="8" w:space="0" w:color="002345"/>
            </w:tcBorders>
            <w:shd w:val="clear" w:color="auto" w:fill="F2F2F2" w:themeFill="background1" w:themeFillShade="F2"/>
            <w:tcMar>
              <w:top w:w="72" w:type="dxa"/>
              <w:left w:w="144" w:type="dxa"/>
              <w:bottom w:w="72" w:type="dxa"/>
              <w:right w:w="144" w:type="dxa"/>
            </w:tcMar>
          </w:tcPr>
          <w:p w14:paraId="7519D046" w14:textId="77777777" w:rsidR="00D567B5" w:rsidRPr="000451C6" w:rsidRDefault="00D567B5" w:rsidP="00D567B5">
            <w:pPr>
              <w:numPr>
                <w:ilvl w:val="0"/>
                <w:numId w:val="17"/>
              </w:numPr>
              <w:rPr>
                <w:sz w:val="20"/>
                <w:szCs w:val="20"/>
              </w:rPr>
            </w:pPr>
            <w:r w:rsidRPr="000451C6">
              <w:rPr>
                <w:sz w:val="20"/>
                <w:szCs w:val="20"/>
              </w:rPr>
              <w:t>Developing a National competition policy including regulatory and institutional mechanisms for implementation.</w:t>
            </w:r>
          </w:p>
        </w:tc>
        <w:tc>
          <w:tcPr>
            <w:tcW w:w="2267" w:type="dxa"/>
            <w:tcBorders>
              <w:top w:val="single" w:sz="8" w:space="0" w:color="002345"/>
              <w:bottom w:val="single" w:sz="8" w:space="0" w:color="002345"/>
            </w:tcBorders>
            <w:shd w:val="clear" w:color="auto" w:fill="F2F2F2" w:themeFill="background1" w:themeFillShade="F2"/>
          </w:tcPr>
          <w:p w14:paraId="7A57F26E" w14:textId="77777777" w:rsidR="00D567B5" w:rsidRPr="000451C6" w:rsidRDefault="00D567B5">
            <w:pPr>
              <w:numPr>
                <w:ilvl w:val="0"/>
                <w:numId w:val="17"/>
              </w:numPr>
              <w:rPr>
                <w:sz w:val="20"/>
                <w:szCs w:val="20"/>
              </w:rPr>
            </w:pPr>
            <w:r>
              <w:rPr>
                <w:sz w:val="20"/>
                <w:szCs w:val="20"/>
              </w:rPr>
              <w:t>Short</w:t>
            </w:r>
          </w:p>
        </w:tc>
        <w:tc>
          <w:tcPr>
            <w:tcW w:w="2004" w:type="dxa"/>
            <w:tcBorders>
              <w:top w:val="single" w:sz="8" w:space="0" w:color="002345"/>
              <w:left w:val="nil"/>
              <w:bottom w:val="single" w:sz="8" w:space="0" w:color="002345"/>
              <w:right w:val="nil"/>
            </w:tcBorders>
            <w:shd w:val="clear" w:color="auto" w:fill="F2F2F2" w:themeFill="background1" w:themeFillShade="F2"/>
          </w:tcPr>
          <w:p w14:paraId="1AFC6079" w14:textId="77777777" w:rsidR="00D567B5" w:rsidRPr="00512EFD" w:rsidRDefault="009950A4" w:rsidP="000451C6">
            <w:pPr>
              <w:ind w:left="360"/>
              <w:jc w:val="center"/>
              <w:rPr>
                <w:sz w:val="20"/>
                <w:szCs w:val="20"/>
              </w:rPr>
            </w:pPr>
            <w:r>
              <w:rPr>
                <w:sz w:val="20"/>
                <w:szCs w:val="20"/>
              </w:rPr>
              <w:t xml:space="preserve">Medium </w:t>
            </w:r>
          </w:p>
        </w:tc>
        <w:tc>
          <w:tcPr>
            <w:tcW w:w="1891" w:type="dxa"/>
            <w:tcBorders>
              <w:top w:val="single" w:sz="8" w:space="0" w:color="002345"/>
              <w:left w:val="nil"/>
              <w:bottom w:val="single" w:sz="8" w:space="0" w:color="002345"/>
              <w:right w:val="single" w:sz="8" w:space="0" w:color="002345"/>
            </w:tcBorders>
            <w:shd w:val="clear" w:color="auto" w:fill="F2F2F2" w:themeFill="background1" w:themeFillShade="F2"/>
          </w:tcPr>
          <w:p w14:paraId="5F0DB4D5" w14:textId="77777777" w:rsidR="00D567B5" w:rsidRPr="00512EFD" w:rsidRDefault="00D567B5" w:rsidP="000451C6">
            <w:pPr>
              <w:jc w:val="center"/>
              <w:rPr>
                <w:sz w:val="20"/>
                <w:szCs w:val="20"/>
              </w:rPr>
            </w:pPr>
            <w:r>
              <w:rPr>
                <w:sz w:val="20"/>
                <w:szCs w:val="20"/>
              </w:rPr>
              <w:t>High</w:t>
            </w:r>
          </w:p>
        </w:tc>
      </w:tr>
    </w:tbl>
    <w:p w14:paraId="2D28A4E7" w14:textId="77777777" w:rsidR="00BA7EF3" w:rsidRDefault="00BA7EF3" w:rsidP="00BA7EF3"/>
    <w:p w14:paraId="0B4AFD26" w14:textId="77777777" w:rsidR="00BA7EF3" w:rsidRDefault="00BA7EF3" w:rsidP="00BA7EF3"/>
    <w:p w14:paraId="56DE5C5E" w14:textId="77777777" w:rsidR="00BA7EF3" w:rsidRDefault="00BA7EF3" w:rsidP="00BA7EF3">
      <w:pPr>
        <w:sectPr w:rsidR="00BA7EF3" w:rsidSect="00BA7EF3">
          <w:pgSz w:w="15840" w:h="12240" w:orient="landscape"/>
          <w:pgMar w:top="1440" w:right="1440" w:bottom="1440" w:left="1440" w:header="720" w:footer="720" w:gutter="0"/>
          <w:cols w:space="720"/>
          <w:docGrid w:linePitch="360"/>
        </w:sectPr>
      </w:pPr>
    </w:p>
    <w:p w14:paraId="2B8A5984" w14:textId="34909142" w:rsidR="00B93661" w:rsidRPr="00487B59" w:rsidRDefault="00BD4FC6" w:rsidP="00B93661">
      <w:pPr>
        <w:jc w:val="both"/>
      </w:pPr>
      <w:bookmarkStart w:id="29" w:name="_Ref11854152"/>
      <w:r w:rsidRPr="00BD4FC6">
        <w:rPr>
          <w:rFonts w:cstheme="minorHAnsi"/>
          <w:b/>
        </w:rPr>
        <w:t xml:space="preserve">Figure </w:t>
      </w:r>
      <w:r w:rsidRPr="00246D05">
        <w:rPr>
          <w:rFonts w:cstheme="minorHAnsi"/>
          <w:b/>
        </w:rPr>
        <w:fldChar w:fldCharType="begin"/>
      </w:r>
      <w:r w:rsidRPr="00246D05">
        <w:rPr>
          <w:rFonts w:cstheme="minorHAnsi"/>
          <w:b/>
        </w:rPr>
        <w:instrText xml:space="preserve"> SEQ Figure \* ARABIC </w:instrText>
      </w:r>
      <w:r w:rsidRPr="00246D05">
        <w:rPr>
          <w:rFonts w:cstheme="minorHAnsi"/>
          <w:b/>
        </w:rPr>
        <w:fldChar w:fldCharType="separate"/>
      </w:r>
      <w:r w:rsidR="00A31FAC">
        <w:rPr>
          <w:rFonts w:cstheme="minorHAnsi"/>
          <w:b/>
          <w:noProof/>
        </w:rPr>
        <w:t>5</w:t>
      </w:r>
      <w:r w:rsidRPr="00246D05">
        <w:rPr>
          <w:rFonts w:cstheme="minorHAnsi"/>
          <w:b/>
        </w:rPr>
        <w:fldChar w:fldCharType="end"/>
      </w:r>
      <w:bookmarkEnd w:id="29"/>
      <w:r w:rsidR="00B93661" w:rsidRPr="00BD4FC6">
        <w:rPr>
          <w:b/>
        </w:rPr>
        <w:t xml:space="preserve">. </w:t>
      </w:r>
      <w:r w:rsidRPr="00BD4FC6">
        <w:rPr>
          <w:b/>
        </w:rPr>
        <w:t>Sh</w:t>
      </w:r>
      <w:r>
        <w:rPr>
          <w:b/>
        </w:rPr>
        <w:t>ort term a</w:t>
      </w:r>
      <w:r w:rsidR="00B93661" w:rsidRPr="00487B59">
        <w:rPr>
          <w:b/>
        </w:rPr>
        <w:t xml:space="preserve">ctionable areas for potential support to the </w:t>
      </w:r>
      <w:proofErr w:type="spellStart"/>
      <w:r w:rsidR="00B93661" w:rsidRPr="00487B59">
        <w:rPr>
          <w:b/>
        </w:rPr>
        <w:t>G</w:t>
      </w:r>
      <w:r w:rsidR="00B93661">
        <w:rPr>
          <w:b/>
        </w:rPr>
        <w:t>oA</w:t>
      </w:r>
      <w:proofErr w:type="spellEnd"/>
      <w:r w:rsidR="00B93661" w:rsidRPr="00487B59">
        <w:rPr>
          <w:b/>
        </w:rPr>
        <w:t xml:space="preserve"> </w:t>
      </w:r>
    </w:p>
    <w:p w14:paraId="7598EED9" w14:textId="77777777" w:rsidR="00B93661" w:rsidRPr="002B19EA" w:rsidRDefault="00B93661" w:rsidP="00B93661">
      <w:pPr>
        <w:jc w:val="both"/>
        <w:rPr>
          <w:highlight w:val="yellow"/>
        </w:rPr>
      </w:pPr>
    </w:p>
    <w:p w14:paraId="070FE921" w14:textId="77777777" w:rsidR="00B93661" w:rsidRPr="002B19EA" w:rsidRDefault="00B93661" w:rsidP="00B93661">
      <w:pPr>
        <w:jc w:val="both"/>
        <w:rPr>
          <w:highlight w:val="yellow"/>
        </w:rPr>
      </w:pPr>
      <w:bookmarkStart w:id="30" w:name="_GoBack"/>
      <w:r w:rsidRPr="002B19EA">
        <w:rPr>
          <w:noProof/>
          <w:highlight w:val="yellow"/>
        </w:rPr>
        <w:drawing>
          <wp:inline distT="0" distB="0" distL="0" distR="0" wp14:anchorId="279F6160" wp14:editId="28675DFE">
            <wp:extent cx="5943600" cy="452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526280"/>
                    </a:xfrm>
                    <a:prstGeom prst="rect">
                      <a:avLst/>
                    </a:prstGeom>
                  </pic:spPr>
                </pic:pic>
              </a:graphicData>
            </a:graphic>
          </wp:inline>
        </w:drawing>
      </w:r>
      <w:bookmarkEnd w:id="30"/>
    </w:p>
    <w:p w14:paraId="086F58DB" w14:textId="77777777" w:rsidR="00B93661" w:rsidRPr="00AB5EE9" w:rsidRDefault="00B93661" w:rsidP="00B93661">
      <w:pPr>
        <w:rPr>
          <w:rFonts w:asciiTheme="minorHAnsi" w:eastAsia="Times New Roman" w:hAnsiTheme="minorHAnsi" w:cstheme="minorHAnsi"/>
        </w:rPr>
      </w:pPr>
    </w:p>
    <w:p w14:paraId="32B07013" w14:textId="77777777" w:rsidR="00B93661" w:rsidRDefault="00B93661" w:rsidP="00B93661">
      <w:pPr>
        <w:jc w:val="both"/>
      </w:pPr>
    </w:p>
    <w:p w14:paraId="35C84A51" w14:textId="77777777" w:rsidR="00B93661" w:rsidRDefault="00B93661" w:rsidP="00B93661">
      <w:pPr>
        <w:jc w:val="both"/>
      </w:pPr>
    </w:p>
    <w:p w14:paraId="5FD7CEDB" w14:textId="77777777" w:rsidR="00BA7EF3" w:rsidRPr="00BA7EF3" w:rsidRDefault="00BA7EF3" w:rsidP="00BA7EF3"/>
    <w:sectPr w:rsidR="00BA7EF3" w:rsidRPr="00BA7EF3" w:rsidSect="00BA7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7943" w14:textId="77777777" w:rsidR="00BA237E" w:rsidRDefault="00BA237E" w:rsidP="00C51944">
      <w:r>
        <w:separator/>
      </w:r>
    </w:p>
  </w:endnote>
  <w:endnote w:type="continuationSeparator" w:id="0">
    <w:p w14:paraId="6912C898" w14:textId="77777777" w:rsidR="00BA237E" w:rsidRDefault="00BA237E" w:rsidP="00C51944">
      <w:r>
        <w:continuationSeparator/>
      </w:r>
    </w:p>
  </w:endnote>
  <w:endnote w:type="continuationNotice" w:id="1">
    <w:p w14:paraId="56D4B00B" w14:textId="77777777" w:rsidR="00BA237E" w:rsidRDefault="00BA2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709251"/>
      <w:docPartObj>
        <w:docPartGallery w:val="Page Numbers (Bottom of Page)"/>
        <w:docPartUnique/>
      </w:docPartObj>
    </w:sdtPr>
    <w:sdtEndPr>
      <w:rPr>
        <w:noProof/>
      </w:rPr>
    </w:sdtEndPr>
    <w:sdtContent>
      <w:p w14:paraId="4E25E196" w14:textId="77777777" w:rsidR="00E03095" w:rsidRDefault="00E03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4C06C5" w14:textId="77777777" w:rsidR="00E03095" w:rsidRDefault="00E0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B0EB7" w14:textId="77777777" w:rsidR="00BA237E" w:rsidRDefault="00BA237E" w:rsidP="00C51944">
      <w:r>
        <w:separator/>
      </w:r>
    </w:p>
  </w:footnote>
  <w:footnote w:type="continuationSeparator" w:id="0">
    <w:p w14:paraId="1AA6A68F" w14:textId="77777777" w:rsidR="00BA237E" w:rsidRDefault="00BA237E" w:rsidP="00C51944">
      <w:r>
        <w:continuationSeparator/>
      </w:r>
    </w:p>
  </w:footnote>
  <w:footnote w:type="continuationNotice" w:id="1">
    <w:p w14:paraId="582B4A9F" w14:textId="77777777" w:rsidR="00BA237E" w:rsidRDefault="00BA237E"/>
  </w:footnote>
  <w:footnote w:id="2">
    <w:p w14:paraId="24831C70" w14:textId="77777777" w:rsidR="009A310E" w:rsidRPr="004D1154" w:rsidRDefault="009A310E" w:rsidP="009A310E">
      <w:pPr>
        <w:pStyle w:val="FootnoteText"/>
      </w:pPr>
      <w:r w:rsidRPr="00246D05">
        <w:rPr>
          <w:rStyle w:val="FootnoteReference"/>
          <w:sz w:val="18"/>
          <w:szCs w:val="18"/>
        </w:rPr>
        <w:footnoteRef/>
      </w:r>
      <w:r w:rsidRPr="00246D05">
        <w:rPr>
          <w:sz w:val="18"/>
          <w:szCs w:val="18"/>
        </w:rPr>
        <w:t xml:space="preserve"> </w:t>
      </w:r>
      <w:r w:rsidRPr="00246D05">
        <w:rPr>
          <w:sz w:val="18"/>
          <w:szCs w:val="18"/>
          <w:lang w:val="en"/>
        </w:rPr>
        <w:t>As an example of this channel, Carlin et al. (2004) show, using a dataset of about 4,000 firms in 24 transition countries, that firms facing between one and three competitors saw real sales grow by almost 11 percent on average over three years, while monopolists suffered from a 1 percent decline in real sales. Similarly, Nickell (1996) found that a 10 percent increase in price markups resulted on average in a 1.3–1.6 percent loss in total factor productivity growth.</w:t>
      </w:r>
    </w:p>
  </w:footnote>
  <w:footnote w:id="3">
    <w:p w14:paraId="54E6C8C2" w14:textId="77777777" w:rsidR="009A310E" w:rsidRPr="00246D05" w:rsidRDefault="009A310E" w:rsidP="009A310E">
      <w:pPr>
        <w:pStyle w:val="FootnoteText"/>
        <w:rPr>
          <w:sz w:val="18"/>
          <w:szCs w:val="18"/>
        </w:rPr>
      </w:pPr>
      <w:r w:rsidRPr="00246D05">
        <w:rPr>
          <w:rStyle w:val="FootnoteReference"/>
          <w:sz w:val="18"/>
          <w:szCs w:val="18"/>
        </w:rPr>
        <w:footnoteRef/>
      </w:r>
      <w:r w:rsidRPr="00246D05">
        <w:rPr>
          <w:sz w:val="18"/>
          <w:szCs w:val="18"/>
        </w:rPr>
        <w:t xml:space="preserve"> </w:t>
      </w:r>
      <w:r w:rsidRPr="00246D05">
        <w:rPr>
          <w:sz w:val="18"/>
          <w:szCs w:val="18"/>
          <w:lang w:val="en"/>
        </w:rPr>
        <w:t xml:space="preserve">Barone and </w:t>
      </w:r>
      <w:proofErr w:type="spellStart"/>
      <w:r w:rsidRPr="00246D05">
        <w:rPr>
          <w:sz w:val="18"/>
          <w:szCs w:val="18"/>
          <w:lang w:val="en"/>
        </w:rPr>
        <w:t>Cingano</w:t>
      </w:r>
      <w:proofErr w:type="spellEnd"/>
      <w:r w:rsidRPr="00246D05">
        <w:rPr>
          <w:sz w:val="18"/>
          <w:szCs w:val="18"/>
          <w:lang w:val="en"/>
        </w:rPr>
        <w:t xml:space="preserve"> (2011) show that in OECD countries, pro-competition reforms in input services sectors (telecommunication, transport, energy and professional services) increase value added, productivity and export growth of downstream service-intensive sectors.</w:t>
      </w:r>
    </w:p>
  </w:footnote>
  <w:footnote w:id="4">
    <w:p w14:paraId="73B49346" w14:textId="77777777" w:rsidR="00E93055" w:rsidRPr="00E67EB7" w:rsidRDefault="00E93055" w:rsidP="00E93055">
      <w:pPr>
        <w:pStyle w:val="FootnoteText"/>
        <w:jc w:val="both"/>
        <w:rPr>
          <w:rFonts w:asciiTheme="minorHAnsi" w:hAnsiTheme="minorHAnsi" w:cstheme="minorHAnsi"/>
          <w:color w:val="000000" w:themeColor="text1"/>
          <w:sz w:val="18"/>
          <w:szCs w:val="18"/>
        </w:rPr>
      </w:pPr>
      <w:r w:rsidRPr="004631D9">
        <w:rPr>
          <w:rStyle w:val="FootnoteReference"/>
          <w:rFonts w:asciiTheme="minorHAnsi" w:hAnsiTheme="minorHAnsi" w:cstheme="minorHAnsi"/>
          <w:color w:val="000000" w:themeColor="text1"/>
          <w:sz w:val="18"/>
          <w:szCs w:val="18"/>
        </w:rPr>
        <w:footnoteRef/>
      </w:r>
      <w:r w:rsidRPr="004631D9">
        <w:rPr>
          <w:rFonts w:asciiTheme="minorHAnsi" w:hAnsiTheme="minorHAnsi" w:cstheme="minorHAnsi"/>
          <w:color w:val="000000" w:themeColor="text1"/>
          <w:sz w:val="18"/>
          <w:szCs w:val="18"/>
        </w:rPr>
        <w:t xml:space="preserve"> See World Bank (2017). A Step Ahead: Competition Policy for shared Prosperity and Inclusive Growth. Washingt</w:t>
      </w:r>
      <w:r w:rsidRPr="00E67EB7">
        <w:rPr>
          <w:rFonts w:asciiTheme="minorHAnsi" w:hAnsiTheme="minorHAnsi" w:cstheme="minorHAnsi"/>
          <w:color w:val="000000" w:themeColor="text1"/>
          <w:sz w:val="18"/>
          <w:szCs w:val="18"/>
        </w:rPr>
        <w:t>on, D.C.</w:t>
      </w:r>
    </w:p>
  </w:footnote>
  <w:footnote w:id="5">
    <w:p w14:paraId="0EE4A426" w14:textId="77777777" w:rsidR="00E03095" w:rsidRPr="0000726F" w:rsidRDefault="00E03095" w:rsidP="0000726F">
      <w:pPr>
        <w:pStyle w:val="o1"/>
        <w:spacing w:before="0"/>
        <w:rPr>
          <w:color w:val="000000" w:themeColor="text1"/>
          <w:sz w:val="18"/>
          <w:szCs w:val="18"/>
          <w:lang w:val="en-US"/>
        </w:rPr>
      </w:pPr>
      <w:r w:rsidRPr="004631D9">
        <w:rPr>
          <w:rStyle w:val="FootnoteReference"/>
          <w:color w:val="000000" w:themeColor="text1"/>
          <w:sz w:val="18"/>
          <w:szCs w:val="18"/>
        </w:rPr>
        <w:footnoteRef/>
      </w:r>
      <w:r w:rsidRPr="004631D9">
        <w:rPr>
          <w:color w:val="000000" w:themeColor="text1"/>
          <w:sz w:val="18"/>
          <w:szCs w:val="18"/>
          <w:lang w:val="en-US"/>
        </w:rPr>
        <w:t xml:space="preserve"> </w:t>
      </w:r>
      <w:r w:rsidRPr="00E67EB7">
        <w:rPr>
          <w:color w:val="000000" w:themeColor="text1"/>
          <w:sz w:val="18"/>
          <w:szCs w:val="18"/>
          <w:lang w:val="en"/>
        </w:rPr>
        <w:t xml:space="preserve">Massimo Motta. 2004. Competition Policy. </w:t>
      </w:r>
      <w:hyperlink r:id="rId1" w:history="1">
        <w:r w:rsidRPr="00E67EB7">
          <w:rPr>
            <w:rStyle w:val="Hyperlink1"/>
            <w:color w:val="000000" w:themeColor="text1"/>
            <w:sz w:val="18"/>
            <w:szCs w:val="18"/>
            <w:u w:val="none"/>
            <w:lang w:val="en"/>
          </w:rPr>
          <w:t>Cambridge Books</w:t>
        </w:r>
      </w:hyperlink>
      <w:r w:rsidRPr="004631D9">
        <w:rPr>
          <w:color w:val="000000" w:themeColor="text1"/>
          <w:sz w:val="18"/>
          <w:szCs w:val="18"/>
          <w:lang w:val="en"/>
        </w:rPr>
        <w:t>,</w:t>
      </w:r>
      <w:r w:rsidRPr="00E67EB7">
        <w:rPr>
          <w:color w:val="000000" w:themeColor="text1"/>
          <w:sz w:val="18"/>
          <w:szCs w:val="18"/>
          <w:lang w:val="en"/>
        </w:rPr>
        <w:t xml:space="preserve"> Cambridge University Press.</w:t>
      </w:r>
    </w:p>
  </w:footnote>
  <w:footnote w:id="6">
    <w:p w14:paraId="1A4D972E" w14:textId="77777777" w:rsidR="000A54BB" w:rsidRDefault="000A54BB" w:rsidP="000A54BB">
      <w:pPr>
        <w:pStyle w:val="FootnoteText"/>
        <w:jc w:val="both"/>
        <w:rPr>
          <w:rFonts w:asciiTheme="minorHAnsi" w:hAnsiTheme="minorHAnsi" w:cstheme="minorBidi"/>
          <w:sz w:val="18"/>
          <w:szCs w:val="18"/>
        </w:rPr>
      </w:pPr>
      <w:r>
        <w:rPr>
          <w:rStyle w:val="FootnoteReference"/>
          <w:sz w:val="18"/>
          <w:szCs w:val="18"/>
        </w:rPr>
        <w:footnoteRef/>
      </w:r>
      <w:r>
        <w:rPr>
          <w:sz w:val="18"/>
          <w:szCs w:val="18"/>
        </w:rPr>
        <w:t xml:space="preserve"> </w:t>
      </w:r>
      <w:r>
        <w:rPr>
          <w:rFonts w:cs="Times New Roman"/>
          <w:color w:val="000000"/>
          <w:sz w:val="18"/>
          <w:szCs w:val="18"/>
        </w:rPr>
        <w:t>Armenia has improved its performance in business climate indicators in recent years, increasing its Distance to Frontier ranking in the Doing Business Index (DBI) from 61 in 2010 to 74 in 2017. Armenia has also seen some improvement in its ranking in the Global Competitiveness Index (GCI) from 97 in 2009-10 to 73 in 2017-18.</w:t>
      </w:r>
    </w:p>
  </w:footnote>
  <w:footnote w:id="7">
    <w:p w14:paraId="48C188C1" w14:textId="77777777" w:rsidR="00CB665B" w:rsidRDefault="00CB665B" w:rsidP="00CB665B">
      <w:pPr>
        <w:pStyle w:val="FootnoteText"/>
        <w:jc w:val="both"/>
        <w:rPr>
          <w:rFonts w:asciiTheme="minorHAnsi" w:hAnsiTheme="minorHAnsi" w:cstheme="minorBidi"/>
          <w:sz w:val="18"/>
          <w:szCs w:val="18"/>
        </w:rPr>
      </w:pPr>
      <w:r>
        <w:rPr>
          <w:rStyle w:val="FootnoteReference"/>
          <w:sz w:val="18"/>
          <w:szCs w:val="18"/>
        </w:rPr>
        <w:footnoteRef/>
      </w:r>
      <w:r>
        <w:rPr>
          <w:sz w:val="18"/>
          <w:szCs w:val="18"/>
        </w:rPr>
        <w:t xml:space="preserve"> Such figures are confirmed by the analysis of the Bertelsmann Stiftung’s Transformation Index (BTI), which is derived </w:t>
      </w:r>
      <w:proofErr w:type="gramStart"/>
      <w:r>
        <w:rPr>
          <w:sz w:val="18"/>
          <w:szCs w:val="18"/>
        </w:rPr>
        <w:t>on the basis of</w:t>
      </w:r>
      <w:proofErr w:type="gramEnd"/>
      <w:r>
        <w:rPr>
          <w:sz w:val="18"/>
          <w:szCs w:val="18"/>
        </w:rPr>
        <w:t xml:space="preserve"> experts’ assessments. According to 2016 data, Armenia scored 5 out of 10 on the extent to which the fundamentals of market-based competition are in place; and 6 out of 10 on the extent to which rules prevent the development of economic monopolies and cartels, below the regional average of 6.5 and 7.1, respectively.</w:t>
      </w:r>
    </w:p>
  </w:footnote>
  <w:footnote w:id="8">
    <w:p w14:paraId="2179BE5E" w14:textId="77777777" w:rsidR="006D3217" w:rsidRDefault="006D3217" w:rsidP="006D3217">
      <w:pPr>
        <w:pStyle w:val="FootnoteText"/>
        <w:jc w:val="both"/>
        <w:rPr>
          <w:rFonts w:asciiTheme="minorHAnsi" w:hAnsiTheme="minorHAnsi" w:cstheme="minorBidi"/>
          <w:sz w:val="18"/>
          <w:szCs w:val="18"/>
        </w:rPr>
      </w:pPr>
      <w:r>
        <w:rPr>
          <w:rStyle w:val="FootnoteReference"/>
          <w:sz w:val="18"/>
          <w:szCs w:val="18"/>
        </w:rPr>
        <w:footnoteRef/>
      </w:r>
      <w:r>
        <w:rPr>
          <w:sz w:val="18"/>
          <w:szCs w:val="18"/>
        </w:rPr>
        <w:t xml:space="preserve"> </w:t>
      </w:r>
      <w:r>
        <w:rPr>
          <w:rFonts w:cs="Times New Roman"/>
          <w:sz w:val="18"/>
          <w:szCs w:val="18"/>
        </w:rPr>
        <w:t>The HHI is a commonly accepted measure of concentration that characterizes market structure.</w:t>
      </w:r>
      <w:r>
        <w:rPr>
          <w:sz w:val="18"/>
          <w:szCs w:val="18"/>
        </w:rPr>
        <w:t xml:space="preserve"> </w:t>
      </w:r>
      <w:r>
        <w:rPr>
          <w:rFonts w:cs="Arial"/>
          <w:sz w:val="18"/>
          <w:szCs w:val="18"/>
        </w:rPr>
        <w:t xml:space="preserve">The HHI is calculated by squaring the market share of each firm participating in a </w:t>
      </w:r>
      <w:proofErr w:type="gramStart"/>
      <w:r>
        <w:rPr>
          <w:rFonts w:cs="Arial"/>
          <w:sz w:val="18"/>
          <w:szCs w:val="18"/>
        </w:rPr>
        <w:t>particular market</w:t>
      </w:r>
      <w:proofErr w:type="gramEnd"/>
      <w:r>
        <w:rPr>
          <w:rFonts w:cs="Arial"/>
          <w:sz w:val="18"/>
          <w:szCs w:val="18"/>
        </w:rPr>
        <w:t xml:space="preserve"> and summing up the resulting numbers. </w:t>
      </w:r>
      <w:r>
        <w:rPr>
          <w:rFonts w:cs="Times New Roman"/>
          <w:sz w:val="18"/>
          <w:szCs w:val="18"/>
        </w:rPr>
        <w:t xml:space="preserve">This index started to be used extensively since 1984 – when the US Department of Justice included it </w:t>
      </w:r>
      <w:r>
        <w:rPr>
          <w:rFonts w:cs="Arial"/>
          <w:sz w:val="18"/>
          <w:szCs w:val="18"/>
        </w:rPr>
        <w:t>in its merger guidelines - and now its application is standard by competition authorities and the competition policy community.</w:t>
      </w:r>
    </w:p>
  </w:footnote>
  <w:footnote w:id="9">
    <w:p w14:paraId="5688F34A" w14:textId="77777777" w:rsidR="006D3217" w:rsidRDefault="006D3217" w:rsidP="006D3217">
      <w:pPr>
        <w:pStyle w:val="FootnoteText"/>
        <w:jc w:val="both"/>
        <w:rPr>
          <w:rFonts w:cs="Times New Roman"/>
          <w:sz w:val="18"/>
          <w:szCs w:val="18"/>
        </w:rPr>
      </w:pPr>
      <w:r>
        <w:rPr>
          <w:rStyle w:val="FootnoteReference"/>
          <w:sz w:val="18"/>
          <w:szCs w:val="18"/>
        </w:rPr>
        <w:footnoteRef/>
      </w:r>
      <w:r>
        <w:rPr>
          <w:sz w:val="18"/>
          <w:szCs w:val="18"/>
        </w:rPr>
        <w:t xml:space="preserve"> </w:t>
      </w:r>
      <w:r>
        <w:rPr>
          <w:rFonts w:cs="Times New Roman"/>
          <w:sz w:val="18"/>
          <w:szCs w:val="18"/>
        </w:rPr>
        <w:t>Defined as subsectors with Herfindahl-Hirschman (HHI) index above 2,500.</w:t>
      </w:r>
      <w:r>
        <w:rPr>
          <w:sz w:val="18"/>
          <w:szCs w:val="18"/>
        </w:rPr>
        <w:t xml:space="preserve"> </w:t>
      </w:r>
      <w:r>
        <w:rPr>
          <w:rFonts w:cs="Arial"/>
          <w:sz w:val="18"/>
          <w:szCs w:val="18"/>
        </w:rPr>
        <w:t xml:space="preserve">Taking as reference standard HHI thresholds, markets are classified as unconcentrated (HHI below 1500), moderately concentrated (HHI between 1500 and 2500) and highly concentrated (HHI above 2500). </w:t>
      </w:r>
    </w:p>
    <w:p w14:paraId="5EEA413C" w14:textId="77777777" w:rsidR="006D3217" w:rsidRDefault="006D3217" w:rsidP="006D3217">
      <w:pPr>
        <w:pStyle w:val="FootnoteText"/>
        <w:rPr>
          <w:rFonts w:cstheme="minorBidi"/>
        </w:rPr>
      </w:pPr>
    </w:p>
  </w:footnote>
  <w:footnote w:id="10">
    <w:p w14:paraId="4F4189C9" w14:textId="77777777" w:rsidR="000D57EA" w:rsidRPr="00FF235E" w:rsidRDefault="000D57EA" w:rsidP="000D57EA">
      <w:pPr>
        <w:pStyle w:val="FootnoteText"/>
        <w:jc w:val="both"/>
        <w:rPr>
          <w:lang w:val="hr-HR"/>
        </w:rPr>
      </w:pPr>
      <w:r>
        <w:rPr>
          <w:rStyle w:val="FootnoteReference"/>
        </w:rPr>
        <w:footnoteRef/>
      </w:r>
      <w:r>
        <w:t xml:space="preserve"> </w:t>
      </w:r>
      <w:r w:rsidRPr="00FF235E">
        <w:t>Consistent with the World Bank Markets and Competition Policy Assessment Toolkit (MCPAT), Government interventions described are considered to include Government policies, regulations, rules, procedures and actions of Government officials that affect decisions made by market players regarding economic matters</w:t>
      </w:r>
      <w:r>
        <w:t>.</w:t>
      </w:r>
    </w:p>
  </w:footnote>
  <w:footnote w:id="11">
    <w:p w14:paraId="11986E71" w14:textId="77777777" w:rsidR="00E03095" w:rsidRPr="00246D05" w:rsidRDefault="00E03095">
      <w:pPr>
        <w:pStyle w:val="FootnoteText"/>
        <w:rPr>
          <w:sz w:val="18"/>
          <w:szCs w:val="18"/>
        </w:rPr>
      </w:pPr>
      <w:r w:rsidRPr="00246D05">
        <w:rPr>
          <w:rStyle w:val="FootnoteReference"/>
          <w:sz w:val="18"/>
        </w:rPr>
        <w:footnoteRef/>
      </w:r>
      <w:r w:rsidRPr="00246D05">
        <w:rPr>
          <w:sz w:val="18"/>
          <w:szCs w:val="18"/>
        </w:rPr>
        <w:t xml:space="preserve"> Article 16 of a 2008 regulatory law (“Ra Law About Railway Transport”) references an equal access provision.</w:t>
      </w:r>
    </w:p>
  </w:footnote>
  <w:footnote w:id="12">
    <w:p w14:paraId="1FD197B4" w14:textId="77777777" w:rsidR="00E03095" w:rsidRPr="00246D05" w:rsidRDefault="00E03095" w:rsidP="00246D05">
      <w:pPr>
        <w:pStyle w:val="FootnoteText"/>
        <w:ind w:left="180" w:hanging="180"/>
        <w:rPr>
          <w:sz w:val="18"/>
        </w:rPr>
      </w:pPr>
      <w:r w:rsidRPr="00246D05">
        <w:rPr>
          <w:rStyle w:val="FootnoteReference"/>
          <w:sz w:val="18"/>
        </w:rPr>
        <w:footnoteRef/>
      </w:r>
      <w:r w:rsidRPr="00246D05">
        <w:rPr>
          <w:sz w:val="18"/>
        </w:rPr>
        <w:t xml:space="preserve"> </w:t>
      </w:r>
      <w:r w:rsidRPr="00246D05">
        <w:rPr>
          <w:sz w:val="18"/>
          <w:szCs w:val="18"/>
        </w:rPr>
        <w:t>Licenses are issued by the public administration body authorized by the RA Government (Paragraph 5, Article 7(1) of the RA Law on Railway Transport).</w:t>
      </w:r>
    </w:p>
  </w:footnote>
  <w:footnote w:id="13">
    <w:p w14:paraId="46B5A623" w14:textId="77777777" w:rsidR="00E03095" w:rsidRPr="00246D05" w:rsidRDefault="00E03095">
      <w:pPr>
        <w:pStyle w:val="FootnoteText"/>
        <w:rPr>
          <w:sz w:val="18"/>
          <w:szCs w:val="18"/>
        </w:rPr>
      </w:pPr>
      <w:r w:rsidRPr="00246D05">
        <w:rPr>
          <w:rStyle w:val="FootnoteReference"/>
          <w:sz w:val="18"/>
          <w:szCs w:val="18"/>
        </w:rPr>
        <w:footnoteRef/>
      </w:r>
      <w:r w:rsidRPr="00246D05">
        <w:rPr>
          <w:sz w:val="18"/>
          <w:szCs w:val="18"/>
        </w:rPr>
        <w:t xml:space="preserve"> Taking account movements in the Swiss France.</w:t>
      </w:r>
    </w:p>
  </w:footnote>
  <w:footnote w:id="14">
    <w:p w14:paraId="41B36D13" w14:textId="77777777" w:rsidR="00E03095" w:rsidRPr="006D31DD" w:rsidRDefault="00E03095">
      <w:pPr>
        <w:pStyle w:val="FootnoteText"/>
        <w:rPr>
          <w:szCs w:val="18"/>
        </w:rPr>
      </w:pPr>
      <w:r w:rsidRPr="00246D05">
        <w:rPr>
          <w:rStyle w:val="FootnoteReference"/>
          <w:sz w:val="18"/>
          <w:szCs w:val="18"/>
        </w:rPr>
        <w:footnoteRef/>
      </w:r>
      <w:r w:rsidRPr="00246D05">
        <w:rPr>
          <w:sz w:val="18"/>
          <w:szCs w:val="18"/>
        </w:rPr>
        <w:t xml:space="preserve"> World Bank Group, Armenia Public Expenditure Review, June </w:t>
      </w:r>
      <w:proofErr w:type="gramStart"/>
      <w:r w:rsidRPr="00246D05">
        <w:rPr>
          <w:sz w:val="18"/>
          <w:szCs w:val="18"/>
        </w:rPr>
        <w:t>30</w:t>
      </w:r>
      <w:proofErr w:type="gramEnd"/>
      <w:r w:rsidRPr="00246D05">
        <w:rPr>
          <w:sz w:val="18"/>
          <w:szCs w:val="18"/>
        </w:rPr>
        <w:t xml:space="preserve"> 2016.</w:t>
      </w:r>
    </w:p>
  </w:footnote>
  <w:footnote w:id="15">
    <w:p w14:paraId="14C66E04" w14:textId="77777777" w:rsidR="00E03095" w:rsidRPr="00246D05" w:rsidRDefault="00E03095" w:rsidP="000B0120">
      <w:pPr>
        <w:pStyle w:val="FootnoteText"/>
        <w:rPr>
          <w:sz w:val="18"/>
          <w:lang w:val="hr-HR"/>
        </w:rPr>
      </w:pPr>
      <w:r w:rsidRPr="00246D05">
        <w:rPr>
          <w:rStyle w:val="FootnoteReference"/>
          <w:sz w:val="18"/>
        </w:rPr>
        <w:footnoteRef/>
      </w:r>
      <w:r w:rsidRPr="00246D05">
        <w:rPr>
          <w:sz w:val="18"/>
        </w:rPr>
        <w:t xml:space="preserve"> </w:t>
      </w:r>
      <w:r w:rsidRPr="00246D05">
        <w:rPr>
          <w:sz w:val="18"/>
          <w:lang w:val="en-GB"/>
        </w:rPr>
        <w:t>Ibid p. 8;</w:t>
      </w:r>
    </w:p>
  </w:footnote>
  <w:footnote w:id="16">
    <w:p w14:paraId="0BDC1E51" w14:textId="0DCDBD90" w:rsidR="00C246B1" w:rsidRPr="00246D05" w:rsidRDefault="00C246B1" w:rsidP="00C246B1">
      <w:pPr>
        <w:pStyle w:val="FootnoteText"/>
        <w:rPr>
          <w:sz w:val="18"/>
        </w:rPr>
      </w:pPr>
      <w:r w:rsidRPr="00246D05">
        <w:rPr>
          <w:rStyle w:val="FootnoteReference"/>
          <w:sz w:val="18"/>
        </w:rPr>
        <w:footnoteRef/>
      </w:r>
      <w:r w:rsidRPr="00246D05">
        <w:rPr>
          <w:sz w:val="18"/>
        </w:rPr>
        <w:t xml:space="preserve"> </w:t>
      </w:r>
      <w:r w:rsidR="00DF112B" w:rsidRPr="00246D05">
        <w:rPr>
          <w:sz w:val="18"/>
        </w:rPr>
        <w:t xml:space="preserve">Note data for Armenia is from 2018, while </w:t>
      </w:r>
      <w:r w:rsidR="007338C0" w:rsidRPr="00246D05">
        <w:rPr>
          <w:sz w:val="18"/>
        </w:rPr>
        <w:t xml:space="preserve">data for comparator countries is </w:t>
      </w:r>
      <w:r w:rsidR="00D92440" w:rsidRPr="00246D05">
        <w:rPr>
          <w:sz w:val="18"/>
        </w:rPr>
        <w:t xml:space="preserve">from 2013 since this is the latest available from the PMR database. </w:t>
      </w:r>
      <w:r w:rsidRPr="00246D05">
        <w:rPr>
          <w:sz w:val="18"/>
        </w:rPr>
        <w:t xml:space="preserve">Database available at OECD website </w:t>
      </w:r>
      <w:hyperlink r:id="rId2" w:history="1">
        <w:r w:rsidRPr="00246D05">
          <w:rPr>
            <w:rStyle w:val="Hyperlink"/>
            <w:sz w:val="18"/>
            <w:lang w:val="en-GB"/>
          </w:rPr>
          <w:t>http://www.oecd.org/eco/reform/Database_PMR_.xlsx</w:t>
        </w:r>
      </w:hyperlink>
      <w:r w:rsidRPr="00246D05">
        <w:rPr>
          <w:rStyle w:val="Hyperlink"/>
          <w:sz w:val="18"/>
          <w:lang w:val="en-GB"/>
        </w:rPr>
        <w:t xml:space="preserve">. </w:t>
      </w:r>
    </w:p>
  </w:footnote>
  <w:footnote w:id="17">
    <w:p w14:paraId="4D06EB53" w14:textId="77777777" w:rsidR="00E03095" w:rsidRDefault="00E03095">
      <w:pPr>
        <w:pStyle w:val="FootnoteText"/>
      </w:pPr>
      <w:r w:rsidRPr="00246D05">
        <w:rPr>
          <w:rStyle w:val="FootnoteReference"/>
          <w:sz w:val="18"/>
        </w:rPr>
        <w:footnoteRef/>
      </w:r>
      <w:r w:rsidRPr="00246D05">
        <w:rPr>
          <w:sz w:val="18"/>
        </w:rPr>
        <w:t xml:space="preserve"> See Javier Campos, Pedro Cantos, ‘Rail Transport Regulation’ (1999) p. 42-43.</w:t>
      </w:r>
    </w:p>
  </w:footnote>
  <w:footnote w:id="18">
    <w:p w14:paraId="1D7EB98E" w14:textId="77777777" w:rsidR="00E03095" w:rsidRPr="00246D05" w:rsidRDefault="00E03095" w:rsidP="00837E84">
      <w:pPr>
        <w:pStyle w:val="FootnoteText"/>
        <w:jc w:val="both"/>
        <w:rPr>
          <w:sz w:val="18"/>
          <w:lang w:val="en-GB"/>
        </w:rPr>
      </w:pPr>
      <w:r w:rsidRPr="00246D05">
        <w:rPr>
          <w:rStyle w:val="FootnoteReference"/>
          <w:sz w:val="18"/>
        </w:rPr>
        <w:footnoteRef/>
      </w:r>
      <w:r w:rsidRPr="00246D05">
        <w:rPr>
          <w:sz w:val="18"/>
        </w:rPr>
        <w:t xml:space="preserve"> On vertical integration approach - </w:t>
      </w:r>
      <w:r w:rsidRPr="00246D05">
        <w:rPr>
          <w:sz w:val="18"/>
          <w:lang w:val="en-GB"/>
        </w:rPr>
        <w:t xml:space="preserve">OECD, Structural Reforms in Rail Industry (2005), p. 28; </w:t>
      </w:r>
      <w:r w:rsidRPr="00246D05">
        <w:rPr>
          <w:sz w:val="18"/>
        </w:rPr>
        <w:t xml:space="preserve">OECD, Recent Developments in Rail Transportation Services (2013) p. 11. </w:t>
      </w:r>
    </w:p>
  </w:footnote>
  <w:footnote w:id="19">
    <w:p w14:paraId="21A12D5E" w14:textId="77777777" w:rsidR="00E03095" w:rsidRPr="00246D05" w:rsidRDefault="00E03095">
      <w:pPr>
        <w:pStyle w:val="FootnoteText"/>
        <w:rPr>
          <w:sz w:val="18"/>
        </w:rPr>
      </w:pPr>
      <w:r w:rsidRPr="00246D05">
        <w:rPr>
          <w:rStyle w:val="FootnoteReference"/>
          <w:sz w:val="18"/>
        </w:rPr>
        <w:footnoteRef/>
      </w:r>
      <w:r w:rsidRPr="00246D05">
        <w:rPr>
          <w:sz w:val="18"/>
        </w:rPr>
        <w:t xml:space="preserve"> Ibid. p 10.</w:t>
      </w:r>
    </w:p>
  </w:footnote>
  <w:footnote w:id="20">
    <w:p w14:paraId="3F562C24" w14:textId="77777777" w:rsidR="00E03095" w:rsidRPr="00246D05" w:rsidRDefault="00E03095" w:rsidP="00BD51EB">
      <w:pPr>
        <w:pStyle w:val="FootnoteText"/>
        <w:rPr>
          <w:sz w:val="18"/>
          <w:lang w:val="en-GB"/>
        </w:rPr>
      </w:pPr>
      <w:r w:rsidRPr="00246D05">
        <w:rPr>
          <w:rStyle w:val="FootnoteReference"/>
          <w:sz w:val="18"/>
        </w:rPr>
        <w:footnoteRef/>
      </w:r>
      <w:r w:rsidRPr="00246D05">
        <w:rPr>
          <w:sz w:val="18"/>
        </w:rPr>
        <w:t xml:space="preserve"> </w:t>
      </w:r>
      <w:r w:rsidRPr="00246D05">
        <w:rPr>
          <w:sz w:val="18"/>
          <w:lang w:val="en-GB"/>
        </w:rPr>
        <w:t>Ibid, p. 153.</w:t>
      </w:r>
    </w:p>
  </w:footnote>
  <w:footnote w:id="21">
    <w:p w14:paraId="67E8355F" w14:textId="77777777" w:rsidR="00E03095" w:rsidRPr="00246D05" w:rsidRDefault="00E03095" w:rsidP="00BD51EB">
      <w:pPr>
        <w:pStyle w:val="FootnoteText"/>
        <w:rPr>
          <w:sz w:val="18"/>
          <w:lang w:val="en-GB"/>
        </w:rPr>
      </w:pPr>
      <w:r w:rsidRPr="00246D05">
        <w:rPr>
          <w:rStyle w:val="FootnoteReference"/>
          <w:sz w:val="18"/>
        </w:rPr>
        <w:footnoteRef/>
      </w:r>
      <w:r w:rsidRPr="00246D05">
        <w:rPr>
          <w:sz w:val="18"/>
        </w:rPr>
        <w:t xml:space="preserve"> Ibid, p. 158.</w:t>
      </w:r>
    </w:p>
  </w:footnote>
  <w:footnote w:id="22">
    <w:p w14:paraId="5254649D" w14:textId="77777777" w:rsidR="00E03095" w:rsidRPr="00F93DBF" w:rsidRDefault="00E03095" w:rsidP="00BD51EB">
      <w:pPr>
        <w:pStyle w:val="FootnoteText"/>
        <w:rPr>
          <w:lang w:val="en-GB"/>
        </w:rPr>
      </w:pPr>
      <w:r w:rsidRPr="00246D05">
        <w:rPr>
          <w:rStyle w:val="FootnoteReference"/>
          <w:sz w:val="18"/>
        </w:rPr>
        <w:footnoteRef/>
      </w:r>
      <w:r w:rsidRPr="00246D05">
        <w:rPr>
          <w:sz w:val="18"/>
        </w:rPr>
        <w:t xml:space="preserve"> Ibid, p. 145.</w:t>
      </w:r>
    </w:p>
  </w:footnote>
  <w:footnote w:id="23">
    <w:p w14:paraId="0AA4B27B" w14:textId="77777777" w:rsidR="00E03095" w:rsidRPr="00246D05" w:rsidRDefault="00E03095">
      <w:pPr>
        <w:pStyle w:val="FootnoteText"/>
        <w:rPr>
          <w:sz w:val="18"/>
          <w:lang w:val="hr-HR"/>
        </w:rPr>
      </w:pPr>
      <w:r w:rsidRPr="00246D05">
        <w:rPr>
          <w:rStyle w:val="FootnoteReference"/>
          <w:sz w:val="18"/>
        </w:rPr>
        <w:footnoteRef/>
      </w:r>
      <w:r w:rsidRPr="00246D05">
        <w:rPr>
          <w:sz w:val="18"/>
        </w:rPr>
        <w:t xml:space="preserve"> World Bank, Republic of Armenia Accumulation, Competition, and Connectivity (2013), xix</w:t>
      </w:r>
      <w:r w:rsidRPr="00246D05">
        <w:rPr>
          <w:sz w:val="18"/>
          <w:lang w:val="hr-HR"/>
        </w:rPr>
        <w:t>-xxi.</w:t>
      </w:r>
    </w:p>
  </w:footnote>
  <w:footnote w:id="24">
    <w:p w14:paraId="6B5FCB2F" w14:textId="77777777" w:rsidR="00E03095" w:rsidRPr="00246D05" w:rsidRDefault="00E03095" w:rsidP="002F16C2">
      <w:pPr>
        <w:pStyle w:val="FootnoteText"/>
        <w:rPr>
          <w:sz w:val="18"/>
          <w:lang w:val="hr-HR"/>
        </w:rPr>
      </w:pPr>
      <w:r w:rsidRPr="00246D05">
        <w:rPr>
          <w:rStyle w:val="FootnoteReference"/>
          <w:sz w:val="18"/>
        </w:rPr>
        <w:footnoteRef/>
      </w:r>
      <w:r w:rsidRPr="00246D05">
        <w:rPr>
          <w:sz w:val="18"/>
        </w:rPr>
        <w:t xml:space="preserve"> USAID, Enterprise Development and Market Competitiveness, Competitiveness of Armenia’s Air Transport Sector</w:t>
      </w:r>
    </w:p>
  </w:footnote>
  <w:footnote w:id="25">
    <w:p w14:paraId="5502B43F" w14:textId="77777777" w:rsidR="00E03095" w:rsidRPr="00246D05" w:rsidRDefault="00E03095" w:rsidP="006221F6">
      <w:pPr>
        <w:pStyle w:val="FootnoteText"/>
        <w:rPr>
          <w:sz w:val="18"/>
        </w:rPr>
      </w:pPr>
      <w:r w:rsidRPr="00246D05">
        <w:rPr>
          <w:rStyle w:val="FootnoteReference"/>
          <w:sz w:val="18"/>
        </w:rPr>
        <w:footnoteRef/>
      </w:r>
      <w:r w:rsidRPr="00246D05">
        <w:rPr>
          <w:sz w:val="18"/>
        </w:rPr>
        <w:t xml:space="preserve"> Along with Eu-Armenia CEPA (Comprehensive and Enhanced Partnership) Agreement</w:t>
      </w:r>
    </w:p>
  </w:footnote>
  <w:footnote w:id="26">
    <w:p w14:paraId="08022B5D" w14:textId="79D42C99" w:rsidR="007A394E" w:rsidRDefault="007A394E">
      <w:pPr>
        <w:pStyle w:val="FootnoteText"/>
      </w:pPr>
      <w:r w:rsidRPr="00246D05">
        <w:rPr>
          <w:rStyle w:val="FootnoteReference"/>
          <w:sz w:val="18"/>
        </w:rPr>
        <w:footnoteRef/>
      </w:r>
      <w:r w:rsidRPr="00246D05">
        <w:rPr>
          <w:sz w:val="18"/>
        </w:rPr>
        <w:t xml:space="preserve"> In a positive direction, a low-cost carrier Germania has entered the market in 2018.</w:t>
      </w:r>
    </w:p>
  </w:footnote>
  <w:footnote w:id="27">
    <w:p w14:paraId="63C9BD8F" w14:textId="77777777" w:rsidR="00E03095" w:rsidRPr="00246D05" w:rsidRDefault="00E03095">
      <w:pPr>
        <w:pStyle w:val="FootnoteText"/>
        <w:rPr>
          <w:sz w:val="18"/>
          <w:szCs w:val="18"/>
        </w:rPr>
      </w:pPr>
      <w:r w:rsidRPr="00246D05">
        <w:rPr>
          <w:rStyle w:val="FootnoteReference"/>
          <w:sz w:val="18"/>
          <w:szCs w:val="18"/>
        </w:rPr>
        <w:footnoteRef/>
      </w:r>
      <w:r w:rsidRPr="00246D05">
        <w:rPr>
          <w:sz w:val="18"/>
          <w:szCs w:val="18"/>
        </w:rPr>
        <w:t xml:space="preserve"> </w:t>
      </w:r>
      <w:r w:rsidRPr="00EA135C">
        <w:rPr>
          <w:sz w:val="18"/>
          <w:szCs w:val="18"/>
        </w:rPr>
        <w:t>In 2014, about 80,000 farms out of a total of 330,000 farms in Armenia were granted low-interest loans worth AMD 66 billion.</w:t>
      </w:r>
    </w:p>
  </w:footnote>
  <w:footnote w:id="28">
    <w:p w14:paraId="4D7A0DA3" w14:textId="77777777" w:rsidR="00E03095" w:rsidRDefault="00E03095">
      <w:pPr>
        <w:pStyle w:val="FootnoteText"/>
      </w:pPr>
      <w:r w:rsidRPr="00246D05">
        <w:rPr>
          <w:rStyle w:val="FootnoteReference"/>
          <w:sz w:val="18"/>
          <w:szCs w:val="18"/>
        </w:rPr>
        <w:footnoteRef/>
      </w:r>
      <w:r w:rsidRPr="00246D05">
        <w:rPr>
          <w:sz w:val="18"/>
          <w:szCs w:val="18"/>
        </w:rPr>
        <w:t xml:space="preserve"> </w:t>
      </w:r>
      <w:r w:rsidRPr="00EA135C">
        <w:rPr>
          <w:sz w:val="18"/>
          <w:szCs w:val="18"/>
        </w:rPr>
        <w:t>Which had been around 35% of the market price in 2016.</w:t>
      </w:r>
    </w:p>
  </w:footnote>
  <w:footnote w:id="29">
    <w:p w14:paraId="21F2FD62" w14:textId="77777777" w:rsidR="00E03095" w:rsidRDefault="00E03095">
      <w:pPr>
        <w:pStyle w:val="FootnoteText"/>
      </w:pPr>
      <w:r w:rsidRPr="00246D05">
        <w:rPr>
          <w:rStyle w:val="FootnoteReference"/>
          <w:sz w:val="18"/>
        </w:rPr>
        <w:footnoteRef/>
      </w:r>
      <w:r w:rsidRPr="00246D05">
        <w:rPr>
          <w:sz w:val="18"/>
        </w:rPr>
        <w:t xml:space="preserve"> Transfer pricing regulations are included in the new Tax Code, effective 2018, however they refer to four decrees for bylaws which are not yet in place.</w:t>
      </w:r>
    </w:p>
  </w:footnote>
  <w:footnote w:id="30">
    <w:p w14:paraId="33442B6F" w14:textId="1A75AF11" w:rsidR="003872BA" w:rsidRPr="00246D05" w:rsidRDefault="003872BA" w:rsidP="00A31FAC">
      <w:pPr>
        <w:pStyle w:val="FootnoteText"/>
        <w:jc w:val="both"/>
        <w:rPr>
          <w:sz w:val="18"/>
          <w:szCs w:val="18"/>
        </w:rPr>
      </w:pPr>
      <w:r w:rsidRPr="00246D05">
        <w:rPr>
          <w:rStyle w:val="FootnoteReference"/>
          <w:sz w:val="18"/>
          <w:szCs w:val="18"/>
        </w:rPr>
        <w:footnoteRef/>
      </w:r>
      <w:r w:rsidRPr="00246D05">
        <w:rPr>
          <w:sz w:val="18"/>
          <w:szCs w:val="18"/>
        </w:rPr>
        <w:t xml:space="preserve"> Aghion et al. (2015) find that sectoral industrial policies (such as subsidies or tax holidays) have a larger impact on productivity growth when targeted at competitive sectors or where they are allocated in such a way as to preserve or increase competition (for example by inducing entry or encouraging younger enterprises).</w:t>
      </w:r>
      <w:r w:rsidR="00830E39" w:rsidRPr="00246D05">
        <w:rPr>
          <w:sz w:val="18"/>
          <w:szCs w:val="18"/>
        </w:rPr>
        <w:t xml:space="preserve"> Aghion, P., J. Cai, M. </w:t>
      </w:r>
      <w:proofErr w:type="spellStart"/>
      <w:r w:rsidR="00830E39" w:rsidRPr="00246D05">
        <w:rPr>
          <w:sz w:val="18"/>
          <w:szCs w:val="18"/>
        </w:rPr>
        <w:t>Dewatripont</w:t>
      </w:r>
      <w:proofErr w:type="spellEnd"/>
      <w:r w:rsidR="00830E39" w:rsidRPr="00246D05">
        <w:rPr>
          <w:sz w:val="18"/>
          <w:szCs w:val="18"/>
        </w:rPr>
        <w:t xml:space="preserve">, L. Du, A. Harrison, and P. </w:t>
      </w:r>
      <w:proofErr w:type="spellStart"/>
      <w:r w:rsidR="00830E39" w:rsidRPr="00246D05">
        <w:rPr>
          <w:sz w:val="18"/>
          <w:szCs w:val="18"/>
        </w:rPr>
        <w:t>Legros</w:t>
      </w:r>
      <w:proofErr w:type="spellEnd"/>
      <w:r w:rsidR="00830E39" w:rsidRPr="00246D05">
        <w:rPr>
          <w:sz w:val="18"/>
          <w:szCs w:val="18"/>
        </w:rPr>
        <w:t>. 2015. “Industrial Policy and Competition.” American Economic Journal: Macroeconomics 7 (4): 1–32.</w:t>
      </w:r>
    </w:p>
  </w:footnote>
  <w:footnote w:id="31">
    <w:p w14:paraId="01EF5D9D" w14:textId="77777777" w:rsidR="00E03095" w:rsidRPr="00246D05" w:rsidRDefault="00E03095" w:rsidP="00A31FAC">
      <w:pPr>
        <w:pStyle w:val="FootnoteText"/>
        <w:jc w:val="both"/>
        <w:rPr>
          <w:sz w:val="18"/>
          <w:szCs w:val="18"/>
        </w:rPr>
      </w:pPr>
      <w:r w:rsidRPr="00246D05">
        <w:rPr>
          <w:rStyle w:val="FootnoteReference"/>
          <w:sz w:val="18"/>
          <w:szCs w:val="18"/>
        </w:rPr>
        <w:footnoteRef/>
      </w:r>
      <w:r w:rsidRPr="00246D05">
        <w:rPr>
          <w:sz w:val="18"/>
          <w:szCs w:val="18"/>
        </w:rPr>
        <w:t xml:space="preserve"> Unlike EU countries and some Eastern European and Central Asian countries,</w:t>
      </w:r>
    </w:p>
  </w:footnote>
  <w:footnote w:id="32">
    <w:p w14:paraId="45FF31F7" w14:textId="77777777" w:rsidR="00F802E4" w:rsidRPr="00D11FD9" w:rsidRDefault="00F802E4" w:rsidP="00A31FAC">
      <w:pPr>
        <w:pStyle w:val="FootnoteText"/>
        <w:tabs>
          <w:tab w:val="left" w:pos="180"/>
        </w:tabs>
        <w:jc w:val="both"/>
        <w:rPr>
          <w:sz w:val="18"/>
          <w:szCs w:val="18"/>
        </w:rPr>
      </w:pPr>
      <w:r w:rsidRPr="00D11FD9">
        <w:rPr>
          <w:rStyle w:val="FootnoteReference"/>
          <w:rFonts w:asciiTheme="minorHAnsi" w:hAnsiTheme="minorHAnsi" w:cstheme="minorHAnsi"/>
          <w:color w:val="000000" w:themeColor="text1"/>
          <w:sz w:val="18"/>
          <w:szCs w:val="18"/>
        </w:rPr>
        <w:footnoteRef/>
      </w:r>
      <w:r w:rsidRPr="00D11FD9">
        <w:rPr>
          <w:rFonts w:asciiTheme="minorHAnsi" w:hAnsiTheme="minorHAnsi" w:cstheme="minorHAnsi"/>
          <w:color w:val="000000" w:themeColor="text1"/>
          <w:sz w:val="18"/>
          <w:szCs w:val="18"/>
        </w:rPr>
        <w:t xml:space="preserve"> Competitive neutrality is a principle according to which all enterprises, public or private, domestic or foreign, should face the same set of rules, and where government’s contact, ownership or involvement in the marketplace, in fact or in law, does not confer an undue competitive advantage on any actual or potential market participant.</w:t>
      </w:r>
    </w:p>
  </w:footnote>
  <w:footnote w:id="33">
    <w:p w14:paraId="56E70EAD" w14:textId="672F7C7F" w:rsidR="00E03095" w:rsidRPr="00246D05" w:rsidRDefault="00E03095" w:rsidP="00A31FAC">
      <w:pPr>
        <w:pStyle w:val="FootnoteText"/>
        <w:jc w:val="both"/>
        <w:rPr>
          <w:sz w:val="18"/>
          <w:szCs w:val="18"/>
        </w:rPr>
      </w:pPr>
      <w:r w:rsidRPr="00246D05">
        <w:rPr>
          <w:rStyle w:val="FootnoteReference"/>
          <w:sz w:val="18"/>
          <w:szCs w:val="18"/>
        </w:rPr>
        <w:footnoteRef/>
      </w:r>
      <w:r w:rsidRPr="00246D05">
        <w:rPr>
          <w:sz w:val="18"/>
          <w:szCs w:val="18"/>
        </w:rPr>
        <w:t xml:space="preserve"> </w:t>
      </w:r>
      <w:r w:rsidRPr="00EA135C">
        <w:rPr>
          <w:rFonts w:asciiTheme="minorHAnsi" w:hAnsiTheme="minorHAnsi" w:cstheme="minorHAnsi"/>
          <w:sz w:val="18"/>
          <w:szCs w:val="18"/>
        </w:rPr>
        <w:t>Penalties are defined both for the recipient and provider of prohibited state aid. Article 171.6 of the RA Administrative Infringements Code establishes responsibility (warning and penalty) for the officer of an economic entity for the receipt of prohibited state aid, and Article 171.10 establishes responsibility (warning and penalty) for provision of prohibited state aid by the competent official of a central or local government body.</w:t>
      </w:r>
    </w:p>
  </w:footnote>
  <w:footnote w:id="34">
    <w:p w14:paraId="7850E7E2" w14:textId="19E07465" w:rsidR="0047487A" w:rsidRPr="00246D05" w:rsidRDefault="0047487A" w:rsidP="00383CD1">
      <w:pPr>
        <w:pStyle w:val="FootnoteText"/>
        <w:jc w:val="both"/>
        <w:rPr>
          <w:sz w:val="18"/>
          <w:szCs w:val="18"/>
        </w:rPr>
      </w:pPr>
      <w:r w:rsidRPr="00246D05">
        <w:rPr>
          <w:rStyle w:val="FootnoteReference"/>
          <w:sz w:val="18"/>
          <w:szCs w:val="18"/>
        </w:rPr>
        <w:footnoteRef/>
      </w:r>
      <w:r w:rsidRPr="00246D05">
        <w:rPr>
          <w:sz w:val="18"/>
          <w:szCs w:val="18"/>
        </w:rPr>
        <w:t xml:space="preserve"> </w:t>
      </w:r>
      <w:r w:rsidR="00BB0F4F" w:rsidRPr="00246D05">
        <w:rPr>
          <w:sz w:val="18"/>
          <w:szCs w:val="18"/>
        </w:rPr>
        <w:t>Work was u</w:t>
      </w:r>
      <w:r w:rsidRPr="00246D05">
        <w:rPr>
          <w:sz w:val="18"/>
          <w:szCs w:val="18"/>
        </w:rPr>
        <w:t>ndertaken through the EU Twinning Project in 2013</w:t>
      </w:r>
      <w:r w:rsidR="00BB0F4F" w:rsidRPr="00246D05">
        <w:rPr>
          <w:sz w:val="18"/>
          <w:szCs w:val="18"/>
        </w:rPr>
        <w:t xml:space="preserve"> to draft a legislative package for implementation of </w:t>
      </w:r>
      <w:r w:rsidR="00C43616" w:rsidRPr="00246D05">
        <w:rPr>
          <w:sz w:val="18"/>
          <w:szCs w:val="18"/>
        </w:rPr>
        <w:t xml:space="preserve">Armenia’s state aid framework. However, at that time the Ministry of Economy, that would have responsibility </w:t>
      </w:r>
      <w:r w:rsidR="00470657" w:rsidRPr="00246D05">
        <w:rPr>
          <w:sz w:val="18"/>
          <w:szCs w:val="18"/>
        </w:rPr>
        <w:t>for submitting the package to Parliament,</w:t>
      </w:r>
      <w:r w:rsidR="00C43616" w:rsidRPr="00246D05">
        <w:rPr>
          <w:sz w:val="18"/>
          <w:szCs w:val="18"/>
        </w:rPr>
        <w:t xml:space="preserve"> stated that it was not the right time to implement the framework.</w:t>
      </w:r>
    </w:p>
  </w:footnote>
  <w:footnote w:id="35">
    <w:p w14:paraId="792AD6FE" w14:textId="77777777" w:rsidR="00E03095" w:rsidRDefault="00E03095" w:rsidP="00383CD1">
      <w:pPr>
        <w:pStyle w:val="FootnoteText"/>
        <w:jc w:val="both"/>
      </w:pPr>
      <w:r w:rsidRPr="00246D05">
        <w:rPr>
          <w:rStyle w:val="FootnoteReference"/>
          <w:sz w:val="18"/>
          <w:szCs w:val="18"/>
        </w:rPr>
        <w:footnoteRef/>
      </w:r>
      <w:r w:rsidRPr="00246D05">
        <w:rPr>
          <w:sz w:val="18"/>
          <w:szCs w:val="18"/>
        </w:rPr>
        <w:t xml:space="preserve"> </w:t>
      </w:r>
      <w:r w:rsidRPr="00246D05">
        <w:rPr>
          <w:rFonts w:eastAsia="Times New Roman" w:cstheme="minorHAnsi"/>
          <w:sz w:val="18"/>
          <w:szCs w:val="18"/>
        </w:rPr>
        <w:t>Competitive neutrality is a principle according to which all enterprises, public or private, domestic or foreign, should face the same set of rules, and where government’s contact, ownership or involvement in the marketplace, in fact or in law, does not confer an undue competitive advantage on any actual or potential market participant.</w:t>
      </w:r>
    </w:p>
  </w:footnote>
  <w:footnote w:id="36">
    <w:p w14:paraId="7B86BE70" w14:textId="77777777" w:rsidR="00E03095" w:rsidRPr="00246D05" w:rsidRDefault="00E03095" w:rsidP="00383CD1">
      <w:pPr>
        <w:pStyle w:val="FootnoteText"/>
        <w:jc w:val="both"/>
        <w:rPr>
          <w:sz w:val="18"/>
        </w:rPr>
      </w:pPr>
      <w:r w:rsidRPr="00246D05">
        <w:rPr>
          <w:rStyle w:val="FootnoteReference"/>
          <w:sz w:val="18"/>
        </w:rPr>
        <w:footnoteRef/>
      </w:r>
      <w:r w:rsidRPr="00246D05">
        <w:rPr>
          <w:sz w:val="18"/>
        </w:rPr>
        <w:t xml:space="preserve"> The World Bank Group is supporting activities to help address this issue as part of a country level strategic procurement analysis under a forthcoming project on procurement.  The project will also include a deliverable on realistic cost estimation. Unrealistic or inaccurate cost estimation can also restrict completion and increase the risk of corruption.</w:t>
      </w:r>
    </w:p>
  </w:footnote>
  <w:footnote w:id="37">
    <w:p w14:paraId="10CA44EE" w14:textId="77777777" w:rsidR="00E03095" w:rsidRDefault="00E03095" w:rsidP="00383CD1">
      <w:pPr>
        <w:pStyle w:val="FootnoteText"/>
        <w:jc w:val="both"/>
      </w:pPr>
      <w:r w:rsidRPr="00246D05">
        <w:rPr>
          <w:rStyle w:val="FootnoteReference"/>
          <w:sz w:val="18"/>
        </w:rPr>
        <w:footnoteRef/>
      </w:r>
      <w:r w:rsidRPr="00246D05">
        <w:rPr>
          <w:sz w:val="18"/>
        </w:rPr>
        <w:t xml:space="preserve"> Presently a draft government decree on making modifications and additions to Government Decree No. 526-N of May 4, 2017 is being circulated which envisions that for procurement items with an estimated value below AMD 10 million, a participant should only submit a declaration on its meeting the qualification criteria as defined in the RA procurement legislation </w:t>
      </w:r>
      <w:proofErr w:type="gramStart"/>
      <w:r w:rsidRPr="00246D05">
        <w:rPr>
          <w:sz w:val="18"/>
        </w:rPr>
        <w:t>in order to</w:t>
      </w:r>
      <w:proofErr w:type="gramEnd"/>
      <w:r w:rsidRPr="00246D05">
        <w:rPr>
          <w:sz w:val="18"/>
        </w:rPr>
        <w:t xml:space="preserve"> participate in procurement procedures. Given that under the procedure as approved per the above decree, this limit is AMD 5 million, the mentioned change will encourage broader possibility for participation of start-ups and small businesses in procurement procedures.  </w:t>
      </w:r>
    </w:p>
  </w:footnote>
  <w:footnote w:id="38">
    <w:p w14:paraId="7D9E0C93" w14:textId="23C7F745" w:rsidR="00E03095" w:rsidRPr="00383CD1" w:rsidRDefault="00E03095" w:rsidP="00246D05">
      <w:pPr>
        <w:pStyle w:val="FootnoteText"/>
        <w:jc w:val="both"/>
        <w:rPr>
          <w:sz w:val="18"/>
          <w:lang w:val="hr-HR"/>
        </w:rPr>
      </w:pPr>
      <w:r w:rsidRPr="00383CD1">
        <w:rPr>
          <w:rStyle w:val="FootnoteReference"/>
          <w:sz w:val="18"/>
        </w:rPr>
        <w:footnoteRef/>
      </w:r>
      <w:r w:rsidRPr="00383CD1">
        <w:rPr>
          <w:sz w:val="18"/>
        </w:rPr>
        <w:t xml:space="preserve"> Behavioral criteria to determine dominance have been introduced in the law (Article 6.2(1)). Nevertheless, market shares still play an important role in establishing a dominant position. See Article 6.2-6.4 of the RA Competition Law: </w:t>
      </w:r>
      <w:r w:rsidRPr="00383CD1">
        <w:rPr>
          <w:i/>
          <w:sz w:val="18"/>
        </w:rPr>
        <w:t xml:space="preserve">“2. An economic entity shall be deemed to have a dominant position in the commodity market, where: (…) (2) as a seller or acquirer it captures at least one third of the given market in terms of sale or acquisition volumes; or (3) each of two economic entities having the largest sale or acquisition volumes in a commodity market shall be deemed to have a dominant position in the given commodity market, where they jointly capture, as sellers or acquirers, at least one third of the given market in terms of sale or acquisition volumes; or (4) each of the three economic entities having the largest sale or acquisition volumes in the commodity market shall be deemed to have a dominant position in the given commodity market, where they jointly capture, as sellers or acquirers, at least two thirds of the given market in terms of sale or acquisition volumes.” </w:t>
      </w:r>
      <w:r w:rsidRPr="00383CD1">
        <w:rPr>
          <w:sz w:val="18"/>
        </w:rPr>
        <w:t xml:space="preserve">In addition, Article 6. 5 also uses quantitative thresholds to determine dominance: </w:t>
      </w:r>
      <w:r w:rsidRPr="00383CD1">
        <w:rPr>
          <w:i/>
          <w:sz w:val="18"/>
        </w:rPr>
        <w:t>“5. An economic entity shall be deemed to have a dominant position, where: (1) four or more trade facilities (trade network), the annual sales turnover whereof exceeds the total sum of AMD 1.5 billion, are under general control of the given economic entity, or (2) four or more trade facilities (trade network), the annual sales turnover whereof exceeds the total sum of AMD 1.5 billion, operate under the same trademark or other identification mark owned or used by the given economic entity.”</w:t>
      </w:r>
    </w:p>
  </w:footnote>
  <w:footnote w:id="39">
    <w:p w14:paraId="3242EC40" w14:textId="77777777" w:rsidR="00E70AEE" w:rsidRDefault="00E70AEE" w:rsidP="00E70AEE">
      <w:pPr>
        <w:pStyle w:val="FootnoteText"/>
      </w:pPr>
      <w:r w:rsidRPr="00383CD1">
        <w:rPr>
          <w:rStyle w:val="FootnoteReference"/>
          <w:sz w:val="18"/>
        </w:rPr>
        <w:footnoteRef/>
      </w:r>
      <w:r w:rsidRPr="00383CD1">
        <w:rPr>
          <w:sz w:val="18"/>
        </w:rPr>
        <w:t xml:space="preserve"> In determining the level of penalty for each case, the Commission </w:t>
      </w:r>
      <w:proofErr w:type="gramStart"/>
      <w:r w:rsidRPr="00383CD1">
        <w:rPr>
          <w:sz w:val="18"/>
        </w:rPr>
        <w:t>takes into account</w:t>
      </w:r>
      <w:proofErr w:type="gramEnd"/>
      <w:r w:rsidRPr="00383CD1">
        <w:rPr>
          <w:sz w:val="18"/>
        </w:rPr>
        <w:t xml:space="preserve"> the presence of aggravating and alleviating circumstances and their assessment as part of the factual circumstances and specifics of the case.</w:t>
      </w:r>
    </w:p>
  </w:footnote>
  <w:footnote w:id="40">
    <w:p w14:paraId="3AAF717C" w14:textId="6221429A" w:rsidR="00E70AEE" w:rsidRPr="00246D05" w:rsidRDefault="00E70AEE" w:rsidP="00383CD1">
      <w:pPr>
        <w:pStyle w:val="FootnoteText"/>
        <w:jc w:val="both"/>
        <w:rPr>
          <w:sz w:val="18"/>
        </w:rPr>
      </w:pPr>
      <w:r w:rsidRPr="00246D05">
        <w:rPr>
          <w:rStyle w:val="FootnoteReference"/>
          <w:sz w:val="18"/>
        </w:rPr>
        <w:footnoteRef/>
      </w:r>
      <w:r w:rsidRPr="00246D05">
        <w:rPr>
          <w:sz w:val="18"/>
        </w:rPr>
        <w:t xml:space="preserve"> See Article 36 of the RA Competition Law: </w:t>
      </w:r>
      <w:r w:rsidRPr="00246D05">
        <w:rPr>
          <w:i/>
          <w:sz w:val="18"/>
        </w:rPr>
        <w:t>“4.1. The amount of fine imposed for failure to declare concentration shall constitute up to five million drams.”</w:t>
      </w:r>
    </w:p>
  </w:footnote>
  <w:footnote w:id="41">
    <w:p w14:paraId="2A388BC8" w14:textId="31050AA1" w:rsidR="00E70AEE" w:rsidRDefault="00E70AEE" w:rsidP="00383CD1">
      <w:pPr>
        <w:pStyle w:val="FootnoteText"/>
        <w:jc w:val="both"/>
      </w:pPr>
      <w:r w:rsidRPr="00246D05">
        <w:rPr>
          <w:rStyle w:val="FootnoteReference"/>
          <w:sz w:val="18"/>
        </w:rPr>
        <w:footnoteRef/>
      </w:r>
      <w:r w:rsidRPr="00246D05">
        <w:rPr>
          <w:sz w:val="18"/>
        </w:rPr>
        <w:t xml:space="preserve"> See Article 36 of the RA Competition Law: </w:t>
      </w:r>
      <w:r w:rsidRPr="00246D05">
        <w:rPr>
          <w:i/>
          <w:sz w:val="18"/>
        </w:rPr>
        <w:t xml:space="preserve">“7. The amount of fine imposed for the failure by an economic entity to submit, within the prescribed </w:t>
      </w:r>
      <w:proofErr w:type="gramStart"/>
      <w:r w:rsidRPr="00246D05">
        <w:rPr>
          <w:i/>
          <w:sz w:val="18"/>
        </w:rPr>
        <w:t>time period</w:t>
      </w:r>
      <w:proofErr w:type="gramEnd"/>
      <w:r w:rsidRPr="00246D05">
        <w:rPr>
          <w:i/>
          <w:sz w:val="18"/>
        </w:rPr>
        <w:t>, documents or other information prescribed by a letter of the Chairperson of the Commission or by a decision of the Commission or by legislation or for submitting inaccurate or incomplete information shall constitute up to five million drams.”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ADCB" w14:textId="3E300758" w:rsidR="00E03095" w:rsidRPr="00507F5A" w:rsidRDefault="00E03095">
    <w:pPr>
      <w:pStyle w:val="Header"/>
      <w:rPr>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8E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8343A"/>
    <w:multiLevelType w:val="hybridMultilevel"/>
    <w:tmpl w:val="9F42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E5522"/>
    <w:multiLevelType w:val="hybridMultilevel"/>
    <w:tmpl w:val="D44AB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8AB"/>
    <w:multiLevelType w:val="hybridMultilevel"/>
    <w:tmpl w:val="B3F2D6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1BA"/>
    <w:multiLevelType w:val="hybridMultilevel"/>
    <w:tmpl w:val="679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A5B"/>
    <w:multiLevelType w:val="hybridMultilevel"/>
    <w:tmpl w:val="86B8BADA"/>
    <w:lvl w:ilvl="0" w:tplc="B2560DA4">
      <w:start w:val="1"/>
      <w:numFmt w:val="decimal"/>
      <w:lvlText w:val="%1."/>
      <w:lvlJc w:val="left"/>
      <w:pPr>
        <w:ind w:left="720" w:hanging="360"/>
      </w:pPr>
      <w:rPr>
        <w:rFonts w:asciiTheme="minorHAnsi" w:hAnsiTheme="minorHAnsi" w:cs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6BE9"/>
    <w:multiLevelType w:val="hybridMultilevel"/>
    <w:tmpl w:val="98BA93FE"/>
    <w:lvl w:ilvl="0" w:tplc="0D980426">
      <w:start w:val="1"/>
      <w:numFmt w:val="decimal"/>
      <w:lvlText w:val="%1."/>
      <w:lvlJc w:val="left"/>
      <w:pPr>
        <w:tabs>
          <w:tab w:val="num" w:pos="720"/>
        </w:tabs>
        <w:ind w:left="720" w:hanging="360"/>
      </w:pPr>
    </w:lvl>
    <w:lvl w:ilvl="1" w:tplc="78F6D906">
      <w:numFmt w:val="none"/>
      <w:lvlText w:val=""/>
      <w:lvlJc w:val="left"/>
      <w:pPr>
        <w:tabs>
          <w:tab w:val="num" w:pos="360"/>
        </w:tabs>
      </w:pPr>
    </w:lvl>
    <w:lvl w:ilvl="2" w:tplc="5022AE40" w:tentative="1">
      <w:start w:val="1"/>
      <w:numFmt w:val="decimal"/>
      <w:lvlText w:val="%3."/>
      <w:lvlJc w:val="left"/>
      <w:pPr>
        <w:tabs>
          <w:tab w:val="num" w:pos="2160"/>
        </w:tabs>
        <w:ind w:left="2160" w:hanging="360"/>
      </w:pPr>
    </w:lvl>
    <w:lvl w:ilvl="3" w:tplc="771AB20C" w:tentative="1">
      <w:start w:val="1"/>
      <w:numFmt w:val="decimal"/>
      <w:lvlText w:val="%4."/>
      <w:lvlJc w:val="left"/>
      <w:pPr>
        <w:tabs>
          <w:tab w:val="num" w:pos="2880"/>
        </w:tabs>
        <w:ind w:left="2880" w:hanging="360"/>
      </w:pPr>
    </w:lvl>
    <w:lvl w:ilvl="4" w:tplc="12B63C58" w:tentative="1">
      <w:start w:val="1"/>
      <w:numFmt w:val="decimal"/>
      <w:lvlText w:val="%5."/>
      <w:lvlJc w:val="left"/>
      <w:pPr>
        <w:tabs>
          <w:tab w:val="num" w:pos="3600"/>
        </w:tabs>
        <w:ind w:left="3600" w:hanging="360"/>
      </w:pPr>
    </w:lvl>
    <w:lvl w:ilvl="5" w:tplc="5418AB2E" w:tentative="1">
      <w:start w:val="1"/>
      <w:numFmt w:val="decimal"/>
      <w:lvlText w:val="%6."/>
      <w:lvlJc w:val="left"/>
      <w:pPr>
        <w:tabs>
          <w:tab w:val="num" w:pos="4320"/>
        </w:tabs>
        <w:ind w:left="4320" w:hanging="360"/>
      </w:pPr>
    </w:lvl>
    <w:lvl w:ilvl="6" w:tplc="AFFE0EDE" w:tentative="1">
      <w:start w:val="1"/>
      <w:numFmt w:val="decimal"/>
      <w:lvlText w:val="%7."/>
      <w:lvlJc w:val="left"/>
      <w:pPr>
        <w:tabs>
          <w:tab w:val="num" w:pos="5040"/>
        </w:tabs>
        <w:ind w:left="5040" w:hanging="360"/>
      </w:pPr>
    </w:lvl>
    <w:lvl w:ilvl="7" w:tplc="C2DE48CA" w:tentative="1">
      <w:start w:val="1"/>
      <w:numFmt w:val="decimal"/>
      <w:lvlText w:val="%8."/>
      <w:lvlJc w:val="left"/>
      <w:pPr>
        <w:tabs>
          <w:tab w:val="num" w:pos="5760"/>
        </w:tabs>
        <w:ind w:left="5760" w:hanging="360"/>
      </w:pPr>
    </w:lvl>
    <w:lvl w:ilvl="8" w:tplc="D08AD950" w:tentative="1">
      <w:start w:val="1"/>
      <w:numFmt w:val="decimal"/>
      <w:lvlText w:val="%9."/>
      <w:lvlJc w:val="left"/>
      <w:pPr>
        <w:tabs>
          <w:tab w:val="num" w:pos="6480"/>
        </w:tabs>
        <w:ind w:left="6480" w:hanging="360"/>
      </w:pPr>
    </w:lvl>
  </w:abstractNum>
  <w:abstractNum w:abstractNumId="7" w15:restartNumberingAfterBreak="0">
    <w:nsid w:val="168774DD"/>
    <w:multiLevelType w:val="hybridMultilevel"/>
    <w:tmpl w:val="2C5AE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B1405C"/>
    <w:multiLevelType w:val="hybridMultilevel"/>
    <w:tmpl w:val="94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C5F8C"/>
    <w:multiLevelType w:val="hybridMultilevel"/>
    <w:tmpl w:val="B5B8E2EA"/>
    <w:lvl w:ilvl="0" w:tplc="92BEFD4A">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F505C"/>
    <w:multiLevelType w:val="hybridMultilevel"/>
    <w:tmpl w:val="5F8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1017"/>
    <w:multiLevelType w:val="hybridMultilevel"/>
    <w:tmpl w:val="065089F2"/>
    <w:lvl w:ilvl="0" w:tplc="04090001">
      <w:start w:val="1"/>
      <w:numFmt w:val="bullet"/>
      <w:lvlText w:val=""/>
      <w:lvlJc w:val="left"/>
      <w:pPr>
        <w:tabs>
          <w:tab w:val="num" w:pos="720"/>
        </w:tabs>
        <w:ind w:left="720" w:hanging="360"/>
      </w:pPr>
      <w:rPr>
        <w:rFonts w:ascii="Symbol" w:hAnsi="Symbol" w:hint="default"/>
      </w:rPr>
    </w:lvl>
    <w:lvl w:ilvl="1" w:tplc="FA94974A" w:tentative="1">
      <w:start w:val="1"/>
      <w:numFmt w:val="bullet"/>
      <w:lvlText w:val=""/>
      <w:lvlJc w:val="left"/>
      <w:pPr>
        <w:tabs>
          <w:tab w:val="num" w:pos="1440"/>
        </w:tabs>
        <w:ind w:left="1440" w:hanging="360"/>
      </w:pPr>
      <w:rPr>
        <w:rFonts w:ascii="Wingdings" w:hAnsi="Wingdings" w:hint="default"/>
      </w:rPr>
    </w:lvl>
    <w:lvl w:ilvl="2" w:tplc="5D3060D2" w:tentative="1">
      <w:start w:val="1"/>
      <w:numFmt w:val="bullet"/>
      <w:lvlText w:val=""/>
      <w:lvlJc w:val="left"/>
      <w:pPr>
        <w:tabs>
          <w:tab w:val="num" w:pos="2160"/>
        </w:tabs>
        <w:ind w:left="2160" w:hanging="360"/>
      </w:pPr>
      <w:rPr>
        <w:rFonts w:ascii="Wingdings" w:hAnsi="Wingdings" w:hint="default"/>
      </w:rPr>
    </w:lvl>
    <w:lvl w:ilvl="3" w:tplc="DAFEE0FA" w:tentative="1">
      <w:start w:val="1"/>
      <w:numFmt w:val="bullet"/>
      <w:lvlText w:val=""/>
      <w:lvlJc w:val="left"/>
      <w:pPr>
        <w:tabs>
          <w:tab w:val="num" w:pos="2880"/>
        </w:tabs>
        <w:ind w:left="2880" w:hanging="360"/>
      </w:pPr>
      <w:rPr>
        <w:rFonts w:ascii="Wingdings" w:hAnsi="Wingdings" w:hint="default"/>
      </w:rPr>
    </w:lvl>
    <w:lvl w:ilvl="4" w:tplc="63460622" w:tentative="1">
      <w:start w:val="1"/>
      <w:numFmt w:val="bullet"/>
      <w:lvlText w:val=""/>
      <w:lvlJc w:val="left"/>
      <w:pPr>
        <w:tabs>
          <w:tab w:val="num" w:pos="3600"/>
        </w:tabs>
        <w:ind w:left="3600" w:hanging="360"/>
      </w:pPr>
      <w:rPr>
        <w:rFonts w:ascii="Wingdings" w:hAnsi="Wingdings" w:hint="default"/>
      </w:rPr>
    </w:lvl>
    <w:lvl w:ilvl="5" w:tplc="86247732" w:tentative="1">
      <w:start w:val="1"/>
      <w:numFmt w:val="bullet"/>
      <w:lvlText w:val=""/>
      <w:lvlJc w:val="left"/>
      <w:pPr>
        <w:tabs>
          <w:tab w:val="num" w:pos="4320"/>
        </w:tabs>
        <w:ind w:left="4320" w:hanging="360"/>
      </w:pPr>
      <w:rPr>
        <w:rFonts w:ascii="Wingdings" w:hAnsi="Wingdings" w:hint="default"/>
      </w:rPr>
    </w:lvl>
    <w:lvl w:ilvl="6" w:tplc="13343726" w:tentative="1">
      <w:start w:val="1"/>
      <w:numFmt w:val="bullet"/>
      <w:lvlText w:val=""/>
      <w:lvlJc w:val="left"/>
      <w:pPr>
        <w:tabs>
          <w:tab w:val="num" w:pos="5040"/>
        </w:tabs>
        <w:ind w:left="5040" w:hanging="360"/>
      </w:pPr>
      <w:rPr>
        <w:rFonts w:ascii="Wingdings" w:hAnsi="Wingdings" w:hint="default"/>
      </w:rPr>
    </w:lvl>
    <w:lvl w:ilvl="7" w:tplc="1CBA73BC" w:tentative="1">
      <w:start w:val="1"/>
      <w:numFmt w:val="bullet"/>
      <w:lvlText w:val=""/>
      <w:lvlJc w:val="left"/>
      <w:pPr>
        <w:tabs>
          <w:tab w:val="num" w:pos="5760"/>
        </w:tabs>
        <w:ind w:left="5760" w:hanging="360"/>
      </w:pPr>
      <w:rPr>
        <w:rFonts w:ascii="Wingdings" w:hAnsi="Wingdings" w:hint="default"/>
      </w:rPr>
    </w:lvl>
    <w:lvl w:ilvl="8" w:tplc="5AE6BB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236BF"/>
    <w:multiLevelType w:val="hybridMultilevel"/>
    <w:tmpl w:val="EA8A7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EE19AD"/>
    <w:multiLevelType w:val="hybridMultilevel"/>
    <w:tmpl w:val="D4E6F9D2"/>
    <w:lvl w:ilvl="0" w:tplc="1E8AD66E">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6716"/>
    <w:multiLevelType w:val="hybridMultilevel"/>
    <w:tmpl w:val="03064402"/>
    <w:lvl w:ilvl="0" w:tplc="A0601ADE">
      <w:start w:val="1"/>
      <w:numFmt w:val="bullet"/>
      <w:lvlText w:val="-"/>
      <w:lvlJc w:val="left"/>
      <w:pPr>
        <w:ind w:left="360" w:hanging="360"/>
      </w:pPr>
      <w:rPr>
        <w:rFonts w:ascii="Calibri" w:eastAsiaTheme="minorHAnsi" w:hAnsi="Calibri" w:cs="Calibri" w:hint="default"/>
        <w:b/>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5F755B"/>
    <w:multiLevelType w:val="hybridMultilevel"/>
    <w:tmpl w:val="004EF638"/>
    <w:lvl w:ilvl="0" w:tplc="04090001">
      <w:start w:val="1"/>
      <w:numFmt w:val="bullet"/>
      <w:lvlText w:val=""/>
      <w:lvlJc w:val="left"/>
      <w:pPr>
        <w:tabs>
          <w:tab w:val="num" w:pos="720"/>
        </w:tabs>
        <w:ind w:left="720" w:hanging="360"/>
      </w:pPr>
      <w:rPr>
        <w:rFonts w:ascii="Symbol" w:hAnsi="Symbol" w:hint="default"/>
      </w:rPr>
    </w:lvl>
    <w:lvl w:ilvl="1" w:tplc="1690DF60" w:tentative="1">
      <w:start w:val="1"/>
      <w:numFmt w:val="bullet"/>
      <w:lvlText w:val=""/>
      <w:lvlJc w:val="left"/>
      <w:pPr>
        <w:tabs>
          <w:tab w:val="num" w:pos="1440"/>
        </w:tabs>
        <w:ind w:left="1440" w:hanging="360"/>
      </w:pPr>
      <w:rPr>
        <w:rFonts w:ascii="Wingdings" w:hAnsi="Wingdings" w:hint="default"/>
      </w:rPr>
    </w:lvl>
    <w:lvl w:ilvl="2" w:tplc="0CB6084A" w:tentative="1">
      <w:start w:val="1"/>
      <w:numFmt w:val="bullet"/>
      <w:lvlText w:val=""/>
      <w:lvlJc w:val="left"/>
      <w:pPr>
        <w:tabs>
          <w:tab w:val="num" w:pos="2160"/>
        </w:tabs>
        <w:ind w:left="2160" w:hanging="360"/>
      </w:pPr>
      <w:rPr>
        <w:rFonts w:ascii="Wingdings" w:hAnsi="Wingdings" w:hint="default"/>
      </w:rPr>
    </w:lvl>
    <w:lvl w:ilvl="3" w:tplc="4B8A7444" w:tentative="1">
      <w:start w:val="1"/>
      <w:numFmt w:val="bullet"/>
      <w:lvlText w:val=""/>
      <w:lvlJc w:val="left"/>
      <w:pPr>
        <w:tabs>
          <w:tab w:val="num" w:pos="2880"/>
        </w:tabs>
        <w:ind w:left="2880" w:hanging="360"/>
      </w:pPr>
      <w:rPr>
        <w:rFonts w:ascii="Wingdings" w:hAnsi="Wingdings" w:hint="default"/>
      </w:rPr>
    </w:lvl>
    <w:lvl w:ilvl="4" w:tplc="AE965C4E" w:tentative="1">
      <w:start w:val="1"/>
      <w:numFmt w:val="bullet"/>
      <w:lvlText w:val=""/>
      <w:lvlJc w:val="left"/>
      <w:pPr>
        <w:tabs>
          <w:tab w:val="num" w:pos="3600"/>
        </w:tabs>
        <w:ind w:left="3600" w:hanging="360"/>
      </w:pPr>
      <w:rPr>
        <w:rFonts w:ascii="Wingdings" w:hAnsi="Wingdings" w:hint="default"/>
      </w:rPr>
    </w:lvl>
    <w:lvl w:ilvl="5" w:tplc="B4BADFB8" w:tentative="1">
      <w:start w:val="1"/>
      <w:numFmt w:val="bullet"/>
      <w:lvlText w:val=""/>
      <w:lvlJc w:val="left"/>
      <w:pPr>
        <w:tabs>
          <w:tab w:val="num" w:pos="4320"/>
        </w:tabs>
        <w:ind w:left="4320" w:hanging="360"/>
      </w:pPr>
      <w:rPr>
        <w:rFonts w:ascii="Wingdings" w:hAnsi="Wingdings" w:hint="default"/>
      </w:rPr>
    </w:lvl>
    <w:lvl w:ilvl="6" w:tplc="4DFC3E58" w:tentative="1">
      <w:start w:val="1"/>
      <w:numFmt w:val="bullet"/>
      <w:lvlText w:val=""/>
      <w:lvlJc w:val="left"/>
      <w:pPr>
        <w:tabs>
          <w:tab w:val="num" w:pos="5040"/>
        </w:tabs>
        <w:ind w:left="5040" w:hanging="360"/>
      </w:pPr>
      <w:rPr>
        <w:rFonts w:ascii="Wingdings" w:hAnsi="Wingdings" w:hint="default"/>
      </w:rPr>
    </w:lvl>
    <w:lvl w:ilvl="7" w:tplc="1990FFB2" w:tentative="1">
      <w:start w:val="1"/>
      <w:numFmt w:val="bullet"/>
      <w:lvlText w:val=""/>
      <w:lvlJc w:val="left"/>
      <w:pPr>
        <w:tabs>
          <w:tab w:val="num" w:pos="5760"/>
        </w:tabs>
        <w:ind w:left="5760" w:hanging="360"/>
      </w:pPr>
      <w:rPr>
        <w:rFonts w:ascii="Wingdings" w:hAnsi="Wingdings" w:hint="default"/>
      </w:rPr>
    </w:lvl>
    <w:lvl w:ilvl="8" w:tplc="D59C7E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47354"/>
    <w:multiLevelType w:val="hybridMultilevel"/>
    <w:tmpl w:val="7C8459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AB801C8"/>
    <w:multiLevelType w:val="hybridMultilevel"/>
    <w:tmpl w:val="4238CC12"/>
    <w:lvl w:ilvl="0" w:tplc="04090001">
      <w:start w:val="1"/>
      <w:numFmt w:val="bullet"/>
      <w:lvlText w:val=""/>
      <w:lvlJc w:val="left"/>
      <w:pPr>
        <w:tabs>
          <w:tab w:val="num" w:pos="720"/>
        </w:tabs>
        <w:ind w:left="720" w:hanging="360"/>
      </w:pPr>
      <w:rPr>
        <w:rFonts w:ascii="Symbol" w:hAnsi="Symbol" w:hint="default"/>
      </w:rPr>
    </w:lvl>
    <w:lvl w:ilvl="1" w:tplc="FA94974A" w:tentative="1">
      <w:start w:val="1"/>
      <w:numFmt w:val="bullet"/>
      <w:lvlText w:val=""/>
      <w:lvlJc w:val="left"/>
      <w:pPr>
        <w:tabs>
          <w:tab w:val="num" w:pos="1440"/>
        </w:tabs>
        <w:ind w:left="1440" w:hanging="360"/>
      </w:pPr>
      <w:rPr>
        <w:rFonts w:ascii="Wingdings" w:hAnsi="Wingdings" w:hint="default"/>
      </w:rPr>
    </w:lvl>
    <w:lvl w:ilvl="2" w:tplc="5D3060D2" w:tentative="1">
      <w:start w:val="1"/>
      <w:numFmt w:val="bullet"/>
      <w:lvlText w:val=""/>
      <w:lvlJc w:val="left"/>
      <w:pPr>
        <w:tabs>
          <w:tab w:val="num" w:pos="2160"/>
        </w:tabs>
        <w:ind w:left="2160" w:hanging="360"/>
      </w:pPr>
      <w:rPr>
        <w:rFonts w:ascii="Wingdings" w:hAnsi="Wingdings" w:hint="default"/>
      </w:rPr>
    </w:lvl>
    <w:lvl w:ilvl="3" w:tplc="DAFEE0FA" w:tentative="1">
      <w:start w:val="1"/>
      <w:numFmt w:val="bullet"/>
      <w:lvlText w:val=""/>
      <w:lvlJc w:val="left"/>
      <w:pPr>
        <w:tabs>
          <w:tab w:val="num" w:pos="2880"/>
        </w:tabs>
        <w:ind w:left="2880" w:hanging="360"/>
      </w:pPr>
      <w:rPr>
        <w:rFonts w:ascii="Wingdings" w:hAnsi="Wingdings" w:hint="default"/>
      </w:rPr>
    </w:lvl>
    <w:lvl w:ilvl="4" w:tplc="63460622" w:tentative="1">
      <w:start w:val="1"/>
      <w:numFmt w:val="bullet"/>
      <w:lvlText w:val=""/>
      <w:lvlJc w:val="left"/>
      <w:pPr>
        <w:tabs>
          <w:tab w:val="num" w:pos="3600"/>
        </w:tabs>
        <w:ind w:left="3600" w:hanging="360"/>
      </w:pPr>
      <w:rPr>
        <w:rFonts w:ascii="Wingdings" w:hAnsi="Wingdings" w:hint="default"/>
      </w:rPr>
    </w:lvl>
    <w:lvl w:ilvl="5" w:tplc="86247732" w:tentative="1">
      <w:start w:val="1"/>
      <w:numFmt w:val="bullet"/>
      <w:lvlText w:val=""/>
      <w:lvlJc w:val="left"/>
      <w:pPr>
        <w:tabs>
          <w:tab w:val="num" w:pos="4320"/>
        </w:tabs>
        <w:ind w:left="4320" w:hanging="360"/>
      </w:pPr>
      <w:rPr>
        <w:rFonts w:ascii="Wingdings" w:hAnsi="Wingdings" w:hint="default"/>
      </w:rPr>
    </w:lvl>
    <w:lvl w:ilvl="6" w:tplc="13343726" w:tentative="1">
      <w:start w:val="1"/>
      <w:numFmt w:val="bullet"/>
      <w:lvlText w:val=""/>
      <w:lvlJc w:val="left"/>
      <w:pPr>
        <w:tabs>
          <w:tab w:val="num" w:pos="5040"/>
        </w:tabs>
        <w:ind w:left="5040" w:hanging="360"/>
      </w:pPr>
      <w:rPr>
        <w:rFonts w:ascii="Wingdings" w:hAnsi="Wingdings" w:hint="default"/>
      </w:rPr>
    </w:lvl>
    <w:lvl w:ilvl="7" w:tplc="1CBA73BC" w:tentative="1">
      <w:start w:val="1"/>
      <w:numFmt w:val="bullet"/>
      <w:lvlText w:val=""/>
      <w:lvlJc w:val="left"/>
      <w:pPr>
        <w:tabs>
          <w:tab w:val="num" w:pos="5760"/>
        </w:tabs>
        <w:ind w:left="5760" w:hanging="360"/>
      </w:pPr>
      <w:rPr>
        <w:rFonts w:ascii="Wingdings" w:hAnsi="Wingdings" w:hint="default"/>
      </w:rPr>
    </w:lvl>
    <w:lvl w:ilvl="8" w:tplc="5AE6BB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88288B"/>
    <w:multiLevelType w:val="hybridMultilevel"/>
    <w:tmpl w:val="34B8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02A2C"/>
    <w:multiLevelType w:val="hybridMultilevel"/>
    <w:tmpl w:val="2C2E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C052F"/>
    <w:multiLevelType w:val="hybridMultilevel"/>
    <w:tmpl w:val="B3BEF410"/>
    <w:lvl w:ilvl="0" w:tplc="04090001">
      <w:start w:val="1"/>
      <w:numFmt w:val="bullet"/>
      <w:lvlText w:val=""/>
      <w:lvlJc w:val="left"/>
      <w:pPr>
        <w:tabs>
          <w:tab w:val="num" w:pos="720"/>
        </w:tabs>
        <w:ind w:left="720" w:hanging="360"/>
      </w:pPr>
      <w:rPr>
        <w:rFonts w:ascii="Symbol" w:hAnsi="Symbol" w:hint="default"/>
      </w:rPr>
    </w:lvl>
    <w:lvl w:ilvl="1" w:tplc="0E8671F8" w:tentative="1">
      <w:start w:val="1"/>
      <w:numFmt w:val="bullet"/>
      <w:lvlText w:val=""/>
      <w:lvlJc w:val="left"/>
      <w:pPr>
        <w:tabs>
          <w:tab w:val="num" w:pos="1440"/>
        </w:tabs>
        <w:ind w:left="1440" w:hanging="360"/>
      </w:pPr>
      <w:rPr>
        <w:rFonts w:ascii="Wingdings" w:hAnsi="Wingdings" w:hint="default"/>
      </w:rPr>
    </w:lvl>
    <w:lvl w:ilvl="2" w:tplc="9C2A8302" w:tentative="1">
      <w:start w:val="1"/>
      <w:numFmt w:val="bullet"/>
      <w:lvlText w:val=""/>
      <w:lvlJc w:val="left"/>
      <w:pPr>
        <w:tabs>
          <w:tab w:val="num" w:pos="2160"/>
        </w:tabs>
        <w:ind w:left="2160" w:hanging="360"/>
      </w:pPr>
      <w:rPr>
        <w:rFonts w:ascii="Wingdings" w:hAnsi="Wingdings" w:hint="default"/>
      </w:rPr>
    </w:lvl>
    <w:lvl w:ilvl="3" w:tplc="837C93F6" w:tentative="1">
      <w:start w:val="1"/>
      <w:numFmt w:val="bullet"/>
      <w:lvlText w:val=""/>
      <w:lvlJc w:val="left"/>
      <w:pPr>
        <w:tabs>
          <w:tab w:val="num" w:pos="2880"/>
        </w:tabs>
        <w:ind w:left="2880" w:hanging="360"/>
      </w:pPr>
      <w:rPr>
        <w:rFonts w:ascii="Wingdings" w:hAnsi="Wingdings" w:hint="default"/>
      </w:rPr>
    </w:lvl>
    <w:lvl w:ilvl="4" w:tplc="DADCE624" w:tentative="1">
      <w:start w:val="1"/>
      <w:numFmt w:val="bullet"/>
      <w:lvlText w:val=""/>
      <w:lvlJc w:val="left"/>
      <w:pPr>
        <w:tabs>
          <w:tab w:val="num" w:pos="3600"/>
        </w:tabs>
        <w:ind w:left="3600" w:hanging="360"/>
      </w:pPr>
      <w:rPr>
        <w:rFonts w:ascii="Wingdings" w:hAnsi="Wingdings" w:hint="default"/>
      </w:rPr>
    </w:lvl>
    <w:lvl w:ilvl="5" w:tplc="80ACEE60" w:tentative="1">
      <w:start w:val="1"/>
      <w:numFmt w:val="bullet"/>
      <w:lvlText w:val=""/>
      <w:lvlJc w:val="left"/>
      <w:pPr>
        <w:tabs>
          <w:tab w:val="num" w:pos="4320"/>
        </w:tabs>
        <w:ind w:left="4320" w:hanging="360"/>
      </w:pPr>
      <w:rPr>
        <w:rFonts w:ascii="Wingdings" w:hAnsi="Wingdings" w:hint="default"/>
      </w:rPr>
    </w:lvl>
    <w:lvl w:ilvl="6" w:tplc="65CEEF30" w:tentative="1">
      <w:start w:val="1"/>
      <w:numFmt w:val="bullet"/>
      <w:lvlText w:val=""/>
      <w:lvlJc w:val="left"/>
      <w:pPr>
        <w:tabs>
          <w:tab w:val="num" w:pos="5040"/>
        </w:tabs>
        <w:ind w:left="5040" w:hanging="360"/>
      </w:pPr>
      <w:rPr>
        <w:rFonts w:ascii="Wingdings" w:hAnsi="Wingdings" w:hint="default"/>
      </w:rPr>
    </w:lvl>
    <w:lvl w:ilvl="7" w:tplc="B52A96AC" w:tentative="1">
      <w:start w:val="1"/>
      <w:numFmt w:val="bullet"/>
      <w:lvlText w:val=""/>
      <w:lvlJc w:val="left"/>
      <w:pPr>
        <w:tabs>
          <w:tab w:val="num" w:pos="5760"/>
        </w:tabs>
        <w:ind w:left="5760" w:hanging="360"/>
      </w:pPr>
      <w:rPr>
        <w:rFonts w:ascii="Wingdings" w:hAnsi="Wingdings" w:hint="default"/>
      </w:rPr>
    </w:lvl>
    <w:lvl w:ilvl="8" w:tplc="AA16BF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C560A"/>
    <w:multiLevelType w:val="hybridMultilevel"/>
    <w:tmpl w:val="EB20E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F86D23"/>
    <w:multiLevelType w:val="hybridMultilevel"/>
    <w:tmpl w:val="41DE380E"/>
    <w:lvl w:ilvl="0" w:tplc="EBE68598">
      <w:start w:val="1"/>
      <w:numFmt w:val="bullet"/>
      <w:lvlText w:val=""/>
      <w:lvlJc w:val="left"/>
      <w:pPr>
        <w:tabs>
          <w:tab w:val="num" w:pos="720"/>
        </w:tabs>
        <w:ind w:left="720" w:hanging="360"/>
      </w:pPr>
      <w:rPr>
        <w:rFonts w:ascii="Symbol" w:hAnsi="Symbol" w:hint="default"/>
      </w:rPr>
    </w:lvl>
    <w:lvl w:ilvl="1" w:tplc="927ACF2E">
      <w:numFmt w:val="none"/>
      <w:lvlText w:val=""/>
      <w:lvlJc w:val="left"/>
      <w:pPr>
        <w:tabs>
          <w:tab w:val="num" w:pos="360"/>
        </w:tabs>
      </w:pPr>
    </w:lvl>
    <w:lvl w:ilvl="2" w:tplc="A8F0AFE6" w:tentative="1">
      <w:start w:val="1"/>
      <w:numFmt w:val="bullet"/>
      <w:lvlText w:val=""/>
      <w:lvlJc w:val="left"/>
      <w:pPr>
        <w:tabs>
          <w:tab w:val="num" w:pos="2160"/>
        </w:tabs>
        <w:ind w:left="2160" w:hanging="360"/>
      </w:pPr>
      <w:rPr>
        <w:rFonts w:ascii="Wingdings" w:hAnsi="Wingdings" w:hint="default"/>
      </w:rPr>
    </w:lvl>
    <w:lvl w:ilvl="3" w:tplc="A7DA0A90" w:tentative="1">
      <w:start w:val="1"/>
      <w:numFmt w:val="bullet"/>
      <w:lvlText w:val=""/>
      <w:lvlJc w:val="left"/>
      <w:pPr>
        <w:tabs>
          <w:tab w:val="num" w:pos="2880"/>
        </w:tabs>
        <w:ind w:left="2880" w:hanging="360"/>
      </w:pPr>
      <w:rPr>
        <w:rFonts w:ascii="Wingdings" w:hAnsi="Wingdings" w:hint="default"/>
      </w:rPr>
    </w:lvl>
    <w:lvl w:ilvl="4" w:tplc="8748729A" w:tentative="1">
      <w:start w:val="1"/>
      <w:numFmt w:val="bullet"/>
      <w:lvlText w:val=""/>
      <w:lvlJc w:val="left"/>
      <w:pPr>
        <w:tabs>
          <w:tab w:val="num" w:pos="3600"/>
        </w:tabs>
        <w:ind w:left="3600" w:hanging="360"/>
      </w:pPr>
      <w:rPr>
        <w:rFonts w:ascii="Wingdings" w:hAnsi="Wingdings" w:hint="default"/>
      </w:rPr>
    </w:lvl>
    <w:lvl w:ilvl="5" w:tplc="E15076AE" w:tentative="1">
      <w:start w:val="1"/>
      <w:numFmt w:val="bullet"/>
      <w:lvlText w:val=""/>
      <w:lvlJc w:val="left"/>
      <w:pPr>
        <w:tabs>
          <w:tab w:val="num" w:pos="4320"/>
        </w:tabs>
        <w:ind w:left="4320" w:hanging="360"/>
      </w:pPr>
      <w:rPr>
        <w:rFonts w:ascii="Wingdings" w:hAnsi="Wingdings" w:hint="default"/>
      </w:rPr>
    </w:lvl>
    <w:lvl w:ilvl="6" w:tplc="6DE20A42" w:tentative="1">
      <w:start w:val="1"/>
      <w:numFmt w:val="bullet"/>
      <w:lvlText w:val=""/>
      <w:lvlJc w:val="left"/>
      <w:pPr>
        <w:tabs>
          <w:tab w:val="num" w:pos="5040"/>
        </w:tabs>
        <w:ind w:left="5040" w:hanging="360"/>
      </w:pPr>
      <w:rPr>
        <w:rFonts w:ascii="Wingdings" w:hAnsi="Wingdings" w:hint="default"/>
      </w:rPr>
    </w:lvl>
    <w:lvl w:ilvl="7" w:tplc="C40A47FA" w:tentative="1">
      <w:start w:val="1"/>
      <w:numFmt w:val="bullet"/>
      <w:lvlText w:val=""/>
      <w:lvlJc w:val="left"/>
      <w:pPr>
        <w:tabs>
          <w:tab w:val="num" w:pos="5760"/>
        </w:tabs>
        <w:ind w:left="5760" w:hanging="360"/>
      </w:pPr>
      <w:rPr>
        <w:rFonts w:ascii="Wingdings" w:hAnsi="Wingdings" w:hint="default"/>
      </w:rPr>
    </w:lvl>
    <w:lvl w:ilvl="8" w:tplc="C1125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06405"/>
    <w:multiLevelType w:val="hybridMultilevel"/>
    <w:tmpl w:val="E25A2FB0"/>
    <w:lvl w:ilvl="0" w:tplc="04090001">
      <w:start w:val="1"/>
      <w:numFmt w:val="bullet"/>
      <w:lvlText w:val=""/>
      <w:lvlJc w:val="left"/>
      <w:pPr>
        <w:tabs>
          <w:tab w:val="num" w:pos="720"/>
        </w:tabs>
        <w:ind w:left="720" w:hanging="360"/>
      </w:pPr>
      <w:rPr>
        <w:rFonts w:ascii="Symbol" w:hAnsi="Symbol" w:hint="default"/>
      </w:rPr>
    </w:lvl>
    <w:lvl w:ilvl="1" w:tplc="0ABA05F4" w:tentative="1">
      <w:start w:val="1"/>
      <w:numFmt w:val="bullet"/>
      <w:lvlText w:val=""/>
      <w:lvlJc w:val="left"/>
      <w:pPr>
        <w:tabs>
          <w:tab w:val="num" w:pos="1440"/>
        </w:tabs>
        <w:ind w:left="1440" w:hanging="360"/>
      </w:pPr>
      <w:rPr>
        <w:rFonts w:ascii="Wingdings" w:hAnsi="Wingdings" w:hint="default"/>
      </w:rPr>
    </w:lvl>
    <w:lvl w:ilvl="2" w:tplc="B8182652" w:tentative="1">
      <w:start w:val="1"/>
      <w:numFmt w:val="bullet"/>
      <w:lvlText w:val=""/>
      <w:lvlJc w:val="left"/>
      <w:pPr>
        <w:tabs>
          <w:tab w:val="num" w:pos="2160"/>
        </w:tabs>
        <w:ind w:left="2160" w:hanging="360"/>
      </w:pPr>
      <w:rPr>
        <w:rFonts w:ascii="Wingdings" w:hAnsi="Wingdings" w:hint="default"/>
      </w:rPr>
    </w:lvl>
    <w:lvl w:ilvl="3" w:tplc="62D62DA2" w:tentative="1">
      <w:start w:val="1"/>
      <w:numFmt w:val="bullet"/>
      <w:lvlText w:val=""/>
      <w:lvlJc w:val="left"/>
      <w:pPr>
        <w:tabs>
          <w:tab w:val="num" w:pos="2880"/>
        </w:tabs>
        <w:ind w:left="2880" w:hanging="360"/>
      </w:pPr>
      <w:rPr>
        <w:rFonts w:ascii="Wingdings" w:hAnsi="Wingdings" w:hint="default"/>
      </w:rPr>
    </w:lvl>
    <w:lvl w:ilvl="4" w:tplc="109A3022" w:tentative="1">
      <w:start w:val="1"/>
      <w:numFmt w:val="bullet"/>
      <w:lvlText w:val=""/>
      <w:lvlJc w:val="left"/>
      <w:pPr>
        <w:tabs>
          <w:tab w:val="num" w:pos="3600"/>
        </w:tabs>
        <w:ind w:left="3600" w:hanging="360"/>
      </w:pPr>
      <w:rPr>
        <w:rFonts w:ascii="Wingdings" w:hAnsi="Wingdings" w:hint="default"/>
      </w:rPr>
    </w:lvl>
    <w:lvl w:ilvl="5" w:tplc="10784EB8" w:tentative="1">
      <w:start w:val="1"/>
      <w:numFmt w:val="bullet"/>
      <w:lvlText w:val=""/>
      <w:lvlJc w:val="left"/>
      <w:pPr>
        <w:tabs>
          <w:tab w:val="num" w:pos="4320"/>
        </w:tabs>
        <w:ind w:left="4320" w:hanging="360"/>
      </w:pPr>
      <w:rPr>
        <w:rFonts w:ascii="Wingdings" w:hAnsi="Wingdings" w:hint="default"/>
      </w:rPr>
    </w:lvl>
    <w:lvl w:ilvl="6" w:tplc="75BA05BE" w:tentative="1">
      <w:start w:val="1"/>
      <w:numFmt w:val="bullet"/>
      <w:lvlText w:val=""/>
      <w:lvlJc w:val="left"/>
      <w:pPr>
        <w:tabs>
          <w:tab w:val="num" w:pos="5040"/>
        </w:tabs>
        <w:ind w:left="5040" w:hanging="360"/>
      </w:pPr>
      <w:rPr>
        <w:rFonts w:ascii="Wingdings" w:hAnsi="Wingdings" w:hint="default"/>
      </w:rPr>
    </w:lvl>
    <w:lvl w:ilvl="7" w:tplc="93F0D2F0" w:tentative="1">
      <w:start w:val="1"/>
      <w:numFmt w:val="bullet"/>
      <w:lvlText w:val=""/>
      <w:lvlJc w:val="left"/>
      <w:pPr>
        <w:tabs>
          <w:tab w:val="num" w:pos="5760"/>
        </w:tabs>
        <w:ind w:left="5760" w:hanging="360"/>
      </w:pPr>
      <w:rPr>
        <w:rFonts w:ascii="Wingdings" w:hAnsi="Wingdings" w:hint="default"/>
      </w:rPr>
    </w:lvl>
    <w:lvl w:ilvl="8" w:tplc="DD4424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D2897"/>
    <w:multiLevelType w:val="hybridMultilevel"/>
    <w:tmpl w:val="B6E611E2"/>
    <w:lvl w:ilvl="0" w:tplc="04090001">
      <w:start w:val="1"/>
      <w:numFmt w:val="bullet"/>
      <w:lvlText w:val=""/>
      <w:lvlJc w:val="left"/>
      <w:pPr>
        <w:tabs>
          <w:tab w:val="num" w:pos="720"/>
        </w:tabs>
        <w:ind w:left="720" w:hanging="360"/>
      </w:pPr>
      <w:rPr>
        <w:rFonts w:ascii="Symbol" w:hAnsi="Symbol" w:hint="default"/>
      </w:rPr>
    </w:lvl>
    <w:lvl w:ilvl="1" w:tplc="0E8671F8" w:tentative="1">
      <w:start w:val="1"/>
      <w:numFmt w:val="bullet"/>
      <w:lvlText w:val=""/>
      <w:lvlJc w:val="left"/>
      <w:pPr>
        <w:tabs>
          <w:tab w:val="num" w:pos="1440"/>
        </w:tabs>
        <w:ind w:left="1440" w:hanging="360"/>
      </w:pPr>
      <w:rPr>
        <w:rFonts w:ascii="Wingdings" w:hAnsi="Wingdings" w:hint="default"/>
      </w:rPr>
    </w:lvl>
    <w:lvl w:ilvl="2" w:tplc="9C2A8302" w:tentative="1">
      <w:start w:val="1"/>
      <w:numFmt w:val="bullet"/>
      <w:lvlText w:val=""/>
      <w:lvlJc w:val="left"/>
      <w:pPr>
        <w:tabs>
          <w:tab w:val="num" w:pos="2160"/>
        </w:tabs>
        <w:ind w:left="2160" w:hanging="360"/>
      </w:pPr>
      <w:rPr>
        <w:rFonts w:ascii="Wingdings" w:hAnsi="Wingdings" w:hint="default"/>
      </w:rPr>
    </w:lvl>
    <w:lvl w:ilvl="3" w:tplc="837C93F6" w:tentative="1">
      <w:start w:val="1"/>
      <w:numFmt w:val="bullet"/>
      <w:lvlText w:val=""/>
      <w:lvlJc w:val="left"/>
      <w:pPr>
        <w:tabs>
          <w:tab w:val="num" w:pos="2880"/>
        </w:tabs>
        <w:ind w:left="2880" w:hanging="360"/>
      </w:pPr>
      <w:rPr>
        <w:rFonts w:ascii="Wingdings" w:hAnsi="Wingdings" w:hint="default"/>
      </w:rPr>
    </w:lvl>
    <w:lvl w:ilvl="4" w:tplc="DADCE624" w:tentative="1">
      <w:start w:val="1"/>
      <w:numFmt w:val="bullet"/>
      <w:lvlText w:val=""/>
      <w:lvlJc w:val="left"/>
      <w:pPr>
        <w:tabs>
          <w:tab w:val="num" w:pos="3600"/>
        </w:tabs>
        <w:ind w:left="3600" w:hanging="360"/>
      </w:pPr>
      <w:rPr>
        <w:rFonts w:ascii="Wingdings" w:hAnsi="Wingdings" w:hint="default"/>
      </w:rPr>
    </w:lvl>
    <w:lvl w:ilvl="5" w:tplc="80ACEE60" w:tentative="1">
      <w:start w:val="1"/>
      <w:numFmt w:val="bullet"/>
      <w:lvlText w:val=""/>
      <w:lvlJc w:val="left"/>
      <w:pPr>
        <w:tabs>
          <w:tab w:val="num" w:pos="4320"/>
        </w:tabs>
        <w:ind w:left="4320" w:hanging="360"/>
      </w:pPr>
      <w:rPr>
        <w:rFonts w:ascii="Wingdings" w:hAnsi="Wingdings" w:hint="default"/>
      </w:rPr>
    </w:lvl>
    <w:lvl w:ilvl="6" w:tplc="65CEEF30" w:tentative="1">
      <w:start w:val="1"/>
      <w:numFmt w:val="bullet"/>
      <w:lvlText w:val=""/>
      <w:lvlJc w:val="left"/>
      <w:pPr>
        <w:tabs>
          <w:tab w:val="num" w:pos="5040"/>
        </w:tabs>
        <w:ind w:left="5040" w:hanging="360"/>
      </w:pPr>
      <w:rPr>
        <w:rFonts w:ascii="Wingdings" w:hAnsi="Wingdings" w:hint="default"/>
      </w:rPr>
    </w:lvl>
    <w:lvl w:ilvl="7" w:tplc="B52A96AC" w:tentative="1">
      <w:start w:val="1"/>
      <w:numFmt w:val="bullet"/>
      <w:lvlText w:val=""/>
      <w:lvlJc w:val="left"/>
      <w:pPr>
        <w:tabs>
          <w:tab w:val="num" w:pos="5760"/>
        </w:tabs>
        <w:ind w:left="5760" w:hanging="360"/>
      </w:pPr>
      <w:rPr>
        <w:rFonts w:ascii="Wingdings" w:hAnsi="Wingdings" w:hint="default"/>
      </w:rPr>
    </w:lvl>
    <w:lvl w:ilvl="8" w:tplc="AA16BF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636AF"/>
    <w:multiLevelType w:val="hybridMultilevel"/>
    <w:tmpl w:val="3CB08616"/>
    <w:lvl w:ilvl="0" w:tplc="A490CE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925CA"/>
    <w:multiLevelType w:val="hybridMultilevel"/>
    <w:tmpl w:val="809A20AA"/>
    <w:lvl w:ilvl="0" w:tplc="F962B5A2">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6A792B"/>
    <w:multiLevelType w:val="hybridMultilevel"/>
    <w:tmpl w:val="D734A01A"/>
    <w:lvl w:ilvl="0" w:tplc="04090001">
      <w:start w:val="1"/>
      <w:numFmt w:val="bullet"/>
      <w:lvlText w:val=""/>
      <w:lvlJc w:val="left"/>
      <w:pPr>
        <w:tabs>
          <w:tab w:val="num" w:pos="720"/>
        </w:tabs>
        <w:ind w:left="720" w:hanging="360"/>
      </w:pPr>
      <w:rPr>
        <w:rFonts w:ascii="Symbol" w:hAnsi="Symbol" w:hint="default"/>
      </w:rPr>
    </w:lvl>
    <w:lvl w:ilvl="1" w:tplc="3F78744C" w:tentative="1">
      <w:start w:val="1"/>
      <w:numFmt w:val="bullet"/>
      <w:lvlText w:val=""/>
      <w:lvlJc w:val="left"/>
      <w:pPr>
        <w:tabs>
          <w:tab w:val="num" w:pos="1440"/>
        </w:tabs>
        <w:ind w:left="1440" w:hanging="360"/>
      </w:pPr>
      <w:rPr>
        <w:rFonts w:ascii="Wingdings" w:hAnsi="Wingdings" w:hint="default"/>
      </w:rPr>
    </w:lvl>
    <w:lvl w:ilvl="2" w:tplc="F4C4C8BA" w:tentative="1">
      <w:start w:val="1"/>
      <w:numFmt w:val="bullet"/>
      <w:lvlText w:val=""/>
      <w:lvlJc w:val="left"/>
      <w:pPr>
        <w:tabs>
          <w:tab w:val="num" w:pos="2160"/>
        </w:tabs>
        <w:ind w:left="2160" w:hanging="360"/>
      </w:pPr>
      <w:rPr>
        <w:rFonts w:ascii="Wingdings" w:hAnsi="Wingdings" w:hint="default"/>
      </w:rPr>
    </w:lvl>
    <w:lvl w:ilvl="3" w:tplc="2ACC3730" w:tentative="1">
      <w:start w:val="1"/>
      <w:numFmt w:val="bullet"/>
      <w:lvlText w:val=""/>
      <w:lvlJc w:val="left"/>
      <w:pPr>
        <w:tabs>
          <w:tab w:val="num" w:pos="2880"/>
        </w:tabs>
        <w:ind w:left="2880" w:hanging="360"/>
      </w:pPr>
      <w:rPr>
        <w:rFonts w:ascii="Wingdings" w:hAnsi="Wingdings" w:hint="default"/>
      </w:rPr>
    </w:lvl>
    <w:lvl w:ilvl="4" w:tplc="9448290C" w:tentative="1">
      <w:start w:val="1"/>
      <w:numFmt w:val="bullet"/>
      <w:lvlText w:val=""/>
      <w:lvlJc w:val="left"/>
      <w:pPr>
        <w:tabs>
          <w:tab w:val="num" w:pos="3600"/>
        </w:tabs>
        <w:ind w:left="3600" w:hanging="360"/>
      </w:pPr>
      <w:rPr>
        <w:rFonts w:ascii="Wingdings" w:hAnsi="Wingdings" w:hint="default"/>
      </w:rPr>
    </w:lvl>
    <w:lvl w:ilvl="5" w:tplc="08B45E68" w:tentative="1">
      <w:start w:val="1"/>
      <w:numFmt w:val="bullet"/>
      <w:lvlText w:val=""/>
      <w:lvlJc w:val="left"/>
      <w:pPr>
        <w:tabs>
          <w:tab w:val="num" w:pos="4320"/>
        </w:tabs>
        <w:ind w:left="4320" w:hanging="360"/>
      </w:pPr>
      <w:rPr>
        <w:rFonts w:ascii="Wingdings" w:hAnsi="Wingdings" w:hint="default"/>
      </w:rPr>
    </w:lvl>
    <w:lvl w:ilvl="6" w:tplc="4AAE5BB4" w:tentative="1">
      <w:start w:val="1"/>
      <w:numFmt w:val="bullet"/>
      <w:lvlText w:val=""/>
      <w:lvlJc w:val="left"/>
      <w:pPr>
        <w:tabs>
          <w:tab w:val="num" w:pos="5040"/>
        </w:tabs>
        <w:ind w:left="5040" w:hanging="360"/>
      </w:pPr>
      <w:rPr>
        <w:rFonts w:ascii="Wingdings" w:hAnsi="Wingdings" w:hint="default"/>
      </w:rPr>
    </w:lvl>
    <w:lvl w:ilvl="7" w:tplc="80942BB0" w:tentative="1">
      <w:start w:val="1"/>
      <w:numFmt w:val="bullet"/>
      <w:lvlText w:val=""/>
      <w:lvlJc w:val="left"/>
      <w:pPr>
        <w:tabs>
          <w:tab w:val="num" w:pos="5760"/>
        </w:tabs>
        <w:ind w:left="5760" w:hanging="360"/>
      </w:pPr>
      <w:rPr>
        <w:rFonts w:ascii="Wingdings" w:hAnsi="Wingdings" w:hint="default"/>
      </w:rPr>
    </w:lvl>
    <w:lvl w:ilvl="8" w:tplc="5F72181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D471D"/>
    <w:multiLevelType w:val="hybridMultilevel"/>
    <w:tmpl w:val="DDFCA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A1A73"/>
    <w:multiLevelType w:val="hybridMultilevel"/>
    <w:tmpl w:val="6148A602"/>
    <w:lvl w:ilvl="0" w:tplc="CDCA7AE8">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D0476C8"/>
    <w:multiLevelType w:val="hybridMultilevel"/>
    <w:tmpl w:val="E64686C0"/>
    <w:lvl w:ilvl="0" w:tplc="04090001">
      <w:start w:val="1"/>
      <w:numFmt w:val="bullet"/>
      <w:lvlText w:val=""/>
      <w:lvlJc w:val="left"/>
      <w:pPr>
        <w:tabs>
          <w:tab w:val="num" w:pos="720"/>
        </w:tabs>
        <w:ind w:left="720" w:hanging="360"/>
      </w:pPr>
      <w:rPr>
        <w:rFonts w:ascii="Symbol" w:hAnsi="Symbol" w:hint="default"/>
      </w:rPr>
    </w:lvl>
    <w:lvl w:ilvl="1" w:tplc="0E78827A" w:tentative="1">
      <w:start w:val="1"/>
      <w:numFmt w:val="bullet"/>
      <w:lvlText w:val=""/>
      <w:lvlJc w:val="left"/>
      <w:pPr>
        <w:tabs>
          <w:tab w:val="num" w:pos="1440"/>
        </w:tabs>
        <w:ind w:left="1440" w:hanging="360"/>
      </w:pPr>
      <w:rPr>
        <w:rFonts w:ascii="Wingdings" w:hAnsi="Wingdings" w:hint="default"/>
      </w:rPr>
    </w:lvl>
    <w:lvl w:ilvl="2" w:tplc="F0522066" w:tentative="1">
      <w:start w:val="1"/>
      <w:numFmt w:val="bullet"/>
      <w:lvlText w:val=""/>
      <w:lvlJc w:val="left"/>
      <w:pPr>
        <w:tabs>
          <w:tab w:val="num" w:pos="2160"/>
        </w:tabs>
        <w:ind w:left="2160" w:hanging="360"/>
      </w:pPr>
      <w:rPr>
        <w:rFonts w:ascii="Wingdings" w:hAnsi="Wingdings" w:hint="default"/>
      </w:rPr>
    </w:lvl>
    <w:lvl w:ilvl="3" w:tplc="55A87084" w:tentative="1">
      <w:start w:val="1"/>
      <w:numFmt w:val="bullet"/>
      <w:lvlText w:val=""/>
      <w:lvlJc w:val="left"/>
      <w:pPr>
        <w:tabs>
          <w:tab w:val="num" w:pos="2880"/>
        </w:tabs>
        <w:ind w:left="2880" w:hanging="360"/>
      </w:pPr>
      <w:rPr>
        <w:rFonts w:ascii="Wingdings" w:hAnsi="Wingdings" w:hint="default"/>
      </w:rPr>
    </w:lvl>
    <w:lvl w:ilvl="4" w:tplc="ED0A2A24" w:tentative="1">
      <w:start w:val="1"/>
      <w:numFmt w:val="bullet"/>
      <w:lvlText w:val=""/>
      <w:lvlJc w:val="left"/>
      <w:pPr>
        <w:tabs>
          <w:tab w:val="num" w:pos="3600"/>
        </w:tabs>
        <w:ind w:left="3600" w:hanging="360"/>
      </w:pPr>
      <w:rPr>
        <w:rFonts w:ascii="Wingdings" w:hAnsi="Wingdings" w:hint="default"/>
      </w:rPr>
    </w:lvl>
    <w:lvl w:ilvl="5" w:tplc="3036F55C" w:tentative="1">
      <w:start w:val="1"/>
      <w:numFmt w:val="bullet"/>
      <w:lvlText w:val=""/>
      <w:lvlJc w:val="left"/>
      <w:pPr>
        <w:tabs>
          <w:tab w:val="num" w:pos="4320"/>
        </w:tabs>
        <w:ind w:left="4320" w:hanging="360"/>
      </w:pPr>
      <w:rPr>
        <w:rFonts w:ascii="Wingdings" w:hAnsi="Wingdings" w:hint="default"/>
      </w:rPr>
    </w:lvl>
    <w:lvl w:ilvl="6" w:tplc="7248C1B8" w:tentative="1">
      <w:start w:val="1"/>
      <w:numFmt w:val="bullet"/>
      <w:lvlText w:val=""/>
      <w:lvlJc w:val="left"/>
      <w:pPr>
        <w:tabs>
          <w:tab w:val="num" w:pos="5040"/>
        </w:tabs>
        <w:ind w:left="5040" w:hanging="360"/>
      </w:pPr>
      <w:rPr>
        <w:rFonts w:ascii="Wingdings" w:hAnsi="Wingdings" w:hint="default"/>
      </w:rPr>
    </w:lvl>
    <w:lvl w:ilvl="7" w:tplc="404E3E6A" w:tentative="1">
      <w:start w:val="1"/>
      <w:numFmt w:val="bullet"/>
      <w:lvlText w:val=""/>
      <w:lvlJc w:val="left"/>
      <w:pPr>
        <w:tabs>
          <w:tab w:val="num" w:pos="5760"/>
        </w:tabs>
        <w:ind w:left="5760" w:hanging="360"/>
      </w:pPr>
      <w:rPr>
        <w:rFonts w:ascii="Wingdings" w:hAnsi="Wingdings" w:hint="default"/>
      </w:rPr>
    </w:lvl>
    <w:lvl w:ilvl="8" w:tplc="F1F61F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959EF"/>
    <w:multiLevelType w:val="hybridMultilevel"/>
    <w:tmpl w:val="1E3AEC20"/>
    <w:lvl w:ilvl="0" w:tplc="A0601ADE">
      <w:start w:val="1"/>
      <w:numFmt w:val="bullet"/>
      <w:lvlText w:val="-"/>
      <w:lvlJc w:val="left"/>
      <w:pPr>
        <w:ind w:left="360" w:hanging="360"/>
      </w:pPr>
      <w:rPr>
        <w:rFonts w:ascii="Calibri" w:eastAsiaTheme="minorHAnsi"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654FDB"/>
    <w:multiLevelType w:val="hybridMultilevel"/>
    <w:tmpl w:val="8A1251A8"/>
    <w:lvl w:ilvl="0" w:tplc="04090001">
      <w:start w:val="1"/>
      <w:numFmt w:val="bullet"/>
      <w:lvlText w:val=""/>
      <w:lvlJc w:val="left"/>
      <w:pPr>
        <w:tabs>
          <w:tab w:val="num" w:pos="720"/>
        </w:tabs>
        <w:ind w:left="720" w:hanging="360"/>
      </w:pPr>
      <w:rPr>
        <w:rFonts w:ascii="Symbol" w:hAnsi="Symbol" w:hint="default"/>
      </w:rPr>
    </w:lvl>
    <w:lvl w:ilvl="1" w:tplc="1690DF60" w:tentative="1">
      <w:start w:val="1"/>
      <w:numFmt w:val="bullet"/>
      <w:lvlText w:val=""/>
      <w:lvlJc w:val="left"/>
      <w:pPr>
        <w:tabs>
          <w:tab w:val="num" w:pos="1440"/>
        </w:tabs>
        <w:ind w:left="1440" w:hanging="360"/>
      </w:pPr>
      <w:rPr>
        <w:rFonts w:ascii="Wingdings" w:hAnsi="Wingdings" w:hint="default"/>
      </w:rPr>
    </w:lvl>
    <w:lvl w:ilvl="2" w:tplc="0CB6084A" w:tentative="1">
      <w:start w:val="1"/>
      <w:numFmt w:val="bullet"/>
      <w:lvlText w:val=""/>
      <w:lvlJc w:val="left"/>
      <w:pPr>
        <w:tabs>
          <w:tab w:val="num" w:pos="2160"/>
        </w:tabs>
        <w:ind w:left="2160" w:hanging="360"/>
      </w:pPr>
      <w:rPr>
        <w:rFonts w:ascii="Wingdings" w:hAnsi="Wingdings" w:hint="default"/>
      </w:rPr>
    </w:lvl>
    <w:lvl w:ilvl="3" w:tplc="4B8A7444" w:tentative="1">
      <w:start w:val="1"/>
      <w:numFmt w:val="bullet"/>
      <w:lvlText w:val=""/>
      <w:lvlJc w:val="left"/>
      <w:pPr>
        <w:tabs>
          <w:tab w:val="num" w:pos="2880"/>
        </w:tabs>
        <w:ind w:left="2880" w:hanging="360"/>
      </w:pPr>
      <w:rPr>
        <w:rFonts w:ascii="Wingdings" w:hAnsi="Wingdings" w:hint="default"/>
      </w:rPr>
    </w:lvl>
    <w:lvl w:ilvl="4" w:tplc="AE965C4E" w:tentative="1">
      <w:start w:val="1"/>
      <w:numFmt w:val="bullet"/>
      <w:lvlText w:val=""/>
      <w:lvlJc w:val="left"/>
      <w:pPr>
        <w:tabs>
          <w:tab w:val="num" w:pos="3600"/>
        </w:tabs>
        <w:ind w:left="3600" w:hanging="360"/>
      </w:pPr>
      <w:rPr>
        <w:rFonts w:ascii="Wingdings" w:hAnsi="Wingdings" w:hint="default"/>
      </w:rPr>
    </w:lvl>
    <w:lvl w:ilvl="5" w:tplc="B4BADFB8" w:tentative="1">
      <w:start w:val="1"/>
      <w:numFmt w:val="bullet"/>
      <w:lvlText w:val=""/>
      <w:lvlJc w:val="left"/>
      <w:pPr>
        <w:tabs>
          <w:tab w:val="num" w:pos="4320"/>
        </w:tabs>
        <w:ind w:left="4320" w:hanging="360"/>
      </w:pPr>
      <w:rPr>
        <w:rFonts w:ascii="Wingdings" w:hAnsi="Wingdings" w:hint="default"/>
      </w:rPr>
    </w:lvl>
    <w:lvl w:ilvl="6" w:tplc="4DFC3E58" w:tentative="1">
      <w:start w:val="1"/>
      <w:numFmt w:val="bullet"/>
      <w:lvlText w:val=""/>
      <w:lvlJc w:val="left"/>
      <w:pPr>
        <w:tabs>
          <w:tab w:val="num" w:pos="5040"/>
        </w:tabs>
        <w:ind w:left="5040" w:hanging="360"/>
      </w:pPr>
      <w:rPr>
        <w:rFonts w:ascii="Wingdings" w:hAnsi="Wingdings" w:hint="default"/>
      </w:rPr>
    </w:lvl>
    <w:lvl w:ilvl="7" w:tplc="1990FFB2" w:tentative="1">
      <w:start w:val="1"/>
      <w:numFmt w:val="bullet"/>
      <w:lvlText w:val=""/>
      <w:lvlJc w:val="left"/>
      <w:pPr>
        <w:tabs>
          <w:tab w:val="num" w:pos="5760"/>
        </w:tabs>
        <w:ind w:left="5760" w:hanging="360"/>
      </w:pPr>
      <w:rPr>
        <w:rFonts w:ascii="Wingdings" w:hAnsi="Wingdings" w:hint="default"/>
      </w:rPr>
    </w:lvl>
    <w:lvl w:ilvl="8" w:tplc="D59C7E5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97B11"/>
    <w:multiLevelType w:val="hybridMultilevel"/>
    <w:tmpl w:val="131090F6"/>
    <w:lvl w:ilvl="0" w:tplc="8F8C8648">
      <w:start w:val="1"/>
      <w:numFmt w:val="bullet"/>
      <w:lvlText w:val="•"/>
      <w:lvlJc w:val="left"/>
      <w:pPr>
        <w:tabs>
          <w:tab w:val="num" w:pos="720"/>
        </w:tabs>
        <w:ind w:left="720" w:hanging="360"/>
      </w:pPr>
      <w:rPr>
        <w:rFonts w:ascii="Arial" w:hAnsi="Arial" w:hint="default"/>
      </w:rPr>
    </w:lvl>
    <w:lvl w:ilvl="1" w:tplc="F7F0392C">
      <w:start w:val="1"/>
      <w:numFmt w:val="bullet"/>
      <w:lvlText w:val="•"/>
      <w:lvlJc w:val="left"/>
      <w:pPr>
        <w:tabs>
          <w:tab w:val="num" w:pos="1440"/>
        </w:tabs>
        <w:ind w:left="1440" w:hanging="360"/>
      </w:pPr>
      <w:rPr>
        <w:rFonts w:ascii="Arial" w:hAnsi="Arial" w:hint="default"/>
      </w:rPr>
    </w:lvl>
    <w:lvl w:ilvl="2" w:tplc="9A985740" w:tentative="1">
      <w:start w:val="1"/>
      <w:numFmt w:val="bullet"/>
      <w:lvlText w:val="•"/>
      <w:lvlJc w:val="left"/>
      <w:pPr>
        <w:tabs>
          <w:tab w:val="num" w:pos="2160"/>
        </w:tabs>
        <w:ind w:left="2160" w:hanging="360"/>
      </w:pPr>
      <w:rPr>
        <w:rFonts w:ascii="Arial" w:hAnsi="Arial" w:hint="default"/>
      </w:rPr>
    </w:lvl>
    <w:lvl w:ilvl="3" w:tplc="A2448F00" w:tentative="1">
      <w:start w:val="1"/>
      <w:numFmt w:val="bullet"/>
      <w:lvlText w:val="•"/>
      <w:lvlJc w:val="left"/>
      <w:pPr>
        <w:tabs>
          <w:tab w:val="num" w:pos="2880"/>
        </w:tabs>
        <w:ind w:left="2880" w:hanging="360"/>
      </w:pPr>
      <w:rPr>
        <w:rFonts w:ascii="Arial" w:hAnsi="Arial" w:hint="default"/>
      </w:rPr>
    </w:lvl>
    <w:lvl w:ilvl="4" w:tplc="66821532" w:tentative="1">
      <w:start w:val="1"/>
      <w:numFmt w:val="bullet"/>
      <w:lvlText w:val="•"/>
      <w:lvlJc w:val="left"/>
      <w:pPr>
        <w:tabs>
          <w:tab w:val="num" w:pos="3600"/>
        </w:tabs>
        <w:ind w:left="3600" w:hanging="360"/>
      </w:pPr>
      <w:rPr>
        <w:rFonts w:ascii="Arial" w:hAnsi="Arial" w:hint="default"/>
      </w:rPr>
    </w:lvl>
    <w:lvl w:ilvl="5" w:tplc="97169DBC" w:tentative="1">
      <w:start w:val="1"/>
      <w:numFmt w:val="bullet"/>
      <w:lvlText w:val="•"/>
      <w:lvlJc w:val="left"/>
      <w:pPr>
        <w:tabs>
          <w:tab w:val="num" w:pos="4320"/>
        </w:tabs>
        <w:ind w:left="4320" w:hanging="360"/>
      </w:pPr>
      <w:rPr>
        <w:rFonts w:ascii="Arial" w:hAnsi="Arial" w:hint="default"/>
      </w:rPr>
    </w:lvl>
    <w:lvl w:ilvl="6" w:tplc="B04CDA76" w:tentative="1">
      <w:start w:val="1"/>
      <w:numFmt w:val="bullet"/>
      <w:lvlText w:val="•"/>
      <w:lvlJc w:val="left"/>
      <w:pPr>
        <w:tabs>
          <w:tab w:val="num" w:pos="5040"/>
        </w:tabs>
        <w:ind w:left="5040" w:hanging="360"/>
      </w:pPr>
      <w:rPr>
        <w:rFonts w:ascii="Arial" w:hAnsi="Arial" w:hint="default"/>
      </w:rPr>
    </w:lvl>
    <w:lvl w:ilvl="7" w:tplc="765E86A0" w:tentative="1">
      <w:start w:val="1"/>
      <w:numFmt w:val="bullet"/>
      <w:lvlText w:val="•"/>
      <w:lvlJc w:val="left"/>
      <w:pPr>
        <w:tabs>
          <w:tab w:val="num" w:pos="5760"/>
        </w:tabs>
        <w:ind w:left="5760" w:hanging="360"/>
      </w:pPr>
      <w:rPr>
        <w:rFonts w:ascii="Arial" w:hAnsi="Arial" w:hint="default"/>
      </w:rPr>
    </w:lvl>
    <w:lvl w:ilvl="8" w:tplc="36EEB4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7E4E49"/>
    <w:multiLevelType w:val="hybridMultilevel"/>
    <w:tmpl w:val="A3FC7B9C"/>
    <w:lvl w:ilvl="0" w:tplc="04090001">
      <w:start w:val="1"/>
      <w:numFmt w:val="bullet"/>
      <w:lvlText w:val=""/>
      <w:lvlJc w:val="left"/>
      <w:pPr>
        <w:tabs>
          <w:tab w:val="num" w:pos="720"/>
        </w:tabs>
        <w:ind w:left="720" w:hanging="360"/>
      </w:pPr>
      <w:rPr>
        <w:rFonts w:ascii="Symbol" w:hAnsi="Symbol" w:hint="default"/>
      </w:rPr>
    </w:lvl>
    <w:lvl w:ilvl="1" w:tplc="63AC215A" w:tentative="1">
      <w:start w:val="1"/>
      <w:numFmt w:val="bullet"/>
      <w:lvlText w:val=""/>
      <w:lvlJc w:val="left"/>
      <w:pPr>
        <w:tabs>
          <w:tab w:val="num" w:pos="1440"/>
        </w:tabs>
        <w:ind w:left="1440" w:hanging="360"/>
      </w:pPr>
      <w:rPr>
        <w:rFonts w:ascii="Wingdings" w:hAnsi="Wingdings" w:hint="default"/>
      </w:rPr>
    </w:lvl>
    <w:lvl w:ilvl="2" w:tplc="E0FCCCC6" w:tentative="1">
      <w:start w:val="1"/>
      <w:numFmt w:val="bullet"/>
      <w:lvlText w:val=""/>
      <w:lvlJc w:val="left"/>
      <w:pPr>
        <w:tabs>
          <w:tab w:val="num" w:pos="2160"/>
        </w:tabs>
        <w:ind w:left="2160" w:hanging="360"/>
      </w:pPr>
      <w:rPr>
        <w:rFonts w:ascii="Wingdings" w:hAnsi="Wingdings" w:hint="default"/>
      </w:rPr>
    </w:lvl>
    <w:lvl w:ilvl="3" w:tplc="56C084B2" w:tentative="1">
      <w:start w:val="1"/>
      <w:numFmt w:val="bullet"/>
      <w:lvlText w:val=""/>
      <w:lvlJc w:val="left"/>
      <w:pPr>
        <w:tabs>
          <w:tab w:val="num" w:pos="2880"/>
        </w:tabs>
        <w:ind w:left="2880" w:hanging="360"/>
      </w:pPr>
      <w:rPr>
        <w:rFonts w:ascii="Wingdings" w:hAnsi="Wingdings" w:hint="default"/>
      </w:rPr>
    </w:lvl>
    <w:lvl w:ilvl="4" w:tplc="25801D10" w:tentative="1">
      <w:start w:val="1"/>
      <w:numFmt w:val="bullet"/>
      <w:lvlText w:val=""/>
      <w:lvlJc w:val="left"/>
      <w:pPr>
        <w:tabs>
          <w:tab w:val="num" w:pos="3600"/>
        </w:tabs>
        <w:ind w:left="3600" w:hanging="360"/>
      </w:pPr>
      <w:rPr>
        <w:rFonts w:ascii="Wingdings" w:hAnsi="Wingdings" w:hint="default"/>
      </w:rPr>
    </w:lvl>
    <w:lvl w:ilvl="5" w:tplc="58A88C96" w:tentative="1">
      <w:start w:val="1"/>
      <w:numFmt w:val="bullet"/>
      <w:lvlText w:val=""/>
      <w:lvlJc w:val="left"/>
      <w:pPr>
        <w:tabs>
          <w:tab w:val="num" w:pos="4320"/>
        </w:tabs>
        <w:ind w:left="4320" w:hanging="360"/>
      </w:pPr>
      <w:rPr>
        <w:rFonts w:ascii="Wingdings" w:hAnsi="Wingdings" w:hint="default"/>
      </w:rPr>
    </w:lvl>
    <w:lvl w:ilvl="6" w:tplc="EB34D79A" w:tentative="1">
      <w:start w:val="1"/>
      <w:numFmt w:val="bullet"/>
      <w:lvlText w:val=""/>
      <w:lvlJc w:val="left"/>
      <w:pPr>
        <w:tabs>
          <w:tab w:val="num" w:pos="5040"/>
        </w:tabs>
        <w:ind w:left="5040" w:hanging="360"/>
      </w:pPr>
      <w:rPr>
        <w:rFonts w:ascii="Wingdings" w:hAnsi="Wingdings" w:hint="default"/>
      </w:rPr>
    </w:lvl>
    <w:lvl w:ilvl="7" w:tplc="A7B200DC" w:tentative="1">
      <w:start w:val="1"/>
      <w:numFmt w:val="bullet"/>
      <w:lvlText w:val=""/>
      <w:lvlJc w:val="left"/>
      <w:pPr>
        <w:tabs>
          <w:tab w:val="num" w:pos="5760"/>
        </w:tabs>
        <w:ind w:left="5760" w:hanging="360"/>
      </w:pPr>
      <w:rPr>
        <w:rFonts w:ascii="Wingdings" w:hAnsi="Wingdings" w:hint="default"/>
      </w:rPr>
    </w:lvl>
    <w:lvl w:ilvl="8" w:tplc="3278B3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D6F7F"/>
    <w:multiLevelType w:val="hybridMultilevel"/>
    <w:tmpl w:val="3D4C199E"/>
    <w:lvl w:ilvl="0" w:tplc="04090001">
      <w:start w:val="1"/>
      <w:numFmt w:val="bullet"/>
      <w:lvlText w:val=""/>
      <w:lvlJc w:val="left"/>
      <w:pPr>
        <w:tabs>
          <w:tab w:val="num" w:pos="720"/>
        </w:tabs>
        <w:ind w:left="720" w:hanging="360"/>
      </w:pPr>
      <w:rPr>
        <w:rFonts w:ascii="Symbol" w:hAnsi="Symbol" w:hint="default"/>
      </w:rPr>
    </w:lvl>
    <w:lvl w:ilvl="1" w:tplc="D4C4FD7E" w:tentative="1">
      <w:start w:val="1"/>
      <w:numFmt w:val="bullet"/>
      <w:lvlText w:val=""/>
      <w:lvlJc w:val="left"/>
      <w:pPr>
        <w:tabs>
          <w:tab w:val="num" w:pos="1440"/>
        </w:tabs>
        <w:ind w:left="1440" w:hanging="360"/>
      </w:pPr>
      <w:rPr>
        <w:rFonts w:ascii="Wingdings" w:hAnsi="Wingdings" w:hint="default"/>
      </w:rPr>
    </w:lvl>
    <w:lvl w:ilvl="2" w:tplc="83C46FC4" w:tentative="1">
      <w:start w:val="1"/>
      <w:numFmt w:val="bullet"/>
      <w:lvlText w:val=""/>
      <w:lvlJc w:val="left"/>
      <w:pPr>
        <w:tabs>
          <w:tab w:val="num" w:pos="2160"/>
        </w:tabs>
        <w:ind w:left="2160" w:hanging="360"/>
      </w:pPr>
      <w:rPr>
        <w:rFonts w:ascii="Wingdings" w:hAnsi="Wingdings" w:hint="default"/>
      </w:rPr>
    </w:lvl>
    <w:lvl w:ilvl="3" w:tplc="49BC0A0A" w:tentative="1">
      <w:start w:val="1"/>
      <w:numFmt w:val="bullet"/>
      <w:lvlText w:val=""/>
      <w:lvlJc w:val="left"/>
      <w:pPr>
        <w:tabs>
          <w:tab w:val="num" w:pos="2880"/>
        </w:tabs>
        <w:ind w:left="2880" w:hanging="360"/>
      </w:pPr>
      <w:rPr>
        <w:rFonts w:ascii="Wingdings" w:hAnsi="Wingdings" w:hint="default"/>
      </w:rPr>
    </w:lvl>
    <w:lvl w:ilvl="4" w:tplc="83889356" w:tentative="1">
      <w:start w:val="1"/>
      <w:numFmt w:val="bullet"/>
      <w:lvlText w:val=""/>
      <w:lvlJc w:val="left"/>
      <w:pPr>
        <w:tabs>
          <w:tab w:val="num" w:pos="3600"/>
        </w:tabs>
        <w:ind w:left="3600" w:hanging="360"/>
      </w:pPr>
      <w:rPr>
        <w:rFonts w:ascii="Wingdings" w:hAnsi="Wingdings" w:hint="default"/>
      </w:rPr>
    </w:lvl>
    <w:lvl w:ilvl="5" w:tplc="BCF0CA28" w:tentative="1">
      <w:start w:val="1"/>
      <w:numFmt w:val="bullet"/>
      <w:lvlText w:val=""/>
      <w:lvlJc w:val="left"/>
      <w:pPr>
        <w:tabs>
          <w:tab w:val="num" w:pos="4320"/>
        </w:tabs>
        <w:ind w:left="4320" w:hanging="360"/>
      </w:pPr>
      <w:rPr>
        <w:rFonts w:ascii="Wingdings" w:hAnsi="Wingdings" w:hint="default"/>
      </w:rPr>
    </w:lvl>
    <w:lvl w:ilvl="6" w:tplc="EAF08A7C" w:tentative="1">
      <w:start w:val="1"/>
      <w:numFmt w:val="bullet"/>
      <w:lvlText w:val=""/>
      <w:lvlJc w:val="left"/>
      <w:pPr>
        <w:tabs>
          <w:tab w:val="num" w:pos="5040"/>
        </w:tabs>
        <w:ind w:left="5040" w:hanging="360"/>
      </w:pPr>
      <w:rPr>
        <w:rFonts w:ascii="Wingdings" w:hAnsi="Wingdings" w:hint="default"/>
      </w:rPr>
    </w:lvl>
    <w:lvl w:ilvl="7" w:tplc="4ACE40CE" w:tentative="1">
      <w:start w:val="1"/>
      <w:numFmt w:val="bullet"/>
      <w:lvlText w:val=""/>
      <w:lvlJc w:val="left"/>
      <w:pPr>
        <w:tabs>
          <w:tab w:val="num" w:pos="5760"/>
        </w:tabs>
        <w:ind w:left="5760" w:hanging="360"/>
      </w:pPr>
      <w:rPr>
        <w:rFonts w:ascii="Wingdings" w:hAnsi="Wingdings" w:hint="default"/>
      </w:rPr>
    </w:lvl>
    <w:lvl w:ilvl="8" w:tplc="B278431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26"/>
  </w:num>
  <w:num w:numId="6">
    <w:abstractNumId w:val="31"/>
  </w:num>
  <w:num w:numId="7">
    <w:abstractNumId w:val="14"/>
  </w:num>
  <w:num w:numId="8">
    <w:abstractNumId w:val="30"/>
  </w:num>
  <w:num w:numId="9">
    <w:abstractNumId w:val="17"/>
  </w:num>
  <w:num w:numId="10">
    <w:abstractNumId w:val="10"/>
  </w:num>
  <w:num w:numId="11">
    <w:abstractNumId w:val="18"/>
  </w:num>
  <w:num w:numId="12">
    <w:abstractNumId w:val="28"/>
  </w:num>
  <w:num w:numId="13">
    <w:abstractNumId w:val="34"/>
  </w:num>
  <w:num w:numId="14">
    <w:abstractNumId w:val="7"/>
  </w:num>
  <w:num w:numId="15">
    <w:abstractNumId w:val="35"/>
  </w:num>
  <w:num w:numId="16">
    <w:abstractNumId w:val="24"/>
  </w:num>
  <w:num w:numId="17">
    <w:abstractNumId w:val="20"/>
  </w:num>
  <w:num w:numId="18">
    <w:abstractNumId w:val="19"/>
  </w:num>
  <w:num w:numId="19">
    <w:abstractNumId w:val="22"/>
  </w:num>
  <w:num w:numId="20">
    <w:abstractNumId w:val="23"/>
  </w:num>
  <w:num w:numId="21">
    <w:abstractNumId w:val="21"/>
  </w:num>
  <w:num w:numId="22">
    <w:abstractNumId w:val="27"/>
  </w:num>
  <w:num w:numId="23">
    <w:abstractNumId w:val="1"/>
  </w:num>
  <w:num w:numId="24">
    <w:abstractNumId w:val="12"/>
  </w:num>
  <w:num w:numId="25">
    <w:abstractNumId w:val="15"/>
  </w:num>
  <w:num w:numId="26">
    <w:abstractNumId w:val="32"/>
  </w:num>
  <w:num w:numId="27">
    <w:abstractNumId w:val="11"/>
  </w:num>
  <w:num w:numId="28">
    <w:abstractNumId w:val="3"/>
  </w:num>
  <w:num w:numId="29">
    <w:abstractNumId w:val="8"/>
  </w:num>
  <w:num w:numId="30">
    <w:abstractNumId w:val="25"/>
  </w:num>
  <w:num w:numId="31">
    <w:abstractNumId w:val="31"/>
  </w:num>
  <w:num w:numId="32">
    <w:abstractNumId w:val="14"/>
  </w:num>
  <w:num w:numId="33">
    <w:abstractNumId w:val="16"/>
  </w:num>
  <w:num w:numId="34">
    <w:abstractNumId w:val="5"/>
  </w:num>
  <w:num w:numId="35">
    <w:abstractNumId w:val="4"/>
  </w:num>
  <w:num w:numId="36">
    <w:abstractNumId w:val="33"/>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CF"/>
    <w:rsid w:val="00002BF4"/>
    <w:rsid w:val="00005D86"/>
    <w:rsid w:val="00006E0F"/>
    <w:rsid w:val="0000705F"/>
    <w:rsid w:val="0000726F"/>
    <w:rsid w:val="000111B2"/>
    <w:rsid w:val="00011EEC"/>
    <w:rsid w:val="00015BAC"/>
    <w:rsid w:val="00022780"/>
    <w:rsid w:val="00022BEC"/>
    <w:rsid w:val="0002341E"/>
    <w:rsid w:val="0002361B"/>
    <w:rsid w:val="000274DB"/>
    <w:rsid w:val="000300DB"/>
    <w:rsid w:val="000320E5"/>
    <w:rsid w:val="00037D10"/>
    <w:rsid w:val="000425CB"/>
    <w:rsid w:val="00042A02"/>
    <w:rsid w:val="00043782"/>
    <w:rsid w:val="00044209"/>
    <w:rsid w:val="000451C6"/>
    <w:rsid w:val="00052BBF"/>
    <w:rsid w:val="000539B2"/>
    <w:rsid w:val="00055CAC"/>
    <w:rsid w:val="00056127"/>
    <w:rsid w:val="00062124"/>
    <w:rsid w:val="0006416D"/>
    <w:rsid w:val="0006424D"/>
    <w:rsid w:val="00065552"/>
    <w:rsid w:val="00065BAB"/>
    <w:rsid w:val="00070AD8"/>
    <w:rsid w:val="00073459"/>
    <w:rsid w:val="00073AA7"/>
    <w:rsid w:val="00075FC5"/>
    <w:rsid w:val="0007634D"/>
    <w:rsid w:val="000825B4"/>
    <w:rsid w:val="00083742"/>
    <w:rsid w:val="00083868"/>
    <w:rsid w:val="00090693"/>
    <w:rsid w:val="00091672"/>
    <w:rsid w:val="0009168C"/>
    <w:rsid w:val="00092D43"/>
    <w:rsid w:val="00093D05"/>
    <w:rsid w:val="0009715B"/>
    <w:rsid w:val="000A043A"/>
    <w:rsid w:val="000A09A2"/>
    <w:rsid w:val="000A13D7"/>
    <w:rsid w:val="000A2E1E"/>
    <w:rsid w:val="000A30C7"/>
    <w:rsid w:val="000A54BB"/>
    <w:rsid w:val="000A7B86"/>
    <w:rsid w:val="000B0120"/>
    <w:rsid w:val="000B01C4"/>
    <w:rsid w:val="000B10CF"/>
    <w:rsid w:val="000B584A"/>
    <w:rsid w:val="000B58CA"/>
    <w:rsid w:val="000C1B55"/>
    <w:rsid w:val="000C6A41"/>
    <w:rsid w:val="000C7E27"/>
    <w:rsid w:val="000D054D"/>
    <w:rsid w:val="000D2C16"/>
    <w:rsid w:val="000D4C1E"/>
    <w:rsid w:val="000D57EA"/>
    <w:rsid w:val="000D5E8A"/>
    <w:rsid w:val="000D60F4"/>
    <w:rsid w:val="000D60FF"/>
    <w:rsid w:val="000D7BA5"/>
    <w:rsid w:val="000E2762"/>
    <w:rsid w:val="000E2CD4"/>
    <w:rsid w:val="000E3F2A"/>
    <w:rsid w:val="000E5573"/>
    <w:rsid w:val="000E5CBF"/>
    <w:rsid w:val="000E5F37"/>
    <w:rsid w:val="000F20C5"/>
    <w:rsid w:val="000F309E"/>
    <w:rsid w:val="000F3EBB"/>
    <w:rsid w:val="000F4553"/>
    <w:rsid w:val="000F4960"/>
    <w:rsid w:val="000F4C6B"/>
    <w:rsid w:val="000F7ED9"/>
    <w:rsid w:val="0010296D"/>
    <w:rsid w:val="00106376"/>
    <w:rsid w:val="001079F5"/>
    <w:rsid w:val="00110C82"/>
    <w:rsid w:val="001111F2"/>
    <w:rsid w:val="001112E6"/>
    <w:rsid w:val="0011285C"/>
    <w:rsid w:val="00115DEA"/>
    <w:rsid w:val="00116769"/>
    <w:rsid w:val="00117A6D"/>
    <w:rsid w:val="00117AF2"/>
    <w:rsid w:val="00117BFB"/>
    <w:rsid w:val="00120592"/>
    <w:rsid w:val="00120D7B"/>
    <w:rsid w:val="001215C5"/>
    <w:rsid w:val="0012218E"/>
    <w:rsid w:val="00125D7E"/>
    <w:rsid w:val="001264F3"/>
    <w:rsid w:val="00127066"/>
    <w:rsid w:val="001274F9"/>
    <w:rsid w:val="0013079B"/>
    <w:rsid w:val="00135012"/>
    <w:rsid w:val="001359D5"/>
    <w:rsid w:val="0013607B"/>
    <w:rsid w:val="00136677"/>
    <w:rsid w:val="0014253E"/>
    <w:rsid w:val="00143A1E"/>
    <w:rsid w:val="001501ED"/>
    <w:rsid w:val="0015116B"/>
    <w:rsid w:val="001519BD"/>
    <w:rsid w:val="001524E8"/>
    <w:rsid w:val="00155321"/>
    <w:rsid w:val="0015654F"/>
    <w:rsid w:val="0016299B"/>
    <w:rsid w:val="001641B1"/>
    <w:rsid w:val="00166328"/>
    <w:rsid w:val="00167516"/>
    <w:rsid w:val="00171BCD"/>
    <w:rsid w:val="00174518"/>
    <w:rsid w:val="00175246"/>
    <w:rsid w:val="00175367"/>
    <w:rsid w:val="001777D9"/>
    <w:rsid w:val="00177952"/>
    <w:rsid w:val="00180AA3"/>
    <w:rsid w:val="00186D2C"/>
    <w:rsid w:val="0018746E"/>
    <w:rsid w:val="00187EEE"/>
    <w:rsid w:val="001923B2"/>
    <w:rsid w:val="001928D9"/>
    <w:rsid w:val="0019603C"/>
    <w:rsid w:val="00197510"/>
    <w:rsid w:val="00197644"/>
    <w:rsid w:val="001A19EE"/>
    <w:rsid w:val="001A356C"/>
    <w:rsid w:val="001A4505"/>
    <w:rsid w:val="001A6198"/>
    <w:rsid w:val="001A74F7"/>
    <w:rsid w:val="001B0909"/>
    <w:rsid w:val="001B1F40"/>
    <w:rsid w:val="001B2EC3"/>
    <w:rsid w:val="001B6D0F"/>
    <w:rsid w:val="001B79CF"/>
    <w:rsid w:val="001C1564"/>
    <w:rsid w:val="001C1A4B"/>
    <w:rsid w:val="001C317E"/>
    <w:rsid w:val="001C381A"/>
    <w:rsid w:val="001C3BC4"/>
    <w:rsid w:val="001D02F2"/>
    <w:rsid w:val="001D3130"/>
    <w:rsid w:val="001D47A9"/>
    <w:rsid w:val="001E15DA"/>
    <w:rsid w:val="001E1ADF"/>
    <w:rsid w:val="001E2A5C"/>
    <w:rsid w:val="001E4B37"/>
    <w:rsid w:val="001E4E8C"/>
    <w:rsid w:val="001E507C"/>
    <w:rsid w:val="001E50E0"/>
    <w:rsid w:val="001E71BC"/>
    <w:rsid w:val="001F4106"/>
    <w:rsid w:val="001F44E7"/>
    <w:rsid w:val="001F519A"/>
    <w:rsid w:val="001F541F"/>
    <w:rsid w:val="001F7492"/>
    <w:rsid w:val="00205B03"/>
    <w:rsid w:val="0021167E"/>
    <w:rsid w:val="002132B9"/>
    <w:rsid w:val="002154E7"/>
    <w:rsid w:val="002201B6"/>
    <w:rsid w:val="00222EC0"/>
    <w:rsid w:val="00223176"/>
    <w:rsid w:val="002269A9"/>
    <w:rsid w:val="002271BE"/>
    <w:rsid w:val="00230140"/>
    <w:rsid w:val="0023270A"/>
    <w:rsid w:val="00233F47"/>
    <w:rsid w:val="00235270"/>
    <w:rsid w:val="002357CB"/>
    <w:rsid w:val="00236A43"/>
    <w:rsid w:val="00237704"/>
    <w:rsid w:val="002414A3"/>
    <w:rsid w:val="00243543"/>
    <w:rsid w:val="00246D05"/>
    <w:rsid w:val="00250E93"/>
    <w:rsid w:val="0025136C"/>
    <w:rsid w:val="00253E98"/>
    <w:rsid w:val="0025411D"/>
    <w:rsid w:val="0025618D"/>
    <w:rsid w:val="00262373"/>
    <w:rsid w:val="002624B8"/>
    <w:rsid w:val="00263EF1"/>
    <w:rsid w:val="002647D4"/>
    <w:rsid w:val="00266EAC"/>
    <w:rsid w:val="00273029"/>
    <w:rsid w:val="002745D0"/>
    <w:rsid w:val="002750F4"/>
    <w:rsid w:val="002764EB"/>
    <w:rsid w:val="002778DE"/>
    <w:rsid w:val="00277959"/>
    <w:rsid w:val="002805A5"/>
    <w:rsid w:val="0028165A"/>
    <w:rsid w:val="0028441D"/>
    <w:rsid w:val="00284E02"/>
    <w:rsid w:val="00287C38"/>
    <w:rsid w:val="0029180B"/>
    <w:rsid w:val="00292D60"/>
    <w:rsid w:val="00293106"/>
    <w:rsid w:val="00295278"/>
    <w:rsid w:val="00297320"/>
    <w:rsid w:val="00297BD2"/>
    <w:rsid w:val="002A471E"/>
    <w:rsid w:val="002A5A80"/>
    <w:rsid w:val="002A7941"/>
    <w:rsid w:val="002B0253"/>
    <w:rsid w:val="002B19EA"/>
    <w:rsid w:val="002B1B63"/>
    <w:rsid w:val="002B2754"/>
    <w:rsid w:val="002B4DB1"/>
    <w:rsid w:val="002B5760"/>
    <w:rsid w:val="002C0097"/>
    <w:rsid w:val="002C0462"/>
    <w:rsid w:val="002C1EFC"/>
    <w:rsid w:val="002C26DB"/>
    <w:rsid w:val="002C2B5F"/>
    <w:rsid w:val="002C4E0A"/>
    <w:rsid w:val="002C639B"/>
    <w:rsid w:val="002C6C2E"/>
    <w:rsid w:val="002C75ED"/>
    <w:rsid w:val="002D0C4F"/>
    <w:rsid w:val="002D13B9"/>
    <w:rsid w:val="002D4000"/>
    <w:rsid w:val="002D47A8"/>
    <w:rsid w:val="002D55D3"/>
    <w:rsid w:val="002D6EFE"/>
    <w:rsid w:val="002E02EB"/>
    <w:rsid w:val="002E0E59"/>
    <w:rsid w:val="002E1578"/>
    <w:rsid w:val="002E22BC"/>
    <w:rsid w:val="002E2C63"/>
    <w:rsid w:val="002E31B4"/>
    <w:rsid w:val="002E3278"/>
    <w:rsid w:val="002E34D2"/>
    <w:rsid w:val="002E3AFF"/>
    <w:rsid w:val="002E3BF9"/>
    <w:rsid w:val="002E5A90"/>
    <w:rsid w:val="002E6256"/>
    <w:rsid w:val="002F16C2"/>
    <w:rsid w:val="002F2364"/>
    <w:rsid w:val="002F37F7"/>
    <w:rsid w:val="002F408E"/>
    <w:rsid w:val="002F5613"/>
    <w:rsid w:val="002F5F20"/>
    <w:rsid w:val="002F67D1"/>
    <w:rsid w:val="003009DF"/>
    <w:rsid w:val="00303462"/>
    <w:rsid w:val="00311524"/>
    <w:rsid w:val="0031195E"/>
    <w:rsid w:val="00313292"/>
    <w:rsid w:val="00316EB3"/>
    <w:rsid w:val="00320431"/>
    <w:rsid w:val="00321169"/>
    <w:rsid w:val="00322505"/>
    <w:rsid w:val="0032704E"/>
    <w:rsid w:val="0032767F"/>
    <w:rsid w:val="003301E5"/>
    <w:rsid w:val="0033516F"/>
    <w:rsid w:val="003363AE"/>
    <w:rsid w:val="00337E13"/>
    <w:rsid w:val="00341E74"/>
    <w:rsid w:val="00343BA7"/>
    <w:rsid w:val="00350D6D"/>
    <w:rsid w:val="00356E3C"/>
    <w:rsid w:val="00360841"/>
    <w:rsid w:val="00361A53"/>
    <w:rsid w:val="0036311A"/>
    <w:rsid w:val="0036385E"/>
    <w:rsid w:val="003659F6"/>
    <w:rsid w:val="00366997"/>
    <w:rsid w:val="003674FD"/>
    <w:rsid w:val="00371B47"/>
    <w:rsid w:val="00373281"/>
    <w:rsid w:val="003739EF"/>
    <w:rsid w:val="00374979"/>
    <w:rsid w:val="00380DB4"/>
    <w:rsid w:val="00381848"/>
    <w:rsid w:val="0038343C"/>
    <w:rsid w:val="00383BAB"/>
    <w:rsid w:val="00383CD1"/>
    <w:rsid w:val="00386F4F"/>
    <w:rsid w:val="003872BA"/>
    <w:rsid w:val="00390616"/>
    <w:rsid w:val="003913E8"/>
    <w:rsid w:val="00393BD4"/>
    <w:rsid w:val="00395FCD"/>
    <w:rsid w:val="00396897"/>
    <w:rsid w:val="003A1043"/>
    <w:rsid w:val="003A151E"/>
    <w:rsid w:val="003A48D1"/>
    <w:rsid w:val="003A554D"/>
    <w:rsid w:val="003A5B05"/>
    <w:rsid w:val="003B759D"/>
    <w:rsid w:val="003C1136"/>
    <w:rsid w:val="003C4763"/>
    <w:rsid w:val="003C53A2"/>
    <w:rsid w:val="003C5E2D"/>
    <w:rsid w:val="003C7793"/>
    <w:rsid w:val="003D078F"/>
    <w:rsid w:val="003D0B9F"/>
    <w:rsid w:val="003D3735"/>
    <w:rsid w:val="003D706C"/>
    <w:rsid w:val="003E0F64"/>
    <w:rsid w:val="003E2149"/>
    <w:rsid w:val="003E21D6"/>
    <w:rsid w:val="003E5B2B"/>
    <w:rsid w:val="003E6BE2"/>
    <w:rsid w:val="003F1798"/>
    <w:rsid w:val="003F2FCF"/>
    <w:rsid w:val="003F352A"/>
    <w:rsid w:val="003F758F"/>
    <w:rsid w:val="003F7F84"/>
    <w:rsid w:val="00404477"/>
    <w:rsid w:val="00405348"/>
    <w:rsid w:val="004079B7"/>
    <w:rsid w:val="00414492"/>
    <w:rsid w:val="00415091"/>
    <w:rsid w:val="00415747"/>
    <w:rsid w:val="00415F95"/>
    <w:rsid w:val="00416A0A"/>
    <w:rsid w:val="00416B10"/>
    <w:rsid w:val="00416D50"/>
    <w:rsid w:val="00417759"/>
    <w:rsid w:val="004216F5"/>
    <w:rsid w:val="00424C95"/>
    <w:rsid w:val="0042527B"/>
    <w:rsid w:val="00426D1F"/>
    <w:rsid w:val="00427688"/>
    <w:rsid w:val="0043411C"/>
    <w:rsid w:val="00434227"/>
    <w:rsid w:val="00434716"/>
    <w:rsid w:val="00434751"/>
    <w:rsid w:val="00435981"/>
    <w:rsid w:val="0044744F"/>
    <w:rsid w:val="00447D73"/>
    <w:rsid w:val="00452B2F"/>
    <w:rsid w:val="004535C5"/>
    <w:rsid w:val="00455B08"/>
    <w:rsid w:val="004562D0"/>
    <w:rsid w:val="00460150"/>
    <w:rsid w:val="00460B7C"/>
    <w:rsid w:val="00461226"/>
    <w:rsid w:val="00462449"/>
    <w:rsid w:val="004625FB"/>
    <w:rsid w:val="004631D9"/>
    <w:rsid w:val="004643F8"/>
    <w:rsid w:val="00464C2A"/>
    <w:rsid w:val="00470657"/>
    <w:rsid w:val="00470AFC"/>
    <w:rsid w:val="004718E7"/>
    <w:rsid w:val="00471BB8"/>
    <w:rsid w:val="004723C1"/>
    <w:rsid w:val="004726F6"/>
    <w:rsid w:val="00472914"/>
    <w:rsid w:val="0047487A"/>
    <w:rsid w:val="00475525"/>
    <w:rsid w:val="004760D4"/>
    <w:rsid w:val="00477509"/>
    <w:rsid w:val="00480F54"/>
    <w:rsid w:val="004816BF"/>
    <w:rsid w:val="00481755"/>
    <w:rsid w:val="004819D7"/>
    <w:rsid w:val="0048304D"/>
    <w:rsid w:val="00483A73"/>
    <w:rsid w:val="00485360"/>
    <w:rsid w:val="00486401"/>
    <w:rsid w:val="00487688"/>
    <w:rsid w:val="00487B59"/>
    <w:rsid w:val="00487D3D"/>
    <w:rsid w:val="0049518B"/>
    <w:rsid w:val="00497F27"/>
    <w:rsid w:val="004A0B37"/>
    <w:rsid w:val="004A42D3"/>
    <w:rsid w:val="004A4CA2"/>
    <w:rsid w:val="004A7003"/>
    <w:rsid w:val="004A723C"/>
    <w:rsid w:val="004A7E41"/>
    <w:rsid w:val="004B134D"/>
    <w:rsid w:val="004B159D"/>
    <w:rsid w:val="004B6896"/>
    <w:rsid w:val="004B6D35"/>
    <w:rsid w:val="004C1CA0"/>
    <w:rsid w:val="004D0B74"/>
    <w:rsid w:val="004D1A98"/>
    <w:rsid w:val="004D250D"/>
    <w:rsid w:val="004E2742"/>
    <w:rsid w:val="004E2DA6"/>
    <w:rsid w:val="004E421F"/>
    <w:rsid w:val="004E433A"/>
    <w:rsid w:val="004E4BF9"/>
    <w:rsid w:val="004E66CE"/>
    <w:rsid w:val="004E7CE9"/>
    <w:rsid w:val="004F0A67"/>
    <w:rsid w:val="004F31DC"/>
    <w:rsid w:val="004F4026"/>
    <w:rsid w:val="004F4313"/>
    <w:rsid w:val="004F5E48"/>
    <w:rsid w:val="004F6127"/>
    <w:rsid w:val="00502E7B"/>
    <w:rsid w:val="0050598A"/>
    <w:rsid w:val="00507CC1"/>
    <w:rsid w:val="00507F5A"/>
    <w:rsid w:val="005107D7"/>
    <w:rsid w:val="005114C0"/>
    <w:rsid w:val="00511B14"/>
    <w:rsid w:val="005125AE"/>
    <w:rsid w:val="00512EFD"/>
    <w:rsid w:val="0051402D"/>
    <w:rsid w:val="00515A38"/>
    <w:rsid w:val="00515EF9"/>
    <w:rsid w:val="00516BF7"/>
    <w:rsid w:val="00524C9C"/>
    <w:rsid w:val="00530073"/>
    <w:rsid w:val="0053119B"/>
    <w:rsid w:val="00533830"/>
    <w:rsid w:val="00534B3B"/>
    <w:rsid w:val="00534E6A"/>
    <w:rsid w:val="0054309C"/>
    <w:rsid w:val="00543C57"/>
    <w:rsid w:val="005443C2"/>
    <w:rsid w:val="00546DBA"/>
    <w:rsid w:val="00550F77"/>
    <w:rsid w:val="00551648"/>
    <w:rsid w:val="005518CB"/>
    <w:rsid w:val="00552615"/>
    <w:rsid w:val="00555FF6"/>
    <w:rsid w:val="00561906"/>
    <w:rsid w:val="0056660B"/>
    <w:rsid w:val="00567B34"/>
    <w:rsid w:val="005705ED"/>
    <w:rsid w:val="0057139F"/>
    <w:rsid w:val="005749D2"/>
    <w:rsid w:val="00574C81"/>
    <w:rsid w:val="00582113"/>
    <w:rsid w:val="0058343E"/>
    <w:rsid w:val="00583DBB"/>
    <w:rsid w:val="00587C9C"/>
    <w:rsid w:val="00587F2E"/>
    <w:rsid w:val="00591960"/>
    <w:rsid w:val="0059311F"/>
    <w:rsid w:val="0059339F"/>
    <w:rsid w:val="00595F23"/>
    <w:rsid w:val="005A27AF"/>
    <w:rsid w:val="005A2EE6"/>
    <w:rsid w:val="005A2F58"/>
    <w:rsid w:val="005A31C5"/>
    <w:rsid w:val="005A4414"/>
    <w:rsid w:val="005A6A9D"/>
    <w:rsid w:val="005A7FED"/>
    <w:rsid w:val="005B0063"/>
    <w:rsid w:val="005B0D5A"/>
    <w:rsid w:val="005B1422"/>
    <w:rsid w:val="005B2791"/>
    <w:rsid w:val="005B2F17"/>
    <w:rsid w:val="005B4DA0"/>
    <w:rsid w:val="005B7A20"/>
    <w:rsid w:val="005C1D0E"/>
    <w:rsid w:val="005C1DE0"/>
    <w:rsid w:val="005C34FA"/>
    <w:rsid w:val="005C5BD3"/>
    <w:rsid w:val="005C5BE3"/>
    <w:rsid w:val="005C6A46"/>
    <w:rsid w:val="005C7E76"/>
    <w:rsid w:val="005C7E91"/>
    <w:rsid w:val="005D0BBE"/>
    <w:rsid w:val="005D5067"/>
    <w:rsid w:val="005D6276"/>
    <w:rsid w:val="005D6EA5"/>
    <w:rsid w:val="005E3F6C"/>
    <w:rsid w:val="005E5AE1"/>
    <w:rsid w:val="005E739D"/>
    <w:rsid w:val="005E7500"/>
    <w:rsid w:val="005F0B97"/>
    <w:rsid w:val="005F1C48"/>
    <w:rsid w:val="005F27A9"/>
    <w:rsid w:val="005F4432"/>
    <w:rsid w:val="0060326F"/>
    <w:rsid w:val="00603273"/>
    <w:rsid w:val="00605046"/>
    <w:rsid w:val="0061255D"/>
    <w:rsid w:val="00612DAF"/>
    <w:rsid w:val="006156B9"/>
    <w:rsid w:val="00615DFA"/>
    <w:rsid w:val="00616B8F"/>
    <w:rsid w:val="00620A18"/>
    <w:rsid w:val="00621285"/>
    <w:rsid w:val="00621E41"/>
    <w:rsid w:val="00621E9B"/>
    <w:rsid w:val="006221F6"/>
    <w:rsid w:val="006229B3"/>
    <w:rsid w:val="0062476D"/>
    <w:rsid w:val="0062579D"/>
    <w:rsid w:val="00626201"/>
    <w:rsid w:val="00627908"/>
    <w:rsid w:val="006300E1"/>
    <w:rsid w:val="006332E4"/>
    <w:rsid w:val="006365F8"/>
    <w:rsid w:val="00637030"/>
    <w:rsid w:val="00637B5E"/>
    <w:rsid w:val="006402FB"/>
    <w:rsid w:val="006407D8"/>
    <w:rsid w:val="006411E0"/>
    <w:rsid w:val="00642BC5"/>
    <w:rsid w:val="00644008"/>
    <w:rsid w:val="00647C0B"/>
    <w:rsid w:val="00650EA9"/>
    <w:rsid w:val="0065137D"/>
    <w:rsid w:val="00653117"/>
    <w:rsid w:val="006554C8"/>
    <w:rsid w:val="006573BA"/>
    <w:rsid w:val="00657B4D"/>
    <w:rsid w:val="00660643"/>
    <w:rsid w:val="00660F3B"/>
    <w:rsid w:val="00674C73"/>
    <w:rsid w:val="00683C8F"/>
    <w:rsid w:val="00687C2E"/>
    <w:rsid w:val="00692EEB"/>
    <w:rsid w:val="00694095"/>
    <w:rsid w:val="00694953"/>
    <w:rsid w:val="00694D9D"/>
    <w:rsid w:val="00694DD1"/>
    <w:rsid w:val="0069674F"/>
    <w:rsid w:val="006A0AE9"/>
    <w:rsid w:val="006A1CFA"/>
    <w:rsid w:val="006A30B8"/>
    <w:rsid w:val="006B0AB8"/>
    <w:rsid w:val="006C08E2"/>
    <w:rsid w:val="006C1CC9"/>
    <w:rsid w:val="006C1FFB"/>
    <w:rsid w:val="006C2FE2"/>
    <w:rsid w:val="006C6B40"/>
    <w:rsid w:val="006C74FE"/>
    <w:rsid w:val="006C7AFE"/>
    <w:rsid w:val="006D00E7"/>
    <w:rsid w:val="006D31DD"/>
    <w:rsid w:val="006D3217"/>
    <w:rsid w:val="006D4317"/>
    <w:rsid w:val="006D4874"/>
    <w:rsid w:val="006D5DBE"/>
    <w:rsid w:val="006D6CD1"/>
    <w:rsid w:val="006E10E7"/>
    <w:rsid w:val="006E193B"/>
    <w:rsid w:val="006E41B1"/>
    <w:rsid w:val="006E586F"/>
    <w:rsid w:val="006E5895"/>
    <w:rsid w:val="006E5ABE"/>
    <w:rsid w:val="006E727F"/>
    <w:rsid w:val="006F392A"/>
    <w:rsid w:val="00701C1E"/>
    <w:rsid w:val="00702265"/>
    <w:rsid w:val="007027AB"/>
    <w:rsid w:val="0070488A"/>
    <w:rsid w:val="00706543"/>
    <w:rsid w:val="007066ED"/>
    <w:rsid w:val="007073D1"/>
    <w:rsid w:val="0070782F"/>
    <w:rsid w:val="007078B5"/>
    <w:rsid w:val="00707B43"/>
    <w:rsid w:val="00707DB1"/>
    <w:rsid w:val="00710361"/>
    <w:rsid w:val="00710B07"/>
    <w:rsid w:val="00711289"/>
    <w:rsid w:val="0071243C"/>
    <w:rsid w:val="00713CCE"/>
    <w:rsid w:val="007147C6"/>
    <w:rsid w:val="007160C0"/>
    <w:rsid w:val="00722F7D"/>
    <w:rsid w:val="00730A49"/>
    <w:rsid w:val="00731166"/>
    <w:rsid w:val="007312FE"/>
    <w:rsid w:val="007337CB"/>
    <w:rsid w:val="007338C0"/>
    <w:rsid w:val="00735BA8"/>
    <w:rsid w:val="00737E96"/>
    <w:rsid w:val="00740DAA"/>
    <w:rsid w:val="0074143A"/>
    <w:rsid w:val="00743BB4"/>
    <w:rsid w:val="00744776"/>
    <w:rsid w:val="00745352"/>
    <w:rsid w:val="0075088C"/>
    <w:rsid w:val="0075158B"/>
    <w:rsid w:val="007524D5"/>
    <w:rsid w:val="007528E3"/>
    <w:rsid w:val="00752941"/>
    <w:rsid w:val="00754A02"/>
    <w:rsid w:val="00755D89"/>
    <w:rsid w:val="00756694"/>
    <w:rsid w:val="00757211"/>
    <w:rsid w:val="00761105"/>
    <w:rsid w:val="00762180"/>
    <w:rsid w:val="00762747"/>
    <w:rsid w:val="00763105"/>
    <w:rsid w:val="007641B8"/>
    <w:rsid w:val="00764323"/>
    <w:rsid w:val="00764DA8"/>
    <w:rsid w:val="00767E83"/>
    <w:rsid w:val="0077046C"/>
    <w:rsid w:val="00771D47"/>
    <w:rsid w:val="00774BA3"/>
    <w:rsid w:val="00775953"/>
    <w:rsid w:val="00775992"/>
    <w:rsid w:val="00776429"/>
    <w:rsid w:val="00776C73"/>
    <w:rsid w:val="00777971"/>
    <w:rsid w:val="00777CDA"/>
    <w:rsid w:val="00780616"/>
    <w:rsid w:val="00781343"/>
    <w:rsid w:val="007834D6"/>
    <w:rsid w:val="00783E60"/>
    <w:rsid w:val="007863B3"/>
    <w:rsid w:val="00791919"/>
    <w:rsid w:val="00791DFA"/>
    <w:rsid w:val="00791FD8"/>
    <w:rsid w:val="00793DF3"/>
    <w:rsid w:val="0079460A"/>
    <w:rsid w:val="00795AC6"/>
    <w:rsid w:val="00797892"/>
    <w:rsid w:val="00797BF7"/>
    <w:rsid w:val="007A00FA"/>
    <w:rsid w:val="007A0CFC"/>
    <w:rsid w:val="007A0F7B"/>
    <w:rsid w:val="007A15E9"/>
    <w:rsid w:val="007A236E"/>
    <w:rsid w:val="007A394E"/>
    <w:rsid w:val="007A3E17"/>
    <w:rsid w:val="007A6602"/>
    <w:rsid w:val="007A6CDF"/>
    <w:rsid w:val="007A7415"/>
    <w:rsid w:val="007B386F"/>
    <w:rsid w:val="007B38D8"/>
    <w:rsid w:val="007C5AC4"/>
    <w:rsid w:val="007C7D3B"/>
    <w:rsid w:val="007D144D"/>
    <w:rsid w:val="007D24EC"/>
    <w:rsid w:val="007D397D"/>
    <w:rsid w:val="007D3D5D"/>
    <w:rsid w:val="007D44D4"/>
    <w:rsid w:val="007D6D0B"/>
    <w:rsid w:val="007D6F6A"/>
    <w:rsid w:val="007D7C06"/>
    <w:rsid w:val="007E1F7D"/>
    <w:rsid w:val="007E5B55"/>
    <w:rsid w:val="007E780D"/>
    <w:rsid w:val="007F2036"/>
    <w:rsid w:val="007F396F"/>
    <w:rsid w:val="007F3FBD"/>
    <w:rsid w:val="007F3FC8"/>
    <w:rsid w:val="007F687D"/>
    <w:rsid w:val="007F6AA2"/>
    <w:rsid w:val="007F7579"/>
    <w:rsid w:val="008007A0"/>
    <w:rsid w:val="00800DB7"/>
    <w:rsid w:val="00805E62"/>
    <w:rsid w:val="00805F44"/>
    <w:rsid w:val="00806D9B"/>
    <w:rsid w:val="00806FA4"/>
    <w:rsid w:val="00810713"/>
    <w:rsid w:val="008130A9"/>
    <w:rsid w:val="008160FD"/>
    <w:rsid w:val="00817081"/>
    <w:rsid w:val="008174E5"/>
    <w:rsid w:val="00817F6F"/>
    <w:rsid w:val="00824F39"/>
    <w:rsid w:val="00827E92"/>
    <w:rsid w:val="00827EF6"/>
    <w:rsid w:val="00830E39"/>
    <w:rsid w:val="00835A4A"/>
    <w:rsid w:val="00837E84"/>
    <w:rsid w:val="008401A7"/>
    <w:rsid w:val="008405A5"/>
    <w:rsid w:val="00842158"/>
    <w:rsid w:val="008438AE"/>
    <w:rsid w:val="008455AF"/>
    <w:rsid w:val="00845E90"/>
    <w:rsid w:val="0084610E"/>
    <w:rsid w:val="008479D6"/>
    <w:rsid w:val="00851A07"/>
    <w:rsid w:val="00851D61"/>
    <w:rsid w:val="00854705"/>
    <w:rsid w:val="00855560"/>
    <w:rsid w:val="00857BBB"/>
    <w:rsid w:val="0086013E"/>
    <w:rsid w:val="00865A8D"/>
    <w:rsid w:val="00866429"/>
    <w:rsid w:val="0086696B"/>
    <w:rsid w:val="00866C28"/>
    <w:rsid w:val="00872495"/>
    <w:rsid w:val="00875F4D"/>
    <w:rsid w:val="00877EF5"/>
    <w:rsid w:val="00880E46"/>
    <w:rsid w:val="008814D1"/>
    <w:rsid w:val="0088378A"/>
    <w:rsid w:val="00883C9B"/>
    <w:rsid w:val="0088759C"/>
    <w:rsid w:val="00893C62"/>
    <w:rsid w:val="0089518A"/>
    <w:rsid w:val="00896AD3"/>
    <w:rsid w:val="008A00FA"/>
    <w:rsid w:val="008A06F6"/>
    <w:rsid w:val="008A172C"/>
    <w:rsid w:val="008A1819"/>
    <w:rsid w:val="008A1AF3"/>
    <w:rsid w:val="008A247A"/>
    <w:rsid w:val="008A2767"/>
    <w:rsid w:val="008A2BC1"/>
    <w:rsid w:val="008A3BE5"/>
    <w:rsid w:val="008A78DC"/>
    <w:rsid w:val="008A793B"/>
    <w:rsid w:val="008B0777"/>
    <w:rsid w:val="008B1166"/>
    <w:rsid w:val="008B3FA8"/>
    <w:rsid w:val="008B44B3"/>
    <w:rsid w:val="008C18C3"/>
    <w:rsid w:val="008C3D1E"/>
    <w:rsid w:val="008C50D4"/>
    <w:rsid w:val="008D02C0"/>
    <w:rsid w:val="008D3298"/>
    <w:rsid w:val="008D7582"/>
    <w:rsid w:val="008E1668"/>
    <w:rsid w:val="008E2C31"/>
    <w:rsid w:val="008E4CC4"/>
    <w:rsid w:val="008E6677"/>
    <w:rsid w:val="008E7A48"/>
    <w:rsid w:val="008F13C3"/>
    <w:rsid w:val="008F1A5E"/>
    <w:rsid w:val="008F3187"/>
    <w:rsid w:val="008F4A9E"/>
    <w:rsid w:val="008F6749"/>
    <w:rsid w:val="008F6C81"/>
    <w:rsid w:val="008F723B"/>
    <w:rsid w:val="008F7BEB"/>
    <w:rsid w:val="00902B35"/>
    <w:rsid w:val="00902D9C"/>
    <w:rsid w:val="009030CF"/>
    <w:rsid w:val="00905EA3"/>
    <w:rsid w:val="009104BE"/>
    <w:rsid w:val="00910DFF"/>
    <w:rsid w:val="00911090"/>
    <w:rsid w:val="009125B1"/>
    <w:rsid w:val="009129FE"/>
    <w:rsid w:val="00912A8C"/>
    <w:rsid w:val="00915108"/>
    <w:rsid w:val="0091529B"/>
    <w:rsid w:val="009159F4"/>
    <w:rsid w:val="00916DDD"/>
    <w:rsid w:val="00916EC0"/>
    <w:rsid w:val="0092072E"/>
    <w:rsid w:val="00933A71"/>
    <w:rsid w:val="00933C3B"/>
    <w:rsid w:val="0093540B"/>
    <w:rsid w:val="00940674"/>
    <w:rsid w:val="009407CB"/>
    <w:rsid w:val="009409AC"/>
    <w:rsid w:val="00940AC3"/>
    <w:rsid w:val="00940E2B"/>
    <w:rsid w:val="0094542F"/>
    <w:rsid w:val="00945A9B"/>
    <w:rsid w:val="0094644F"/>
    <w:rsid w:val="0095102D"/>
    <w:rsid w:val="009532D4"/>
    <w:rsid w:val="00960C30"/>
    <w:rsid w:val="00960D29"/>
    <w:rsid w:val="00961368"/>
    <w:rsid w:val="00963AF4"/>
    <w:rsid w:val="0096518C"/>
    <w:rsid w:val="00965469"/>
    <w:rsid w:val="00965EF8"/>
    <w:rsid w:val="009667DC"/>
    <w:rsid w:val="00966A14"/>
    <w:rsid w:val="00966C18"/>
    <w:rsid w:val="0096754A"/>
    <w:rsid w:val="0097123F"/>
    <w:rsid w:val="0097356F"/>
    <w:rsid w:val="00973CB2"/>
    <w:rsid w:val="00975319"/>
    <w:rsid w:val="009807B9"/>
    <w:rsid w:val="00980B35"/>
    <w:rsid w:val="00982711"/>
    <w:rsid w:val="009870EA"/>
    <w:rsid w:val="0098735E"/>
    <w:rsid w:val="009913F4"/>
    <w:rsid w:val="00991720"/>
    <w:rsid w:val="00991C63"/>
    <w:rsid w:val="00992E35"/>
    <w:rsid w:val="00994E01"/>
    <w:rsid w:val="009950A4"/>
    <w:rsid w:val="00996B84"/>
    <w:rsid w:val="009A05D9"/>
    <w:rsid w:val="009A0DB2"/>
    <w:rsid w:val="009A1CDD"/>
    <w:rsid w:val="009A310E"/>
    <w:rsid w:val="009A3C85"/>
    <w:rsid w:val="009A3D07"/>
    <w:rsid w:val="009A49EA"/>
    <w:rsid w:val="009A4CEE"/>
    <w:rsid w:val="009B27A5"/>
    <w:rsid w:val="009C3E0D"/>
    <w:rsid w:val="009C55A5"/>
    <w:rsid w:val="009D1F49"/>
    <w:rsid w:val="009D2835"/>
    <w:rsid w:val="009D295E"/>
    <w:rsid w:val="009D2B42"/>
    <w:rsid w:val="009D378D"/>
    <w:rsid w:val="009D4B7E"/>
    <w:rsid w:val="009E41C1"/>
    <w:rsid w:val="009E454F"/>
    <w:rsid w:val="009E5E47"/>
    <w:rsid w:val="009E60F2"/>
    <w:rsid w:val="009E6D8D"/>
    <w:rsid w:val="009F0F14"/>
    <w:rsid w:val="009F3EEB"/>
    <w:rsid w:val="009F58C6"/>
    <w:rsid w:val="009F608A"/>
    <w:rsid w:val="009F6315"/>
    <w:rsid w:val="00A0150D"/>
    <w:rsid w:val="00A01855"/>
    <w:rsid w:val="00A1182E"/>
    <w:rsid w:val="00A137B5"/>
    <w:rsid w:val="00A15D8E"/>
    <w:rsid w:val="00A21594"/>
    <w:rsid w:val="00A22246"/>
    <w:rsid w:val="00A24988"/>
    <w:rsid w:val="00A26988"/>
    <w:rsid w:val="00A2710D"/>
    <w:rsid w:val="00A31C8A"/>
    <w:rsid w:val="00A31FAC"/>
    <w:rsid w:val="00A343A6"/>
    <w:rsid w:val="00A345E4"/>
    <w:rsid w:val="00A34A95"/>
    <w:rsid w:val="00A34C6A"/>
    <w:rsid w:val="00A36ECE"/>
    <w:rsid w:val="00A37364"/>
    <w:rsid w:val="00A377C4"/>
    <w:rsid w:val="00A4219D"/>
    <w:rsid w:val="00A42944"/>
    <w:rsid w:val="00A44800"/>
    <w:rsid w:val="00A45A3B"/>
    <w:rsid w:val="00A47271"/>
    <w:rsid w:val="00A47D9C"/>
    <w:rsid w:val="00A53E8D"/>
    <w:rsid w:val="00A55060"/>
    <w:rsid w:val="00A619D9"/>
    <w:rsid w:val="00A65493"/>
    <w:rsid w:val="00A70787"/>
    <w:rsid w:val="00A71CBB"/>
    <w:rsid w:val="00A7282A"/>
    <w:rsid w:val="00A732BE"/>
    <w:rsid w:val="00A7459F"/>
    <w:rsid w:val="00A816C4"/>
    <w:rsid w:val="00A84256"/>
    <w:rsid w:val="00A851C6"/>
    <w:rsid w:val="00A8528B"/>
    <w:rsid w:val="00A854D9"/>
    <w:rsid w:val="00A9591C"/>
    <w:rsid w:val="00A96714"/>
    <w:rsid w:val="00AA0C3D"/>
    <w:rsid w:val="00AA1885"/>
    <w:rsid w:val="00AA2870"/>
    <w:rsid w:val="00AA43CA"/>
    <w:rsid w:val="00AA6158"/>
    <w:rsid w:val="00AA6195"/>
    <w:rsid w:val="00AA676E"/>
    <w:rsid w:val="00AA79EC"/>
    <w:rsid w:val="00AB17DD"/>
    <w:rsid w:val="00AB5EE9"/>
    <w:rsid w:val="00AB6A73"/>
    <w:rsid w:val="00AB7BEF"/>
    <w:rsid w:val="00AC044C"/>
    <w:rsid w:val="00AC0802"/>
    <w:rsid w:val="00AC08D1"/>
    <w:rsid w:val="00AC0F39"/>
    <w:rsid w:val="00AC1A1E"/>
    <w:rsid w:val="00AC2612"/>
    <w:rsid w:val="00AC35EA"/>
    <w:rsid w:val="00AC47D1"/>
    <w:rsid w:val="00AC7333"/>
    <w:rsid w:val="00AC7428"/>
    <w:rsid w:val="00AD0AB5"/>
    <w:rsid w:val="00AD3068"/>
    <w:rsid w:val="00AD31AB"/>
    <w:rsid w:val="00AD42AF"/>
    <w:rsid w:val="00AD4DDE"/>
    <w:rsid w:val="00AD58E6"/>
    <w:rsid w:val="00AD5D23"/>
    <w:rsid w:val="00AD6520"/>
    <w:rsid w:val="00AE2C82"/>
    <w:rsid w:val="00AE3DE7"/>
    <w:rsid w:val="00AE43AE"/>
    <w:rsid w:val="00AE7F9E"/>
    <w:rsid w:val="00AF1EF0"/>
    <w:rsid w:val="00AF3A6F"/>
    <w:rsid w:val="00AF3AC8"/>
    <w:rsid w:val="00AF4781"/>
    <w:rsid w:val="00B01B8C"/>
    <w:rsid w:val="00B05FB8"/>
    <w:rsid w:val="00B075D3"/>
    <w:rsid w:val="00B11042"/>
    <w:rsid w:val="00B127A9"/>
    <w:rsid w:val="00B12C9E"/>
    <w:rsid w:val="00B12E64"/>
    <w:rsid w:val="00B14D12"/>
    <w:rsid w:val="00B16636"/>
    <w:rsid w:val="00B2251F"/>
    <w:rsid w:val="00B23EA8"/>
    <w:rsid w:val="00B248CD"/>
    <w:rsid w:val="00B27540"/>
    <w:rsid w:val="00B2762D"/>
    <w:rsid w:val="00B27D23"/>
    <w:rsid w:val="00B30643"/>
    <w:rsid w:val="00B306CC"/>
    <w:rsid w:val="00B36A4C"/>
    <w:rsid w:val="00B36B34"/>
    <w:rsid w:val="00B40538"/>
    <w:rsid w:val="00B405FC"/>
    <w:rsid w:val="00B41F50"/>
    <w:rsid w:val="00B4201D"/>
    <w:rsid w:val="00B440EF"/>
    <w:rsid w:val="00B443C6"/>
    <w:rsid w:val="00B45E2E"/>
    <w:rsid w:val="00B52879"/>
    <w:rsid w:val="00B5303B"/>
    <w:rsid w:val="00B53905"/>
    <w:rsid w:val="00B543EE"/>
    <w:rsid w:val="00B56FB3"/>
    <w:rsid w:val="00B6141E"/>
    <w:rsid w:val="00B657AD"/>
    <w:rsid w:val="00B661F9"/>
    <w:rsid w:val="00B66697"/>
    <w:rsid w:val="00B67433"/>
    <w:rsid w:val="00B6761C"/>
    <w:rsid w:val="00B70873"/>
    <w:rsid w:val="00B728ED"/>
    <w:rsid w:val="00B75334"/>
    <w:rsid w:val="00B75D63"/>
    <w:rsid w:val="00B85257"/>
    <w:rsid w:val="00B9086B"/>
    <w:rsid w:val="00B9152C"/>
    <w:rsid w:val="00B93661"/>
    <w:rsid w:val="00B94110"/>
    <w:rsid w:val="00B94EF2"/>
    <w:rsid w:val="00B966B9"/>
    <w:rsid w:val="00BA237E"/>
    <w:rsid w:val="00BA4868"/>
    <w:rsid w:val="00BA6A71"/>
    <w:rsid w:val="00BA7E05"/>
    <w:rsid w:val="00BA7EF3"/>
    <w:rsid w:val="00BB05EE"/>
    <w:rsid w:val="00BB0F4F"/>
    <w:rsid w:val="00BB4EF6"/>
    <w:rsid w:val="00BB7578"/>
    <w:rsid w:val="00BC0FFE"/>
    <w:rsid w:val="00BC4DEB"/>
    <w:rsid w:val="00BC5079"/>
    <w:rsid w:val="00BC6069"/>
    <w:rsid w:val="00BC667E"/>
    <w:rsid w:val="00BD2979"/>
    <w:rsid w:val="00BD4FC6"/>
    <w:rsid w:val="00BD51EB"/>
    <w:rsid w:val="00BD6686"/>
    <w:rsid w:val="00BD7F7B"/>
    <w:rsid w:val="00BE59AE"/>
    <w:rsid w:val="00BE6403"/>
    <w:rsid w:val="00BE738B"/>
    <w:rsid w:val="00BE79D5"/>
    <w:rsid w:val="00BE7E68"/>
    <w:rsid w:val="00BF1037"/>
    <w:rsid w:val="00BF648A"/>
    <w:rsid w:val="00BF65C9"/>
    <w:rsid w:val="00BF67AB"/>
    <w:rsid w:val="00BF6C2D"/>
    <w:rsid w:val="00BF6CF7"/>
    <w:rsid w:val="00C0264A"/>
    <w:rsid w:val="00C037A7"/>
    <w:rsid w:val="00C041AA"/>
    <w:rsid w:val="00C041FC"/>
    <w:rsid w:val="00C11ADC"/>
    <w:rsid w:val="00C14085"/>
    <w:rsid w:val="00C15378"/>
    <w:rsid w:val="00C16D06"/>
    <w:rsid w:val="00C17F33"/>
    <w:rsid w:val="00C20853"/>
    <w:rsid w:val="00C24123"/>
    <w:rsid w:val="00C246B1"/>
    <w:rsid w:val="00C2649E"/>
    <w:rsid w:val="00C31368"/>
    <w:rsid w:val="00C325CF"/>
    <w:rsid w:val="00C36184"/>
    <w:rsid w:val="00C43161"/>
    <w:rsid w:val="00C4324F"/>
    <w:rsid w:val="00C43616"/>
    <w:rsid w:val="00C44B54"/>
    <w:rsid w:val="00C45250"/>
    <w:rsid w:val="00C45783"/>
    <w:rsid w:val="00C45A41"/>
    <w:rsid w:val="00C4660F"/>
    <w:rsid w:val="00C50D1E"/>
    <w:rsid w:val="00C51921"/>
    <w:rsid w:val="00C51944"/>
    <w:rsid w:val="00C55142"/>
    <w:rsid w:val="00C56014"/>
    <w:rsid w:val="00C56ED3"/>
    <w:rsid w:val="00C57491"/>
    <w:rsid w:val="00C6093D"/>
    <w:rsid w:val="00C6206A"/>
    <w:rsid w:val="00C6337E"/>
    <w:rsid w:val="00C64751"/>
    <w:rsid w:val="00C64C08"/>
    <w:rsid w:val="00C70601"/>
    <w:rsid w:val="00C72A14"/>
    <w:rsid w:val="00C75611"/>
    <w:rsid w:val="00C75AAF"/>
    <w:rsid w:val="00C75D7B"/>
    <w:rsid w:val="00C75F5A"/>
    <w:rsid w:val="00C76A51"/>
    <w:rsid w:val="00C76F92"/>
    <w:rsid w:val="00C77830"/>
    <w:rsid w:val="00C807AF"/>
    <w:rsid w:val="00C82BBF"/>
    <w:rsid w:val="00C8302C"/>
    <w:rsid w:val="00C84852"/>
    <w:rsid w:val="00C853CE"/>
    <w:rsid w:val="00C85A90"/>
    <w:rsid w:val="00C85D06"/>
    <w:rsid w:val="00C8621C"/>
    <w:rsid w:val="00C87980"/>
    <w:rsid w:val="00C90424"/>
    <w:rsid w:val="00C90B8A"/>
    <w:rsid w:val="00C959C3"/>
    <w:rsid w:val="00C960EF"/>
    <w:rsid w:val="00C965A1"/>
    <w:rsid w:val="00C96E30"/>
    <w:rsid w:val="00CA175C"/>
    <w:rsid w:val="00CA1AC7"/>
    <w:rsid w:val="00CA64D2"/>
    <w:rsid w:val="00CA75C4"/>
    <w:rsid w:val="00CB1897"/>
    <w:rsid w:val="00CB367F"/>
    <w:rsid w:val="00CB437F"/>
    <w:rsid w:val="00CB53FD"/>
    <w:rsid w:val="00CB665B"/>
    <w:rsid w:val="00CB6CE8"/>
    <w:rsid w:val="00CC27F0"/>
    <w:rsid w:val="00CC2F76"/>
    <w:rsid w:val="00CC38A0"/>
    <w:rsid w:val="00CC3BBF"/>
    <w:rsid w:val="00CC3F87"/>
    <w:rsid w:val="00CC5679"/>
    <w:rsid w:val="00CC69C9"/>
    <w:rsid w:val="00CD0E2E"/>
    <w:rsid w:val="00CD2F50"/>
    <w:rsid w:val="00CD33E3"/>
    <w:rsid w:val="00CD400F"/>
    <w:rsid w:val="00CD5966"/>
    <w:rsid w:val="00CD687A"/>
    <w:rsid w:val="00CD6B23"/>
    <w:rsid w:val="00CE0094"/>
    <w:rsid w:val="00CE0A6A"/>
    <w:rsid w:val="00CE10F2"/>
    <w:rsid w:val="00CE4F85"/>
    <w:rsid w:val="00CE5B9F"/>
    <w:rsid w:val="00CE6CDC"/>
    <w:rsid w:val="00CE7436"/>
    <w:rsid w:val="00CF13D1"/>
    <w:rsid w:val="00CF1849"/>
    <w:rsid w:val="00CF1C36"/>
    <w:rsid w:val="00CF2506"/>
    <w:rsid w:val="00CF35DC"/>
    <w:rsid w:val="00CF4DC1"/>
    <w:rsid w:val="00CF5C3C"/>
    <w:rsid w:val="00D03EB7"/>
    <w:rsid w:val="00D111BF"/>
    <w:rsid w:val="00D16026"/>
    <w:rsid w:val="00D1617B"/>
    <w:rsid w:val="00D20BDE"/>
    <w:rsid w:val="00D20C02"/>
    <w:rsid w:val="00D24794"/>
    <w:rsid w:val="00D277FB"/>
    <w:rsid w:val="00D30DE5"/>
    <w:rsid w:val="00D31AC7"/>
    <w:rsid w:val="00D321BB"/>
    <w:rsid w:val="00D321F8"/>
    <w:rsid w:val="00D32310"/>
    <w:rsid w:val="00D34F95"/>
    <w:rsid w:val="00D36650"/>
    <w:rsid w:val="00D3690D"/>
    <w:rsid w:val="00D36B21"/>
    <w:rsid w:val="00D40120"/>
    <w:rsid w:val="00D4261B"/>
    <w:rsid w:val="00D4275B"/>
    <w:rsid w:val="00D4494B"/>
    <w:rsid w:val="00D45491"/>
    <w:rsid w:val="00D45F6E"/>
    <w:rsid w:val="00D46302"/>
    <w:rsid w:val="00D504EE"/>
    <w:rsid w:val="00D51711"/>
    <w:rsid w:val="00D53A9E"/>
    <w:rsid w:val="00D54D9D"/>
    <w:rsid w:val="00D55CCA"/>
    <w:rsid w:val="00D567B5"/>
    <w:rsid w:val="00D60133"/>
    <w:rsid w:val="00D65303"/>
    <w:rsid w:val="00D7112D"/>
    <w:rsid w:val="00D71DCE"/>
    <w:rsid w:val="00D724EB"/>
    <w:rsid w:val="00D72B73"/>
    <w:rsid w:val="00D73B09"/>
    <w:rsid w:val="00D74655"/>
    <w:rsid w:val="00D757B4"/>
    <w:rsid w:val="00D75947"/>
    <w:rsid w:val="00D75E53"/>
    <w:rsid w:val="00D76D7D"/>
    <w:rsid w:val="00D80CEF"/>
    <w:rsid w:val="00D812D7"/>
    <w:rsid w:val="00D812E1"/>
    <w:rsid w:val="00D819B9"/>
    <w:rsid w:val="00D821A1"/>
    <w:rsid w:val="00D82506"/>
    <w:rsid w:val="00D92440"/>
    <w:rsid w:val="00D92A05"/>
    <w:rsid w:val="00D92B36"/>
    <w:rsid w:val="00D9395C"/>
    <w:rsid w:val="00D96002"/>
    <w:rsid w:val="00D9663C"/>
    <w:rsid w:val="00D967D3"/>
    <w:rsid w:val="00DA2F6C"/>
    <w:rsid w:val="00DA3265"/>
    <w:rsid w:val="00DA3E44"/>
    <w:rsid w:val="00DA3F1F"/>
    <w:rsid w:val="00DA4142"/>
    <w:rsid w:val="00DA4804"/>
    <w:rsid w:val="00DA5314"/>
    <w:rsid w:val="00DA579B"/>
    <w:rsid w:val="00DA6EEE"/>
    <w:rsid w:val="00DA7BAA"/>
    <w:rsid w:val="00DA7C60"/>
    <w:rsid w:val="00DA7CF1"/>
    <w:rsid w:val="00DB1D05"/>
    <w:rsid w:val="00DB609E"/>
    <w:rsid w:val="00DB6F62"/>
    <w:rsid w:val="00DC180F"/>
    <w:rsid w:val="00DC24F0"/>
    <w:rsid w:val="00DC3301"/>
    <w:rsid w:val="00DC38CC"/>
    <w:rsid w:val="00DC552E"/>
    <w:rsid w:val="00DD04FB"/>
    <w:rsid w:val="00DD3790"/>
    <w:rsid w:val="00DD511F"/>
    <w:rsid w:val="00DD514E"/>
    <w:rsid w:val="00DD6041"/>
    <w:rsid w:val="00DD7425"/>
    <w:rsid w:val="00DD7CAA"/>
    <w:rsid w:val="00DE05D6"/>
    <w:rsid w:val="00DE3B2F"/>
    <w:rsid w:val="00DE47E1"/>
    <w:rsid w:val="00DE6927"/>
    <w:rsid w:val="00DF0578"/>
    <w:rsid w:val="00DF112B"/>
    <w:rsid w:val="00DF14B7"/>
    <w:rsid w:val="00DF153E"/>
    <w:rsid w:val="00DF2F70"/>
    <w:rsid w:val="00DF575F"/>
    <w:rsid w:val="00DF7566"/>
    <w:rsid w:val="00DF76E1"/>
    <w:rsid w:val="00E03095"/>
    <w:rsid w:val="00E030B7"/>
    <w:rsid w:val="00E041B1"/>
    <w:rsid w:val="00E11ADE"/>
    <w:rsid w:val="00E168BB"/>
    <w:rsid w:val="00E20E18"/>
    <w:rsid w:val="00E21105"/>
    <w:rsid w:val="00E21160"/>
    <w:rsid w:val="00E21161"/>
    <w:rsid w:val="00E22CC0"/>
    <w:rsid w:val="00E243AD"/>
    <w:rsid w:val="00E2483F"/>
    <w:rsid w:val="00E2735E"/>
    <w:rsid w:val="00E30D82"/>
    <w:rsid w:val="00E3153C"/>
    <w:rsid w:val="00E320EB"/>
    <w:rsid w:val="00E34867"/>
    <w:rsid w:val="00E35753"/>
    <w:rsid w:val="00E40B2E"/>
    <w:rsid w:val="00E4139C"/>
    <w:rsid w:val="00E43188"/>
    <w:rsid w:val="00E446A4"/>
    <w:rsid w:val="00E4641A"/>
    <w:rsid w:val="00E5154F"/>
    <w:rsid w:val="00E51FA6"/>
    <w:rsid w:val="00E52AB5"/>
    <w:rsid w:val="00E531DC"/>
    <w:rsid w:val="00E5359C"/>
    <w:rsid w:val="00E54E05"/>
    <w:rsid w:val="00E56AAE"/>
    <w:rsid w:val="00E57E9D"/>
    <w:rsid w:val="00E63151"/>
    <w:rsid w:val="00E67EB7"/>
    <w:rsid w:val="00E70AEE"/>
    <w:rsid w:val="00E70BDE"/>
    <w:rsid w:val="00E72284"/>
    <w:rsid w:val="00E727D7"/>
    <w:rsid w:val="00E76419"/>
    <w:rsid w:val="00E769DB"/>
    <w:rsid w:val="00E76F47"/>
    <w:rsid w:val="00E801AA"/>
    <w:rsid w:val="00E82743"/>
    <w:rsid w:val="00E82961"/>
    <w:rsid w:val="00E82F21"/>
    <w:rsid w:val="00E84EDC"/>
    <w:rsid w:val="00E85678"/>
    <w:rsid w:val="00E858D8"/>
    <w:rsid w:val="00E862E5"/>
    <w:rsid w:val="00E91F8C"/>
    <w:rsid w:val="00E93055"/>
    <w:rsid w:val="00E93874"/>
    <w:rsid w:val="00E94B4D"/>
    <w:rsid w:val="00E950A0"/>
    <w:rsid w:val="00EA135C"/>
    <w:rsid w:val="00EA2067"/>
    <w:rsid w:val="00EA358A"/>
    <w:rsid w:val="00EA4779"/>
    <w:rsid w:val="00EA4A5D"/>
    <w:rsid w:val="00EA7B89"/>
    <w:rsid w:val="00EB133E"/>
    <w:rsid w:val="00EB35DE"/>
    <w:rsid w:val="00EB379D"/>
    <w:rsid w:val="00EB4B72"/>
    <w:rsid w:val="00EB4E55"/>
    <w:rsid w:val="00EB5885"/>
    <w:rsid w:val="00EB5C5B"/>
    <w:rsid w:val="00EB6D06"/>
    <w:rsid w:val="00EC0228"/>
    <w:rsid w:val="00EC3427"/>
    <w:rsid w:val="00EC47BD"/>
    <w:rsid w:val="00EC7B71"/>
    <w:rsid w:val="00ED0B12"/>
    <w:rsid w:val="00ED2DAC"/>
    <w:rsid w:val="00ED3E1B"/>
    <w:rsid w:val="00ED5713"/>
    <w:rsid w:val="00EE664E"/>
    <w:rsid w:val="00EF1EDA"/>
    <w:rsid w:val="00EF580A"/>
    <w:rsid w:val="00EF6B1B"/>
    <w:rsid w:val="00EF7673"/>
    <w:rsid w:val="00EF7F98"/>
    <w:rsid w:val="00F00A0C"/>
    <w:rsid w:val="00F00F1C"/>
    <w:rsid w:val="00F036B3"/>
    <w:rsid w:val="00F049AB"/>
    <w:rsid w:val="00F10DCE"/>
    <w:rsid w:val="00F16C1D"/>
    <w:rsid w:val="00F172F5"/>
    <w:rsid w:val="00F2002E"/>
    <w:rsid w:val="00F21AB4"/>
    <w:rsid w:val="00F2315D"/>
    <w:rsid w:val="00F239C5"/>
    <w:rsid w:val="00F24520"/>
    <w:rsid w:val="00F24A29"/>
    <w:rsid w:val="00F25424"/>
    <w:rsid w:val="00F2678B"/>
    <w:rsid w:val="00F30FF0"/>
    <w:rsid w:val="00F3122C"/>
    <w:rsid w:val="00F3553B"/>
    <w:rsid w:val="00F35C61"/>
    <w:rsid w:val="00F36215"/>
    <w:rsid w:val="00F37119"/>
    <w:rsid w:val="00F41C11"/>
    <w:rsid w:val="00F41C76"/>
    <w:rsid w:val="00F41DE5"/>
    <w:rsid w:val="00F43D0F"/>
    <w:rsid w:val="00F44B78"/>
    <w:rsid w:val="00F4545E"/>
    <w:rsid w:val="00F51265"/>
    <w:rsid w:val="00F54175"/>
    <w:rsid w:val="00F545BB"/>
    <w:rsid w:val="00F56F96"/>
    <w:rsid w:val="00F577BC"/>
    <w:rsid w:val="00F57868"/>
    <w:rsid w:val="00F62D2D"/>
    <w:rsid w:val="00F63ABF"/>
    <w:rsid w:val="00F64371"/>
    <w:rsid w:val="00F64C5C"/>
    <w:rsid w:val="00F70694"/>
    <w:rsid w:val="00F802E4"/>
    <w:rsid w:val="00F8136A"/>
    <w:rsid w:val="00F83553"/>
    <w:rsid w:val="00F85D0D"/>
    <w:rsid w:val="00F86A6A"/>
    <w:rsid w:val="00F90A13"/>
    <w:rsid w:val="00F919A9"/>
    <w:rsid w:val="00F97E69"/>
    <w:rsid w:val="00FA2B94"/>
    <w:rsid w:val="00FA38F6"/>
    <w:rsid w:val="00FA5A5B"/>
    <w:rsid w:val="00FA6F71"/>
    <w:rsid w:val="00FB0B0F"/>
    <w:rsid w:val="00FB1B27"/>
    <w:rsid w:val="00FB33A9"/>
    <w:rsid w:val="00FB409D"/>
    <w:rsid w:val="00FB691C"/>
    <w:rsid w:val="00FB7154"/>
    <w:rsid w:val="00FB75C7"/>
    <w:rsid w:val="00FC155E"/>
    <w:rsid w:val="00FC350A"/>
    <w:rsid w:val="00FC4934"/>
    <w:rsid w:val="00FC5727"/>
    <w:rsid w:val="00FD0E06"/>
    <w:rsid w:val="00FD495C"/>
    <w:rsid w:val="00FD641E"/>
    <w:rsid w:val="00FD6A28"/>
    <w:rsid w:val="00FD75E7"/>
    <w:rsid w:val="00FE0251"/>
    <w:rsid w:val="00FE028E"/>
    <w:rsid w:val="00FE1B29"/>
    <w:rsid w:val="00FE2028"/>
    <w:rsid w:val="00FE3066"/>
    <w:rsid w:val="00FE4522"/>
    <w:rsid w:val="00FE6EBE"/>
    <w:rsid w:val="00FE73F4"/>
    <w:rsid w:val="00FE7E19"/>
    <w:rsid w:val="00FF1EAC"/>
    <w:rsid w:val="00FF235E"/>
    <w:rsid w:val="00FF2A13"/>
    <w:rsid w:val="00FF2C91"/>
    <w:rsid w:val="00FF2E9C"/>
    <w:rsid w:val="00FF4D00"/>
    <w:rsid w:val="00FF54AA"/>
    <w:rsid w:val="00FF6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1B90E"/>
  <w15:chartTrackingRefBased/>
  <w15:docId w15:val="{AC738CD5-F90C-4987-98EA-BBBD0446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CF"/>
    <w:pPr>
      <w:spacing w:after="0" w:line="240" w:lineRule="auto"/>
    </w:pPr>
    <w:rPr>
      <w:rFonts w:ascii="Calibri" w:hAnsi="Calibri" w:cs="Calibri"/>
    </w:rPr>
  </w:style>
  <w:style w:type="paragraph" w:styleId="Heading1">
    <w:name w:val="heading 1"/>
    <w:basedOn w:val="Normal"/>
    <w:next w:val="Normal"/>
    <w:link w:val="Heading1Char"/>
    <w:uiPriority w:val="9"/>
    <w:qFormat/>
    <w:rsid w:val="007621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18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218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1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1036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CF"/>
    <w:pPr>
      <w:spacing w:before="100" w:beforeAutospacing="1" w:after="100" w:afterAutospacing="1"/>
    </w:pPr>
  </w:style>
  <w:style w:type="paragraph" w:styleId="ListParagraph">
    <w:name w:val="List Paragraph"/>
    <w:aliases w:val="List Paragraph 1,List Paragraph1,References,List_Paragraph,Multilevel para_II,List Paragraph (numbered (a)),ReferencesCxSpLast,List Paragraph-ExecSummary,Akapit z listą BS,Bullets,IBL List Paragraph,List Paragraph nowy,Bullet1,lp1,Liste 1"/>
    <w:basedOn w:val="Normal"/>
    <w:link w:val="ListParagraphChar"/>
    <w:uiPriority w:val="34"/>
    <w:qFormat/>
    <w:rsid w:val="00F85D0D"/>
    <w:pPr>
      <w:ind w:left="720"/>
      <w:contextualSpacing/>
    </w:pPr>
  </w:style>
  <w:style w:type="paragraph" w:styleId="CommentText">
    <w:name w:val="annotation text"/>
    <w:basedOn w:val="Normal"/>
    <w:link w:val="CommentTextChar"/>
    <w:uiPriority w:val="99"/>
    <w:unhideWhenUsed/>
    <w:rsid w:val="00F85D0D"/>
    <w:pPr>
      <w:tabs>
        <w:tab w:val="left" w:pos="7200"/>
      </w:tabs>
      <w:overflowPunct w:val="0"/>
      <w:autoSpaceDE w:val="0"/>
      <w:autoSpaceDN w:val="0"/>
      <w:adjustRightInd w:val="0"/>
      <w:textAlignment w:val="baseline"/>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F85D0D"/>
    <w:rPr>
      <w:rFonts w:ascii="Times" w:eastAsia="Times New Roman" w:hAnsi="Times" w:cs="Times New Roman"/>
      <w:sz w:val="20"/>
      <w:szCs w:val="20"/>
    </w:rPr>
  </w:style>
  <w:style w:type="character" w:customStyle="1" w:styleId="ListParagraphChar">
    <w:name w:val="List Paragraph Char"/>
    <w:aliases w:val="List Paragraph 1 Char,List Paragraph1 Char,References Char,List_Paragraph Char,Multilevel para_II Char,List Paragraph (numbered (a)) Char,ReferencesCxSpLast Char,List Paragraph-ExecSummary Char,Akapit z listą BS Char,Bullets Char"/>
    <w:basedOn w:val="DefaultParagraphFont"/>
    <w:link w:val="ListParagraph"/>
    <w:uiPriority w:val="34"/>
    <w:qFormat/>
    <w:locked/>
    <w:rsid w:val="00D7112D"/>
    <w:rPr>
      <w:rFonts w:ascii="Calibri" w:hAnsi="Calibri" w:cs="Calibri"/>
    </w:rPr>
  </w:style>
  <w:style w:type="character" w:customStyle="1" w:styleId="Heading5Char">
    <w:name w:val="Heading 5 Char"/>
    <w:basedOn w:val="DefaultParagraphFont"/>
    <w:link w:val="Heading5"/>
    <w:uiPriority w:val="9"/>
    <w:rsid w:val="00710361"/>
    <w:rPr>
      <w:rFonts w:asciiTheme="majorHAnsi" w:eastAsiaTheme="majorEastAsia" w:hAnsiTheme="majorHAnsi" w:cstheme="majorBidi"/>
      <w:color w:val="2F5496" w:themeColor="accent1" w:themeShade="BF"/>
    </w:rPr>
  </w:style>
  <w:style w:type="paragraph" w:styleId="FootnoteText">
    <w:name w:val="footnote text"/>
    <w:aliases w:val="single space,footnote text,fn,FOOTNOTES,ALTS FOOTNOTE,Geneva 9,Font: Geneva 9,Boston 10,f,ft,FußnotentextE,ADB,Footnote Text Char Char,Footnote Text Char2 Char,Footnote Text Char1 Char Char,FN,Fodnotetekst Tegn,Fußnote,single space Char,o"/>
    <w:basedOn w:val="Normal"/>
    <w:link w:val="FootnoteTextChar"/>
    <w:uiPriority w:val="99"/>
    <w:unhideWhenUsed/>
    <w:qFormat/>
    <w:rsid w:val="00C51944"/>
    <w:rPr>
      <w:sz w:val="20"/>
      <w:szCs w:val="20"/>
    </w:rPr>
  </w:style>
  <w:style w:type="character" w:customStyle="1" w:styleId="FootnoteTextChar">
    <w:name w:val="Footnote Text Char"/>
    <w:aliases w:val="single space Char2,footnote text Char1,fn Char1,FOOTNOTES Char1,ALTS FOOTNOTE Char1,Geneva 9 Char1,Font: Geneva 9 Char1,Boston 10 Char1,f Char1,ft Char1,FußnotentextE Char1,ADB Char1,Footnote Text Char Char Char1,FN Char,Fußnote Char"/>
    <w:basedOn w:val="DefaultParagraphFont"/>
    <w:link w:val="FootnoteText"/>
    <w:uiPriority w:val="99"/>
    <w:rsid w:val="00C51944"/>
    <w:rPr>
      <w:rFonts w:ascii="Calibri" w:hAnsi="Calibri" w:cs="Calibri"/>
      <w:sz w:val="20"/>
      <w:szCs w:val="20"/>
    </w:rPr>
  </w:style>
  <w:style w:type="character" w:styleId="FootnoteReference">
    <w:name w:val="footnote reference"/>
    <w:aliases w:val="ftref,Char Char Char Char Car Char,Ref,de nota al pie,16 Point,Superscript 6 Point,BVI fnr,Estilo de nota al pie de Africa,Footnote Reference1,Error-Fußnotenzeichen5,Error-Fußnotenzeichen6,Error-Fußnotenzeichen3,referencia nota al pi"/>
    <w:basedOn w:val="DefaultParagraphFont"/>
    <w:link w:val="BVIfnrCarCar"/>
    <w:uiPriority w:val="99"/>
    <w:unhideWhenUsed/>
    <w:qFormat/>
    <w:rsid w:val="00C51944"/>
    <w:rPr>
      <w:vertAlign w:val="superscript"/>
    </w:rPr>
  </w:style>
  <w:style w:type="character" w:styleId="Hyperlink">
    <w:name w:val="Hyperlink"/>
    <w:basedOn w:val="DefaultParagraphFont"/>
    <w:uiPriority w:val="99"/>
    <w:unhideWhenUsed/>
    <w:rsid w:val="006C08E2"/>
    <w:rPr>
      <w:color w:val="0563C1" w:themeColor="hyperlink"/>
      <w:u w:val="single"/>
    </w:rPr>
  </w:style>
  <w:style w:type="character" w:styleId="UnresolvedMention">
    <w:name w:val="Unresolved Mention"/>
    <w:basedOn w:val="DefaultParagraphFont"/>
    <w:uiPriority w:val="99"/>
    <w:semiHidden/>
    <w:unhideWhenUsed/>
    <w:rsid w:val="006C08E2"/>
    <w:rPr>
      <w:color w:val="808080"/>
      <w:shd w:val="clear" w:color="auto" w:fill="E6E6E6"/>
    </w:rPr>
  </w:style>
  <w:style w:type="character" w:styleId="CommentReference">
    <w:name w:val="annotation reference"/>
    <w:basedOn w:val="DefaultParagraphFont"/>
    <w:uiPriority w:val="99"/>
    <w:semiHidden/>
    <w:unhideWhenUsed/>
    <w:rsid w:val="00C4660F"/>
    <w:rPr>
      <w:sz w:val="16"/>
      <w:szCs w:val="16"/>
    </w:rPr>
  </w:style>
  <w:style w:type="paragraph" w:styleId="CommentSubject">
    <w:name w:val="annotation subject"/>
    <w:basedOn w:val="CommentText"/>
    <w:next w:val="CommentText"/>
    <w:link w:val="CommentSubjectChar"/>
    <w:uiPriority w:val="99"/>
    <w:semiHidden/>
    <w:unhideWhenUsed/>
    <w:rsid w:val="00C4660F"/>
    <w:pPr>
      <w:tabs>
        <w:tab w:val="clear" w:pos="7200"/>
      </w:tabs>
      <w:overflowPunct/>
      <w:autoSpaceDE/>
      <w:autoSpaceDN/>
      <w:adjustRightInd/>
      <w:textAlignment w:val="auto"/>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C4660F"/>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C46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0F"/>
    <w:rPr>
      <w:rFonts w:ascii="Segoe UI" w:hAnsi="Segoe UI" w:cs="Segoe UI"/>
      <w:sz w:val="18"/>
      <w:szCs w:val="18"/>
    </w:rPr>
  </w:style>
  <w:style w:type="character" w:customStyle="1" w:styleId="FootnoteTextChar1">
    <w:name w:val="Footnote Text Char1"/>
    <w:aliases w:val="single space Char1,footnote text Char,fn Char,FOOTNOTES Char,ALTS FOOTNOTE Char,Geneva 9 Char,Font: Geneva 9 Char,Boston 10 Char,f Char,ft Char,FußnotentextE Char,ADB Char,Footnote Text Char Char Char,Footnote Text Char2 Char Char"/>
    <w:basedOn w:val="DefaultParagraphFont"/>
    <w:uiPriority w:val="99"/>
    <w:locked/>
    <w:rsid w:val="0088759C"/>
  </w:style>
  <w:style w:type="paragraph" w:customStyle="1" w:styleId="BVIfnrCarCar">
    <w:name w:val="BVI fnr Car Car"/>
    <w:aliases w:val="BVI fnr Car,BVI fnr Car Car Car Car Char"/>
    <w:basedOn w:val="Normal"/>
    <w:link w:val="FootnoteReference"/>
    <w:uiPriority w:val="99"/>
    <w:rsid w:val="0088759C"/>
    <w:pPr>
      <w:spacing w:after="120" w:line="240" w:lineRule="exact"/>
    </w:pPr>
    <w:rPr>
      <w:rFonts w:asciiTheme="minorHAnsi" w:hAnsiTheme="minorHAnsi" w:cstheme="minorBidi"/>
      <w:vertAlign w:val="superscript"/>
    </w:rPr>
  </w:style>
  <w:style w:type="paragraph" w:customStyle="1" w:styleId="Default">
    <w:name w:val="Default"/>
    <w:rsid w:val="00A345E4"/>
    <w:pPr>
      <w:autoSpaceDE w:val="0"/>
      <w:autoSpaceDN w:val="0"/>
      <w:adjustRightInd w:val="0"/>
      <w:spacing w:after="0" w:line="240" w:lineRule="auto"/>
    </w:pPr>
    <w:rPr>
      <w:rFonts w:ascii="Arial" w:hAnsi="Arial" w:cs="Arial"/>
      <w:color w:val="000000"/>
      <w:sz w:val="24"/>
      <w:szCs w:val="24"/>
    </w:rPr>
  </w:style>
  <w:style w:type="paragraph" w:customStyle="1" w:styleId="o1">
    <w:name w:val="o1"/>
    <w:basedOn w:val="Normal"/>
    <w:next w:val="FootnoteText"/>
    <w:uiPriority w:val="99"/>
    <w:unhideWhenUsed/>
    <w:qFormat/>
    <w:rsid w:val="00B40538"/>
    <w:pPr>
      <w:spacing w:before="60"/>
      <w:jc w:val="both"/>
    </w:pPr>
    <w:rPr>
      <w:rFonts w:asciiTheme="minorHAnsi" w:eastAsia="Calibri" w:hAnsiTheme="minorHAnsi" w:cstheme="minorHAnsi"/>
      <w:sz w:val="20"/>
      <w:szCs w:val="20"/>
      <w:lang w:val="en-GB"/>
    </w:rPr>
  </w:style>
  <w:style w:type="paragraph" w:styleId="EndnoteText">
    <w:name w:val="endnote text"/>
    <w:basedOn w:val="Normal"/>
    <w:link w:val="EndnoteTextChar"/>
    <w:uiPriority w:val="99"/>
    <w:semiHidden/>
    <w:unhideWhenUsed/>
    <w:rsid w:val="00B40538"/>
    <w:pPr>
      <w:jc w:val="both"/>
    </w:pPr>
    <w:rPr>
      <w:rFonts w:asciiTheme="minorHAnsi" w:eastAsia="Calibri" w:hAnsiTheme="minorHAnsi" w:cstheme="minorHAnsi"/>
      <w:sz w:val="20"/>
      <w:szCs w:val="20"/>
      <w:lang w:val="en-GB"/>
    </w:rPr>
  </w:style>
  <w:style w:type="character" w:customStyle="1" w:styleId="EndnoteTextChar">
    <w:name w:val="Endnote Text Char"/>
    <w:basedOn w:val="DefaultParagraphFont"/>
    <w:link w:val="EndnoteText"/>
    <w:uiPriority w:val="99"/>
    <w:semiHidden/>
    <w:rsid w:val="00B40538"/>
    <w:rPr>
      <w:rFonts w:eastAsia="Calibri" w:cstheme="minorHAnsi"/>
      <w:sz w:val="20"/>
      <w:szCs w:val="20"/>
      <w:lang w:val="en-GB"/>
    </w:rPr>
  </w:style>
  <w:style w:type="character" w:styleId="EndnoteReference">
    <w:name w:val="endnote reference"/>
    <w:basedOn w:val="DefaultParagraphFont"/>
    <w:uiPriority w:val="99"/>
    <w:semiHidden/>
    <w:unhideWhenUsed/>
    <w:rsid w:val="00B40538"/>
    <w:rPr>
      <w:vertAlign w:val="superscript"/>
    </w:rPr>
  </w:style>
  <w:style w:type="paragraph" w:styleId="Header">
    <w:name w:val="header"/>
    <w:basedOn w:val="Normal"/>
    <w:link w:val="HeaderChar"/>
    <w:uiPriority w:val="99"/>
    <w:unhideWhenUsed/>
    <w:rsid w:val="00B36A4C"/>
    <w:pPr>
      <w:tabs>
        <w:tab w:val="center" w:pos="4680"/>
        <w:tab w:val="right" w:pos="9360"/>
      </w:tabs>
    </w:pPr>
  </w:style>
  <w:style w:type="character" w:customStyle="1" w:styleId="HeaderChar">
    <w:name w:val="Header Char"/>
    <w:basedOn w:val="DefaultParagraphFont"/>
    <w:link w:val="Header"/>
    <w:uiPriority w:val="99"/>
    <w:rsid w:val="00B36A4C"/>
    <w:rPr>
      <w:rFonts w:ascii="Calibri" w:hAnsi="Calibri" w:cs="Calibri"/>
    </w:rPr>
  </w:style>
  <w:style w:type="paragraph" w:styleId="Footer">
    <w:name w:val="footer"/>
    <w:basedOn w:val="Normal"/>
    <w:link w:val="FooterChar"/>
    <w:uiPriority w:val="99"/>
    <w:unhideWhenUsed/>
    <w:rsid w:val="00B36A4C"/>
    <w:pPr>
      <w:tabs>
        <w:tab w:val="center" w:pos="4680"/>
        <w:tab w:val="right" w:pos="9360"/>
      </w:tabs>
    </w:pPr>
  </w:style>
  <w:style w:type="character" w:customStyle="1" w:styleId="FooterChar">
    <w:name w:val="Footer Char"/>
    <w:basedOn w:val="DefaultParagraphFont"/>
    <w:link w:val="Footer"/>
    <w:uiPriority w:val="99"/>
    <w:rsid w:val="00B36A4C"/>
    <w:rPr>
      <w:rFonts w:ascii="Calibri" w:hAnsi="Calibri" w:cs="Calibri"/>
    </w:rPr>
  </w:style>
  <w:style w:type="character" w:customStyle="1" w:styleId="Heading1Char">
    <w:name w:val="Heading 1 Char"/>
    <w:basedOn w:val="DefaultParagraphFont"/>
    <w:link w:val="Heading1"/>
    <w:uiPriority w:val="9"/>
    <w:rsid w:val="007621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18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762180"/>
  </w:style>
  <w:style w:type="character" w:customStyle="1" w:styleId="PlainTextChar">
    <w:name w:val="Plain Text Char"/>
    <w:basedOn w:val="DefaultParagraphFont"/>
    <w:link w:val="PlainText"/>
    <w:uiPriority w:val="99"/>
    <w:semiHidden/>
    <w:rsid w:val="00762180"/>
    <w:rPr>
      <w:rFonts w:ascii="Calibri" w:hAnsi="Calibri" w:cs="Calibri"/>
    </w:rPr>
  </w:style>
  <w:style w:type="table" w:styleId="TableGrid">
    <w:name w:val="Table Grid"/>
    <w:basedOn w:val="TableNormal"/>
    <w:uiPriority w:val="39"/>
    <w:rsid w:val="007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21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62180"/>
    <w:rPr>
      <w:rFonts w:asciiTheme="majorHAnsi" w:eastAsiaTheme="majorEastAsia" w:hAnsiTheme="majorHAnsi" w:cstheme="majorBidi"/>
      <w:i/>
      <w:iCs/>
      <w:color w:val="2F5496" w:themeColor="accent1" w:themeShade="BF"/>
    </w:rPr>
  </w:style>
  <w:style w:type="character" w:customStyle="1" w:styleId="sr-only">
    <w:name w:val="sr-only"/>
    <w:basedOn w:val="DefaultParagraphFont"/>
    <w:rsid w:val="00762180"/>
  </w:style>
  <w:style w:type="character" w:styleId="FollowedHyperlink">
    <w:name w:val="FollowedHyperlink"/>
    <w:basedOn w:val="DefaultParagraphFont"/>
    <w:uiPriority w:val="99"/>
    <w:semiHidden/>
    <w:unhideWhenUsed/>
    <w:rsid w:val="00C64751"/>
    <w:rPr>
      <w:color w:val="954F72" w:themeColor="followedHyperlink"/>
      <w:u w:val="single"/>
    </w:rPr>
  </w:style>
  <w:style w:type="paragraph" w:customStyle="1" w:styleId="FunotenzeichenDISS">
    <w:name w:val="Fußnotenzeichen DISS"/>
    <w:aliases w:val="(NECG) Footnote Reference,Footnote Ref in FtNote,ftref Char Char,fr Char Char,ftref Char1 Char Char,fr Char Char Char"/>
    <w:basedOn w:val="Normal"/>
    <w:uiPriority w:val="99"/>
    <w:rsid w:val="004718E7"/>
    <w:pPr>
      <w:spacing w:before="60" w:after="120" w:line="240" w:lineRule="exact"/>
      <w:jc w:val="both"/>
    </w:pPr>
    <w:rPr>
      <w:rFonts w:asciiTheme="minorHAnsi" w:eastAsia="Calibri" w:hAnsiTheme="minorHAnsi" w:cstheme="minorHAnsi"/>
      <w:vertAlign w:val="superscript"/>
      <w:lang w:val="en-GB"/>
    </w:rPr>
  </w:style>
  <w:style w:type="character" w:customStyle="1" w:styleId="Hyperlink1">
    <w:name w:val="Hyperlink1"/>
    <w:basedOn w:val="DefaultParagraphFont"/>
    <w:uiPriority w:val="99"/>
    <w:unhideWhenUsed/>
    <w:rsid w:val="004718E7"/>
    <w:rPr>
      <w:color w:val="0563C1"/>
      <w:u w:val="single"/>
    </w:rPr>
  </w:style>
  <w:style w:type="paragraph" w:styleId="Revision">
    <w:name w:val="Revision"/>
    <w:hidden/>
    <w:uiPriority w:val="99"/>
    <w:semiHidden/>
    <w:rsid w:val="003F2FCF"/>
    <w:pPr>
      <w:spacing w:after="0" w:line="240" w:lineRule="auto"/>
    </w:pPr>
    <w:rPr>
      <w:rFonts w:ascii="Calibri" w:hAnsi="Calibri" w:cs="Calibri"/>
    </w:rPr>
  </w:style>
  <w:style w:type="paragraph" w:styleId="ListBullet">
    <w:name w:val="List Bullet"/>
    <w:basedOn w:val="Normal"/>
    <w:uiPriority w:val="99"/>
    <w:unhideWhenUsed/>
    <w:rsid w:val="00D4261B"/>
    <w:pPr>
      <w:numPr>
        <w:numId w:val="4"/>
      </w:numPr>
      <w:contextualSpacing/>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DD6041"/>
    <w:pPr>
      <w:spacing w:after="160" w:line="240" w:lineRule="exact"/>
      <w:jc w:val="both"/>
    </w:pPr>
    <w:rPr>
      <w:rFonts w:asciiTheme="minorHAnsi" w:hAnsiTheme="minorHAnsi" w:cstheme="minorBidi"/>
      <w:vertAlign w:val="superscript"/>
    </w:rPr>
  </w:style>
  <w:style w:type="paragraph" w:styleId="Caption">
    <w:name w:val="caption"/>
    <w:aliases w:val="Caption Char Char Char,Caption1 Char,Caption1,WB Caption,Table title,Figure Head,Stacey_Caption,Char,Char Char Char,Char Char,(Table Title),(Table Title) Char Char Char Char Char Char Char Char Char Char, (Table Title),Figure Head Znak Znak"/>
    <w:basedOn w:val="Normal"/>
    <w:next w:val="Normal"/>
    <w:link w:val="CaptionChar"/>
    <w:uiPriority w:val="35"/>
    <w:unhideWhenUsed/>
    <w:qFormat/>
    <w:rsid w:val="00D819B9"/>
    <w:pPr>
      <w:spacing w:after="200"/>
    </w:pPr>
    <w:rPr>
      <w:rFonts w:asciiTheme="minorHAnsi" w:hAnsiTheme="minorHAnsi" w:cstheme="minorBidi"/>
      <w:i/>
      <w:iCs/>
      <w:color w:val="44546A" w:themeColor="text2"/>
      <w:sz w:val="18"/>
      <w:szCs w:val="18"/>
    </w:rPr>
  </w:style>
  <w:style w:type="character" w:customStyle="1" w:styleId="A5">
    <w:name w:val="A5"/>
    <w:uiPriority w:val="99"/>
    <w:rsid w:val="00D819B9"/>
    <w:rPr>
      <w:rFonts w:ascii="Myriad Pro Light" w:hAnsi="Myriad Pro Light" w:cs="Myriad Pro Light"/>
      <w:i/>
      <w:iCs/>
      <w:color w:val="000000"/>
      <w:sz w:val="14"/>
      <w:szCs w:val="14"/>
    </w:rPr>
  </w:style>
  <w:style w:type="character" w:customStyle="1" w:styleId="CaptionChar">
    <w:name w:val="Caption Char"/>
    <w:aliases w:val="Caption Char Char Char Char,Caption1 Char Char,Caption1 Char1,WB Caption Char,Table title Char,Figure Head Char,Stacey_Caption Char,Char Char1,Char Char Char Char,Char Char Char1,(Table Title) Char, (Table Title) Char"/>
    <w:basedOn w:val="DefaultParagraphFont"/>
    <w:link w:val="Caption"/>
    <w:uiPriority w:val="35"/>
    <w:locked/>
    <w:rsid w:val="00D819B9"/>
    <w:rPr>
      <w:i/>
      <w:iCs/>
      <w:color w:val="44546A" w:themeColor="text2"/>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FF65B8"/>
    <w:pPr>
      <w:spacing w:after="160" w:line="240" w:lineRule="exact"/>
      <w:jc w:val="both"/>
    </w:pPr>
    <w:rPr>
      <w:rFonts w:ascii="Times New Roman" w:eastAsiaTheme="minorEastAsia" w:hAnsi="Times New Roman" w:cs="Times New Roman"/>
      <w:sz w:val="24"/>
      <w:szCs w:val="24"/>
      <w:vertAlign w:val="superscript"/>
    </w:rPr>
  </w:style>
  <w:style w:type="character" w:customStyle="1" w:styleId="highlight">
    <w:name w:val="highlight"/>
    <w:basedOn w:val="DefaultParagraphFont"/>
    <w:rsid w:val="0071243C"/>
  </w:style>
  <w:style w:type="paragraph" w:styleId="TOCHeading">
    <w:name w:val="TOC Heading"/>
    <w:basedOn w:val="Heading1"/>
    <w:next w:val="Normal"/>
    <w:uiPriority w:val="39"/>
    <w:unhideWhenUsed/>
    <w:qFormat/>
    <w:rsid w:val="00AF3AC8"/>
    <w:pPr>
      <w:spacing w:line="259" w:lineRule="auto"/>
      <w:outlineLvl w:val="9"/>
    </w:pPr>
  </w:style>
  <w:style w:type="paragraph" w:styleId="TOC2">
    <w:name w:val="toc 2"/>
    <w:basedOn w:val="Normal"/>
    <w:next w:val="Normal"/>
    <w:autoRedefine/>
    <w:uiPriority w:val="39"/>
    <w:unhideWhenUsed/>
    <w:rsid w:val="00AF3AC8"/>
    <w:pPr>
      <w:spacing w:after="100"/>
      <w:ind w:left="220"/>
    </w:pPr>
  </w:style>
  <w:style w:type="paragraph" w:styleId="TOC3">
    <w:name w:val="toc 3"/>
    <w:basedOn w:val="Normal"/>
    <w:next w:val="Normal"/>
    <w:autoRedefine/>
    <w:uiPriority w:val="39"/>
    <w:unhideWhenUsed/>
    <w:rsid w:val="00AF3AC8"/>
    <w:pPr>
      <w:spacing w:after="100"/>
      <w:ind w:left="440"/>
    </w:pPr>
  </w:style>
  <w:style w:type="paragraph" w:styleId="TOC1">
    <w:name w:val="toc 1"/>
    <w:basedOn w:val="Normal"/>
    <w:next w:val="Normal"/>
    <w:autoRedefine/>
    <w:uiPriority w:val="39"/>
    <w:unhideWhenUsed/>
    <w:rsid w:val="009873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5550">
      <w:bodyDiv w:val="1"/>
      <w:marLeft w:val="0"/>
      <w:marRight w:val="0"/>
      <w:marTop w:val="0"/>
      <w:marBottom w:val="0"/>
      <w:divBdr>
        <w:top w:val="none" w:sz="0" w:space="0" w:color="auto"/>
        <w:left w:val="none" w:sz="0" w:space="0" w:color="auto"/>
        <w:bottom w:val="none" w:sz="0" w:space="0" w:color="auto"/>
        <w:right w:val="none" w:sz="0" w:space="0" w:color="auto"/>
      </w:divBdr>
      <w:divsChild>
        <w:div w:id="343674180">
          <w:marLeft w:val="446"/>
          <w:marRight w:val="0"/>
          <w:marTop w:val="216"/>
          <w:marBottom w:val="0"/>
          <w:divBdr>
            <w:top w:val="none" w:sz="0" w:space="0" w:color="auto"/>
            <w:left w:val="none" w:sz="0" w:space="0" w:color="auto"/>
            <w:bottom w:val="none" w:sz="0" w:space="0" w:color="auto"/>
            <w:right w:val="none" w:sz="0" w:space="0" w:color="auto"/>
          </w:divBdr>
        </w:div>
        <w:div w:id="140272237">
          <w:marLeft w:val="446"/>
          <w:marRight w:val="0"/>
          <w:marTop w:val="216"/>
          <w:marBottom w:val="0"/>
          <w:divBdr>
            <w:top w:val="none" w:sz="0" w:space="0" w:color="auto"/>
            <w:left w:val="none" w:sz="0" w:space="0" w:color="auto"/>
            <w:bottom w:val="none" w:sz="0" w:space="0" w:color="auto"/>
            <w:right w:val="none" w:sz="0" w:space="0" w:color="auto"/>
          </w:divBdr>
        </w:div>
        <w:div w:id="1597400179">
          <w:marLeft w:val="446"/>
          <w:marRight w:val="0"/>
          <w:marTop w:val="132"/>
          <w:marBottom w:val="0"/>
          <w:divBdr>
            <w:top w:val="none" w:sz="0" w:space="0" w:color="auto"/>
            <w:left w:val="none" w:sz="0" w:space="0" w:color="auto"/>
            <w:bottom w:val="none" w:sz="0" w:space="0" w:color="auto"/>
            <w:right w:val="none" w:sz="0" w:space="0" w:color="auto"/>
          </w:divBdr>
        </w:div>
        <w:div w:id="629046987">
          <w:marLeft w:val="446"/>
          <w:marRight w:val="0"/>
          <w:marTop w:val="132"/>
          <w:marBottom w:val="0"/>
          <w:divBdr>
            <w:top w:val="none" w:sz="0" w:space="0" w:color="auto"/>
            <w:left w:val="none" w:sz="0" w:space="0" w:color="auto"/>
            <w:bottom w:val="none" w:sz="0" w:space="0" w:color="auto"/>
            <w:right w:val="none" w:sz="0" w:space="0" w:color="auto"/>
          </w:divBdr>
        </w:div>
        <w:div w:id="2091806753">
          <w:marLeft w:val="446"/>
          <w:marRight w:val="0"/>
          <w:marTop w:val="132"/>
          <w:marBottom w:val="0"/>
          <w:divBdr>
            <w:top w:val="none" w:sz="0" w:space="0" w:color="auto"/>
            <w:left w:val="none" w:sz="0" w:space="0" w:color="auto"/>
            <w:bottom w:val="none" w:sz="0" w:space="0" w:color="auto"/>
            <w:right w:val="none" w:sz="0" w:space="0" w:color="auto"/>
          </w:divBdr>
        </w:div>
        <w:div w:id="814181941">
          <w:marLeft w:val="446"/>
          <w:marRight w:val="0"/>
          <w:marTop w:val="132"/>
          <w:marBottom w:val="0"/>
          <w:divBdr>
            <w:top w:val="none" w:sz="0" w:space="0" w:color="auto"/>
            <w:left w:val="none" w:sz="0" w:space="0" w:color="auto"/>
            <w:bottom w:val="none" w:sz="0" w:space="0" w:color="auto"/>
            <w:right w:val="none" w:sz="0" w:space="0" w:color="auto"/>
          </w:divBdr>
        </w:div>
        <w:div w:id="966592953">
          <w:marLeft w:val="446"/>
          <w:marRight w:val="0"/>
          <w:marTop w:val="132"/>
          <w:marBottom w:val="0"/>
          <w:divBdr>
            <w:top w:val="none" w:sz="0" w:space="0" w:color="auto"/>
            <w:left w:val="none" w:sz="0" w:space="0" w:color="auto"/>
            <w:bottom w:val="none" w:sz="0" w:space="0" w:color="auto"/>
            <w:right w:val="none" w:sz="0" w:space="0" w:color="auto"/>
          </w:divBdr>
        </w:div>
        <w:div w:id="278337908">
          <w:marLeft w:val="446"/>
          <w:marRight w:val="0"/>
          <w:marTop w:val="132"/>
          <w:marBottom w:val="0"/>
          <w:divBdr>
            <w:top w:val="none" w:sz="0" w:space="0" w:color="auto"/>
            <w:left w:val="none" w:sz="0" w:space="0" w:color="auto"/>
            <w:bottom w:val="none" w:sz="0" w:space="0" w:color="auto"/>
            <w:right w:val="none" w:sz="0" w:space="0" w:color="auto"/>
          </w:divBdr>
        </w:div>
        <w:div w:id="368258908">
          <w:marLeft w:val="446"/>
          <w:marRight w:val="0"/>
          <w:marTop w:val="132"/>
          <w:marBottom w:val="0"/>
          <w:divBdr>
            <w:top w:val="none" w:sz="0" w:space="0" w:color="auto"/>
            <w:left w:val="none" w:sz="0" w:space="0" w:color="auto"/>
            <w:bottom w:val="none" w:sz="0" w:space="0" w:color="auto"/>
            <w:right w:val="none" w:sz="0" w:space="0" w:color="auto"/>
          </w:divBdr>
        </w:div>
        <w:div w:id="2118283968">
          <w:marLeft w:val="446"/>
          <w:marRight w:val="0"/>
          <w:marTop w:val="216"/>
          <w:marBottom w:val="0"/>
          <w:divBdr>
            <w:top w:val="none" w:sz="0" w:space="0" w:color="auto"/>
            <w:left w:val="none" w:sz="0" w:space="0" w:color="auto"/>
            <w:bottom w:val="none" w:sz="0" w:space="0" w:color="auto"/>
            <w:right w:val="none" w:sz="0" w:space="0" w:color="auto"/>
          </w:divBdr>
        </w:div>
        <w:div w:id="134348">
          <w:marLeft w:val="446"/>
          <w:marRight w:val="0"/>
          <w:marTop w:val="132"/>
          <w:marBottom w:val="0"/>
          <w:divBdr>
            <w:top w:val="none" w:sz="0" w:space="0" w:color="auto"/>
            <w:left w:val="none" w:sz="0" w:space="0" w:color="auto"/>
            <w:bottom w:val="none" w:sz="0" w:space="0" w:color="auto"/>
            <w:right w:val="none" w:sz="0" w:space="0" w:color="auto"/>
          </w:divBdr>
        </w:div>
        <w:div w:id="1941520771">
          <w:marLeft w:val="446"/>
          <w:marRight w:val="0"/>
          <w:marTop w:val="132"/>
          <w:marBottom w:val="0"/>
          <w:divBdr>
            <w:top w:val="none" w:sz="0" w:space="0" w:color="auto"/>
            <w:left w:val="none" w:sz="0" w:space="0" w:color="auto"/>
            <w:bottom w:val="none" w:sz="0" w:space="0" w:color="auto"/>
            <w:right w:val="none" w:sz="0" w:space="0" w:color="auto"/>
          </w:divBdr>
        </w:div>
        <w:div w:id="1228764739">
          <w:marLeft w:val="446"/>
          <w:marRight w:val="0"/>
          <w:marTop w:val="132"/>
          <w:marBottom w:val="0"/>
          <w:divBdr>
            <w:top w:val="none" w:sz="0" w:space="0" w:color="auto"/>
            <w:left w:val="none" w:sz="0" w:space="0" w:color="auto"/>
            <w:bottom w:val="none" w:sz="0" w:space="0" w:color="auto"/>
            <w:right w:val="none" w:sz="0" w:space="0" w:color="auto"/>
          </w:divBdr>
        </w:div>
        <w:div w:id="1526475845">
          <w:marLeft w:val="446"/>
          <w:marRight w:val="0"/>
          <w:marTop w:val="132"/>
          <w:marBottom w:val="0"/>
          <w:divBdr>
            <w:top w:val="none" w:sz="0" w:space="0" w:color="auto"/>
            <w:left w:val="none" w:sz="0" w:space="0" w:color="auto"/>
            <w:bottom w:val="none" w:sz="0" w:space="0" w:color="auto"/>
            <w:right w:val="none" w:sz="0" w:space="0" w:color="auto"/>
          </w:divBdr>
        </w:div>
        <w:div w:id="26226870">
          <w:marLeft w:val="446"/>
          <w:marRight w:val="0"/>
          <w:marTop w:val="216"/>
          <w:marBottom w:val="0"/>
          <w:divBdr>
            <w:top w:val="none" w:sz="0" w:space="0" w:color="auto"/>
            <w:left w:val="none" w:sz="0" w:space="0" w:color="auto"/>
            <w:bottom w:val="none" w:sz="0" w:space="0" w:color="auto"/>
            <w:right w:val="none" w:sz="0" w:space="0" w:color="auto"/>
          </w:divBdr>
        </w:div>
      </w:divsChild>
    </w:div>
    <w:div w:id="189031078">
      <w:bodyDiv w:val="1"/>
      <w:marLeft w:val="0"/>
      <w:marRight w:val="0"/>
      <w:marTop w:val="0"/>
      <w:marBottom w:val="0"/>
      <w:divBdr>
        <w:top w:val="none" w:sz="0" w:space="0" w:color="auto"/>
        <w:left w:val="none" w:sz="0" w:space="0" w:color="auto"/>
        <w:bottom w:val="none" w:sz="0" w:space="0" w:color="auto"/>
        <w:right w:val="none" w:sz="0" w:space="0" w:color="auto"/>
      </w:divBdr>
    </w:div>
    <w:div w:id="230971283">
      <w:bodyDiv w:val="1"/>
      <w:marLeft w:val="0"/>
      <w:marRight w:val="0"/>
      <w:marTop w:val="0"/>
      <w:marBottom w:val="0"/>
      <w:divBdr>
        <w:top w:val="none" w:sz="0" w:space="0" w:color="auto"/>
        <w:left w:val="none" w:sz="0" w:space="0" w:color="auto"/>
        <w:bottom w:val="none" w:sz="0" w:space="0" w:color="auto"/>
        <w:right w:val="none" w:sz="0" w:space="0" w:color="auto"/>
      </w:divBdr>
      <w:divsChild>
        <w:div w:id="1602302992">
          <w:marLeft w:val="446"/>
          <w:marRight w:val="0"/>
          <w:marTop w:val="216"/>
          <w:marBottom w:val="0"/>
          <w:divBdr>
            <w:top w:val="none" w:sz="0" w:space="0" w:color="auto"/>
            <w:left w:val="none" w:sz="0" w:space="0" w:color="auto"/>
            <w:bottom w:val="none" w:sz="0" w:space="0" w:color="auto"/>
            <w:right w:val="none" w:sz="0" w:space="0" w:color="auto"/>
          </w:divBdr>
        </w:div>
        <w:div w:id="1080758344">
          <w:marLeft w:val="446"/>
          <w:marRight w:val="0"/>
          <w:marTop w:val="216"/>
          <w:marBottom w:val="0"/>
          <w:divBdr>
            <w:top w:val="none" w:sz="0" w:space="0" w:color="auto"/>
            <w:left w:val="none" w:sz="0" w:space="0" w:color="auto"/>
            <w:bottom w:val="none" w:sz="0" w:space="0" w:color="auto"/>
            <w:right w:val="none" w:sz="0" w:space="0" w:color="auto"/>
          </w:divBdr>
        </w:div>
        <w:div w:id="996811785">
          <w:marLeft w:val="446"/>
          <w:marRight w:val="0"/>
          <w:marTop w:val="132"/>
          <w:marBottom w:val="0"/>
          <w:divBdr>
            <w:top w:val="none" w:sz="0" w:space="0" w:color="auto"/>
            <w:left w:val="none" w:sz="0" w:space="0" w:color="auto"/>
            <w:bottom w:val="none" w:sz="0" w:space="0" w:color="auto"/>
            <w:right w:val="none" w:sz="0" w:space="0" w:color="auto"/>
          </w:divBdr>
        </w:div>
        <w:div w:id="446243828">
          <w:marLeft w:val="446"/>
          <w:marRight w:val="0"/>
          <w:marTop w:val="132"/>
          <w:marBottom w:val="0"/>
          <w:divBdr>
            <w:top w:val="none" w:sz="0" w:space="0" w:color="auto"/>
            <w:left w:val="none" w:sz="0" w:space="0" w:color="auto"/>
            <w:bottom w:val="none" w:sz="0" w:space="0" w:color="auto"/>
            <w:right w:val="none" w:sz="0" w:space="0" w:color="auto"/>
          </w:divBdr>
        </w:div>
        <w:div w:id="338822441">
          <w:marLeft w:val="446"/>
          <w:marRight w:val="0"/>
          <w:marTop w:val="132"/>
          <w:marBottom w:val="0"/>
          <w:divBdr>
            <w:top w:val="none" w:sz="0" w:space="0" w:color="auto"/>
            <w:left w:val="none" w:sz="0" w:space="0" w:color="auto"/>
            <w:bottom w:val="none" w:sz="0" w:space="0" w:color="auto"/>
            <w:right w:val="none" w:sz="0" w:space="0" w:color="auto"/>
          </w:divBdr>
        </w:div>
        <w:div w:id="115100672">
          <w:marLeft w:val="446"/>
          <w:marRight w:val="0"/>
          <w:marTop w:val="132"/>
          <w:marBottom w:val="0"/>
          <w:divBdr>
            <w:top w:val="none" w:sz="0" w:space="0" w:color="auto"/>
            <w:left w:val="none" w:sz="0" w:space="0" w:color="auto"/>
            <w:bottom w:val="none" w:sz="0" w:space="0" w:color="auto"/>
            <w:right w:val="none" w:sz="0" w:space="0" w:color="auto"/>
          </w:divBdr>
        </w:div>
        <w:div w:id="805968635">
          <w:marLeft w:val="446"/>
          <w:marRight w:val="0"/>
          <w:marTop w:val="132"/>
          <w:marBottom w:val="0"/>
          <w:divBdr>
            <w:top w:val="none" w:sz="0" w:space="0" w:color="auto"/>
            <w:left w:val="none" w:sz="0" w:space="0" w:color="auto"/>
            <w:bottom w:val="none" w:sz="0" w:space="0" w:color="auto"/>
            <w:right w:val="none" w:sz="0" w:space="0" w:color="auto"/>
          </w:divBdr>
        </w:div>
        <w:div w:id="1332029324">
          <w:marLeft w:val="446"/>
          <w:marRight w:val="0"/>
          <w:marTop w:val="132"/>
          <w:marBottom w:val="0"/>
          <w:divBdr>
            <w:top w:val="none" w:sz="0" w:space="0" w:color="auto"/>
            <w:left w:val="none" w:sz="0" w:space="0" w:color="auto"/>
            <w:bottom w:val="none" w:sz="0" w:space="0" w:color="auto"/>
            <w:right w:val="none" w:sz="0" w:space="0" w:color="auto"/>
          </w:divBdr>
        </w:div>
        <w:div w:id="1727725860">
          <w:marLeft w:val="446"/>
          <w:marRight w:val="0"/>
          <w:marTop w:val="132"/>
          <w:marBottom w:val="0"/>
          <w:divBdr>
            <w:top w:val="none" w:sz="0" w:space="0" w:color="auto"/>
            <w:left w:val="none" w:sz="0" w:space="0" w:color="auto"/>
            <w:bottom w:val="none" w:sz="0" w:space="0" w:color="auto"/>
            <w:right w:val="none" w:sz="0" w:space="0" w:color="auto"/>
          </w:divBdr>
        </w:div>
        <w:div w:id="1515074930">
          <w:marLeft w:val="446"/>
          <w:marRight w:val="0"/>
          <w:marTop w:val="216"/>
          <w:marBottom w:val="0"/>
          <w:divBdr>
            <w:top w:val="none" w:sz="0" w:space="0" w:color="auto"/>
            <w:left w:val="none" w:sz="0" w:space="0" w:color="auto"/>
            <w:bottom w:val="none" w:sz="0" w:space="0" w:color="auto"/>
            <w:right w:val="none" w:sz="0" w:space="0" w:color="auto"/>
          </w:divBdr>
        </w:div>
        <w:div w:id="1002128566">
          <w:marLeft w:val="446"/>
          <w:marRight w:val="0"/>
          <w:marTop w:val="132"/>
          <w:marBottom w:val="0"/>
          <w:divBdr>
            <w:top w:val="none" w:sz="0" w:space="0" w:color="auto"/>
            <w:left w:val="none" w:sz="0" w:space="0" w:color="auto"/>
            <w:bottom w:val="none" w:sz="0" w:space="0" w:color="auto"/>
            <w:right w:val="none" w:sz="0" w:space="0" w:color="auto"/>
          </w:divBdr>
        </w:div>
        <w:div w:id="953295174">
          <w:marLeft w:val="446"/>
          <w:marRight w:val="0"/>
          <w:marTop w:val="132"/>
          <w:marBottom w:val="0"/>
          <w:divBdr>
            <w:top w:val="none" w:sz="0" w:space="0" w:color="auto"/>
            <w:left w:val="none" w:sz="0" w:space="0" w:color="auto"/>
            <w:bottom w:val="none" w:sz="0" w:space="0" w:color="auto"/>
            <w:right w:val="none" w:sz="0" w:space="0" w:color="auto"/>
          </w:divBdr>
        </w:div>
        <w:div w:id="36706104">
          <w:marLeft w:val="446"/>
          <w:marRight w:val="0"/>
          <w:marTop w:val="132"/>
          <w:marBottom w:val="0"/>
          <w:divBdr>
            <w:top w:val="none" w:sz="0" w:space="0" w:color="auto"/>
            <w:left w:val="none" w:sz="0" w:space="0" w:color="auto"/>
            <w:bottom w:val="none" w:sz="0" w:space="0" w:color="auto"/>
            <w:right w:val="none" w:sz="0" w:space="0" w:color="auto"/>
          </w:divBdr>
        </w:div>
        <w:div w:id="1120733098">
          <w:marLeft w:val="446"/>
          <w:marRight w:val="0"/>
          <w:marTop w:val="132"/>
          <w:marBottom w:val="0"/>
          <w:divBdr>
            <w:top w:val="none" w:sz="0" w:space="0" w:color="auto"/>
            <w:left w:val="none" w:sz="0" w:space="0" w:color="auto"/>
            <w:bottom w:val="none" w:sz="0" w:space="0" w:color="auto"/>
            <w:right w:val="none" w:sz="0" w:space="0" w:color="auto"/>
          </w:divBdr>
        </w:div>
        <w:div w:id="118767184">
          <w:marLeft w:val="446"/>
          <w:marRight w:val="0"/>
          <w:marTop w:val="216"/>
          <w:marBottom w:val="0"/>
          <w:divBdr>
            <w:top w:val="none" w:sz="0" w:space="0" w:color="auto"/>
            <w:left w:val="none" w:sz="0" w:space="0" w:color="auto"/>
            <w:bottom w:val="none" w:sz="0" w:space="0" w:color="auto"/>
            <w:right w:val="none" w:sz="0" w:space="0" w:color="auto"/>
          </w:divBdr>
        </w:div>
      </w:divsChild>
    </w:div>
    <w:div w:id="267128376">
      <w:bodyDiv w:val="1"/>
      <w:marLeft w:val="0"/>
      <w:marRight w:val="0"/>
      <w:marTop w:val="0"/>
      <w:marBottom w:val="0"/>
      <w:divBdr>
        <w:top w:val="none" w:sz="0" w:space="0" w:color="auto"/>
        <w:left w:val="none" w:sz="0" w:space="0" w:color="auto"/>
        <w:bottom w:val="none" w:sz="0" w:space="0" w:color="auto"/>
        <w:right w:val="none" w:sz="0" w:space="0" w:color="auto"/>
      </w:divBdr>
    </w:div>
    <w:div w:id="273942591">
      <w:bodyDiv w:val="1"/>
      <w:marLeft w:val="0"/>
      <w:marRight w:val="0"/>
      <w:marTop w:val="0"/>
      <w:marBottom w:val="0"/>
      <w:divBdr>
        <w:top w:val="none" w:sz="0" w:space="0" w:color="auto"/>
        <w:left w:val="none" w:sz="0" w:space="0" w:color="auto"/>
        <w:bottom w:val="none" w:sz="0" w:space="0" w:color="auto"/>
        <w:right w:val="none" w:sz="0" w:space="0" w:color="auto"/>
      </w:divBdr>
      <w:divsChild>
        <w:div w:id="129790256">
          <w:marLeft w:val="446"/>
          <w:marRight w:val="0"/>
          <w:marTop w:val="0"/>
          <w:marBottom w:val="0"/>
          <w:divBdr>
            <w:top w:val="none" w:sz="0" w:space="0" w:color="auto"/>
            <w:left w:val="none" w:sz="0" w:space="0" w:color="auto"/>
            <w:bottom w:val="none" w:sz="0" w:space="0" w:color="auto"/>
            <w:right w:val="none" w:sz="0" w:space="0" w:color="auto"/>
          </w:divBdr>
        </w:div>
        <w:div w:id="1431851987">
          <w:marLeft w:val="446"/>
          <w:marRight w:val="0"/>
          <w:marTop w:val="0"/>
          <w:marBottom w:val="0"/>
          <w:divBdr>
            <w:top w:val="none" w:sz="0" w:space="0" w:color="auto"/>
            <w:left w:val="none" w:sz="0" w:space="0" w:color="auto"/>
            <w:bottom w:val="none" w:sz="0" w:space="0" w:color="auto"/>
            <w:right w:val="none" w:sz="0" w:space="0" w:color="auto"/>
          </w:divBdr>
        </w:div>
        <w:div w:id="326057163">
          <w:marLeft w:val="446"/>
          <w:marRight w:val="0"/>
          <w:marTop w:val="0"/>
          <w:marBottom w:val="0"/>
          <w:divBdr>
            <w:top w:val="none" w:sz="0" w:space="0" w:color="auto"/>
            <w:left w:val="none" w:sz="0" w:space="0" w:color="auto"/>
            <w:bottom w:val="none" w:sz="0" w:space="0" w:color="auto"/>
            <w:right w:val="none" w:sz="0" w:space="0" w:color="auto"/>
          </w:divBdr>
        </w:div>
        <w:div w:id="1768884706">
          <w:marLeft w:val="446"/>
          <w:marRight w:val="0"/>
          <w:marTop w:val="0"/>
          <w:marBottom w:val="0"/>
          <w:divBdr>
            <w:top w:val="none" w:sz="0" w:space="0" w:color="auto"/>
            <w:left w:val="none" w:sz="0" w:space="0" w:color="auto"/>
            <w:bottom w:val="none" w:sz="0" w:space="0" w:color="auto"/>
            <w:right w:val="none" w:sz="0" w:space="0" w:color="auto"/>
          </w:divBdr>
        </w:div>
        <w:div w:id="656807901">
          <w:marLeft w:val="446"/>
          <w:marRight w:val="0"/>
          <w:marTop w:val="0"/>
          <w:marBottom w:val="0"/>
          <w:divBdr>
            <w:top w:val="none" w:sz="0" w:space="0" w:color="auto"/>
            <w:left w:val="none" w:sz="0" w:space="0" w:color="auto"/>
            <w:bottom w:val="none" w:sz="0" w:space="0" w:color="auto"/>
            <w:right w:val="none" w:sz="0" w:space="0" w:color="auto"/>
          </w:divBdr>
        </w:div>
        <w:div w:id="436948579">
          <w:marLeft w:val="446"/>
          <w:marRight w:val="0"/>
          <w:marTop w:val="0"/>
          <w:marBottom w:val="0"/>
          <w:divBdr>
            <w:top w:val="none" w:sz="0" w:space="0" w:color="auto"/>
            <w:left w:val="none" w:sz="0" w:space="0" w:color="auto"/>
            <w:bottom w:val="none" w:sz="0" w:space="0" w:color="auto"/>
            <w:right w:val="none" w:sz="0" w:space="0" w:color="auto"/>
          </w:divBdr>
        </w:div>
        <w:div w:id="802961696">
          <w:marLeft w:val="446"/>
          <w:marRight w:val="0"/>
          <w:marTop w:val="0"/>
          <w:marBottom w:val="0"/>
          <w:divBdr>
            <w:top w:val="none" w:sz="0" w:space="0" w:color="auto"/>
            <w:left w:val="none" w:sz="0" w:space="0" w:color="auto"/>
            <w:bottom w:val="none" w:sz="0" w:space="0" w:color="auto"/>
            <w:right w:val="none" w:sz="0" w:space="0" w:color="auto"/>
          </w:divBdr>
        </w:div>
        <w:div w:id="727649210">
          <w:marLeft w:val="446"/>
          <w:marRight w:val="0"/>
          <w:marTop w:val="0"/>
          <w:marBottom w:val="0"/>
          <w:divBdr>
            <w:top w:val="none" w:sz="0" w:space="0" w:color="auto"/>
            <w:left w:val="none" w:sz="0" w:space="0" w:color="auto"/>
            <w:bottom w:val="none" w:sz="0" w:space="0" w:color="auto"/>
            <w:right w:val="none" w:sz="0" w:space="0" w:color="auto"/>
          </w:divBdr>
        </w:div>
      </w:divsChild>
    </w:div>
    <w:div w:id="361050414">
      <w:bodyDiv w:val="1"/>
      <w:marLeft w:val="0"/>
      <w:marRight w:val="0"/>
      <w:marTop w:val="0"/>
      <w:marBottom w:val="0"/>
      <w:divBdr>
        <w:top w:val="none" w:sz="0" w:space="0" w:color="auto"/>
        <w:left w:val="none" w:sz="0" w:space="0" w:color="auto"/>
        <w:bottom w:val="none" w:sz="0" w:space="0" w:color="auto"/>
        <w:right w:val="none" w:sz="0" w:space="0" w:color="auto"/>
      </w:divBdr>
    </w:div>
    <w:div w:id="525099412">
      <w:bodyDiv w:val="1"/>
      <w:marLeft w:val="0"/>
      <w:marRight w:val="0"/>
      <w:marTop w:val="0"/>
      <w:marBottom w:val="0"/>
      <w:divBdr>
        <w:top w:val="none" w:sz="0" w:space="0" w:color="auto"/>
        <w:left w:val="none" w:sz="0" w:space="0" w:color="auto"/>
        <w:bottom w:val="none" w:sz="0" w:space="0" w:color="auto"/>
        <w:right w:val="none" w:sz="0" w:space="0" w:color="auto"/>
      </w:divBdr>
    </w:div>
    <w:div w:id="53427283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92">
          <w:marLeft w:val="547"/>
          <w:marRight w:val="0"/>
          <w:marTop w:val="120"/>
          <w:marBottom w:val="0"/>
          <w:divBdr>
            <w:top w:val="none" w:sz="0" w:space="0" w:color="auto"/>
            <w:left w:val="none" w:sz="0" w:space="0" w:color="auto"/>
            <w:bottom w:val="none" w:sz="0" w:space="0" w:color="auto"/>
            <w:right w:val="none" w:sz="0" w:space="0" w:color="auto"/>
          </w:divBdr>
        </w:div>
        <w:div w:id="978338050">
          <w:marLeft w:val="1253"/>
          <w:marRight w:val="0"/>
          <w:marTop w:val="120"/>
          <w:marBottom w:val="120"/>
          <w:divBdr>
            <w:top w:val="none" w:sz="0" w:space="0" w:color="auto"/>
            <w:left w:val="none" w:sz="0" w:space="0" w:color="auto"/>
            <w:bottom w:val="none" w:sz="0" w:space="0" w:color="auto"/>
            <w:right w:val="none" w:sz="0" w:space="0" w:color="auto"/>
          </w:divBdr>
        </w:div>
        <w:div w:id="913776474">
          <w:marLeft w:val="547"/>
          <w:marRight w:val="0"/>
          <w:marTop w:val="120"/>
          <w:marBottom w:val="120"/>
          <w:divBdr>
            <w:top w:val="none" w:sz="0" w:space="0" w:color="auto"/>
            <w:left w:val="none" w:sz="0" w:space="0" w:color="auto"/>
            <w:bottom w:val="none" w:sz="0" w:space="0" w:color="auto"/>
            <w:right w:val="none" w:sz="0" w:space="0" w:color="auto"/>
          </w:divBdr>
        </w:div>
        <w:div w:id="1233083540">
          <w:marLeft w:val="547"/>
          <w:marRight w:val="0"/>
          <w:marTop w:val="120"/>
          <w:marBottom w:val="120"/>
          <w:divBdr>
            <w:top w:val="none" w:sz="0" w:space="0" w:color="auto"/>
            <w:left w:val="none" w:sz="0" w:space="0" w:color="auto"/>
            <w:bottom w:val="none" w:sz="0" w:space="0" w:color="auto"/>
            <w:right w:val="none" w:sz="0" w:space="0" w:color="auto"/>
          </w:divBdr>
        </w:div>
        <w:div w:id="895319697">
          <w:marLeft w:val="547"/>
          <w:marRight w:val="0"/>
          <w:marTop w:val="120"/>
          <w:marBottom w:val="120"/>
          <w:divBdr>
            <w:top w:val="none" w:sz="0" w:space="0" w:color="auto"/>
            <w:left w:val="none" w:sz="0" w:space="0" w:color="auto"/>
            <w:bottom w:val="none" w:sz="0" w:space="0" w:color="auto"/>
            <w:right w:val="none" w:sz="0" w:space="0" w:color="auto"/>
          </w:divBdr>
        </w:div>
      </w:divsChild>
    </w:div>
    <w:div w:id="535432389">
      <w:bodyDiv w:val="1"/>
      <w:marLeft w:val="0"/>
      <w:marRight w:val="0"/>
      <w:marTop w:val="0"/>
      <w:marBottom w:val="0"/>
      <w:divBdr>
        <w:top w:val="none" w:sz="0" w:space="0" w:color="auto"/>
        <w:left w:val="none" w:sz="0" w:space="0" w:color="auto"/>
        <w:bottom w:val="none" w:sz="0" w:space="0" w:color="auto"/>
        <w:right w:val="none" w:sz="0" w:space="0" w:color="auto"/>
      </w:divBdr>
    </w:div>
    <w:div w:id="537668260">
      <w:bodyDiv w:val="1"/>
      <w:marLeft w:val="0"/>
      <w:marRight w:val="0"/>
      <w:marTop w:val="0"/>
      <w:marBottom w:val="0"/>
      <w:divBdr>
        <w:top w:val="none" w:sz="0" w:space="0" w:color="auto"/>
        <w:left w:val="none" w:sz="0" w:space="0" w:color="auto"/>
        <w:bottom w:val="none" w:sz="0" w:space="0" w:color="auto"/>
        <w:right w:val="none" w:sz="0" w:space="0" w:color="auto"/>
      </w:divBdr>
    </w:div>
    <w:div w:id="554850561">
      <w:bodyDiv w:val="1"/>
      <w:marLeft w:val="0"/>
      <w:marRight w:val="0"/>
      <w:marTop w:val="0"/>
      <w:marBottom w:val="0"/>
      <w:divBdr>
        <w:top w:val="none" w:sz="0" w:space="0" w:color="auto"/>
        <w:left w:val="none" w:sz="0" w:space="0" w:color="auto"/>
        <w:bottom w:val="none" w:sz="0" w:space="0" w:color="auto"/>
        <w:right w:val="none" w:sz="0" w:space="0" w:color="auto"/>
      </w:divBdr>
      <w:divsChild>
        <w:div w:id="1777670734">
          <w:marLeft w:val="446"/>
          <w:marRight w:val="0"/>
          <w:marTop w:val="0"/>
          <w:marBottom w:val="0"/>
          <w:divBdr>
            <w:top w:val="none" w:sz="0" w:space="0" w:color="auto"/>
            <w:left w:val="none" w:sz="0" w:space="0" w:color="auto"/>
            <w:bottom w:val="none" w:sz="0" w:space="0" w:color="auto"/>
            <w:right w:val="none" w:sz="0" w:space="0" w:color="auto"/>
          </w:divBdr>
        </w:div>
        <w:div w:id="1639794877">
          <w:marLeft w:val="446"/>
          <w:marRight w:val="0"/>
          <w:marTop w:val="0"/>
          <w:marBottom w:val="0"/>
          <w:divBdr>
            <w:top w:val="none" w:sz="0" w:space="0" w:color="auto"/>
            <w:left w:val="none" w:sz="0" w:space="0" w:color="auto"/>
            <w:bottom w:val="none" w:sz="0" w:space="0" w:color="auto"/>
            <w:right w:val="none" w:sz="0" w:space="0" w:color="auto"/>
          </w:divBdr>
        </w:div>
      </w:divsChild>
    </w:div>
    <w:div w:id="581524903">
      <w:bodyDiv w:val="1"/>
      <w:marLeft w:val="0"/>
      <w:marRight w:val="0"/>
      <w:marTop w:val="0"/>
      <w:marBottom w:val="0"/>
      <w:divBdr>
        <w:top w:val="none" w:sz="0" w:space="0" w:color="auto"/>
        <w:left w:val="none" w:sz="0" w:space="0" w:color="auto"/>
        <w:bottom w:val="none" w:sz="0" w:space="0" w:color="auto"/>
        <w:right w:val="none" w:sz="0" w:space="0" w:color="auto"/>
      </w:divBdr>
      <w:divsChild>
        <w:div w:id="1676230570">
          <w:marLeft w:val="446"/>
          <w:marRight w:val="0"/>
          <w:marTop w:val="132"/>
          <w:marBottom w:val="0"/>
          <w:divBdr>
            <w:top w:val="none" w:sz="0" w:space="0" w:color="auto"/>
            <w:left w:val="none" w:sz="0" w:space="0" w:color="auto"/>
            <w:bottom w:val="none" w:sz="0" w:space="0" w:color="auto"/>
            <w:right w:val="none" w:sz="0" w:space="0" w:color="auto"/>
          </w:divBdr>
        </w:div>
        <w:div w:id="1222404721">
          <w:marLeft w:val="446"/>
          <w:marRight w:val="0"/>
          <w:marTop w:val="132"/>
          <w:marBottom w:val="0"/>
          <w:divBdr>
            <w:top w:val="none" w:sz="0" w:space="0" w:color="auto"/>
            <w:left w:val="none" w:sz="0" w:space="0" w:color="auto"/>
            <w:bottom w:val="none" w:sz="0" w:space="0" w:color="auto"/>
            <w:right w:val="none" w:sz="0" w:space="0" w:color="auto"/>
          </w:divBdr>
        </w:div>
      </w:divsChild>
    </w:div>
    <w:div w:id="660695667">
      <w:bodyDiv w:val="1"/>
      <w:marLeft w:val="0"/>
      <w:marRight w:val="0"/>
      <w:marTop w:val="0"/>
      <w:marBottom w:val="0"/>
      <w:divBdr>
        <w:top w:val="none" w:sz="0" w:space="0" w:color="auto"/>
        <w:left w:val="none" w:sz="0" w:space="0" w:color="auto"/>
        <w:bottom w:val="none" w:sz="0" w:space="0" w:color="auto"/>
        <w:right w:val="none" w:sz="0" w:space="0" w:color="auto"/>
      </w:divBdr>
    </w:div>
    <w:div w:id="682829259">
      <w:bodyDiv w:val="1"/>
      <w:marLeft w:val="0"/>
      <w:marRight w:val="0"/>
      <w:marTop w:val="0"/>
      <w:marBottom w:val="0"/>
      <w:divBdr>
        <w:top w:val="none" w:sz="0" w:space="0" w:color="auto"/>
        <w:left w:val="none" w:sz="0" w:space="0" w:color="auto"/>
        <w:bottom w:val="none" w:sz="0" w:space="0" w:color="auto"/>
        <w:right w:val="none" w:sz="0" w:space="0" w:color="auto"/>
      </w:divBdr>
      <w:divsChild>
        <w:div w:id="1502157917">
          <w:marLeft w:val="446"/>
          <w:marRight w:val="0"/>
          <w:marTop w:val="0"/>
          <w:marBottom w:val="0"/>
          <w:divBdr>
            <w:top w:val="none" w:sz="0" w:space="0" w:color="auto"/>
            <w:left w:val="none" w:sz="0" w:space="0" w:color="auto"/>
            <w:bottom w:val="none" w:sz="0" w:space="0" w:color="auto"/>
            <w:right w:val="none" w:sz="0" w:space="0" w:color="auto"/>
          </w:divBdr>
        </w:div>
      </w:divsChild>
    </w:div>
    <w:div w:id="724304506">
      <w:bodyDiv w:val="1"/>
      <w:marLeft w:val="0"/>
      <w:marRight w:val="0"/>
      <w:marTop w:val="0"/>
      <w:marBottom w:val="0"/>
      <w:divBdr>
        <w:top w:val="none" w:sz="0" w:space="0" w:color="auto"/>
        <w:left w:val="none" w:sz="0" w:space="0" w:color="auto"/>
        <w:bottom w:val="none" w:sz="0" w:space="0" w:color="auto"/>
        <w:right w:val="none" w:sz="0" w:space="0" w:color="auto"/>
      </w:divBdr>
      <w:divsChild>
        <w:div w:id="1776318662">
          <w:marLeft w:val="446"/>
          <w:marRight w:val="0"/>
          <w:marTop w:val="0"/>
          <w:marBottom w:val="0"/>
          <w:divBdr>
            <w:top w:val="none" w:sz="0" w:space="0" w:color="auto"/>
            <w:left w:val="none" w:sz="0" w:space="0" w:color="auto"/>
            <w:bottom w:val="none" w:sz="0" w:space="0" w:color="auto"/>
            <w:right w:val="none" w:sz="0" w:space="0" w:color="auto"/>
          </w:divBdr>
        </w:div>
        <w:div w:id="2147315854">
          <w:marLeft w:val="446"/>
          <w:marRight w:val="0"/>
          <w:marTop w:val="0"/>
          <w:marBottom w:val="0"/>
          <w:divBdr>
            <w:top w:val="none" w:sz="0" w:space="0" w:color="auto"/>
            <w:left w:val="none" w:sz="0" w:space="0" w:color="auto"/>
            <w:bottom w:val="none" w:sz="0" w:space="0" w:color="auto"/>
            <w:right w:val="none" w:sz="0" w:space="0" w:color="auto"/>
          </w:divBdr>
        </w:div>
        <w:div w:id="1008361340">
          <w:marLeft w:val="446"/>
          <w:marRight w:val="0"/>
          <w:marTop w:val="0"/>
          <w:marBottom w:val="0"/>
          <w:divBdr>
            <w:top w:val="none" w:sz="0" w:space="0" w:color="auto"/>
            <w:left w:val="none" w:sz="0" w:space="0" w:color="auto"/>
            <w:bottom w:val="none" w:sz="0" w:space="0" w:color="auto"/>
            <w:right w:val="none" w:sz="0" w:space="0" w:color="auto"/>
          </w:divBdr>
        </w:div>
        <w:div w:id="180821171">
          <w:marLeft w:val="446"/>
          <w:marRight w:val="0"/>
          <w:marTop w:val="0"/>
          <w:marBottom w:val="0"/>
          <w:divBdr>
            <w:top w:val="none" w:sz="0" w:space="0" w:color="auto"/>
            <w:left w:val="none" w:sz="0" w:space="0" w:color="auto"/>
            <w:bottom w:val="none" w:sz="0" w:space="0" w:color="auto"/>
            <w:right w:val="none" w:sz="0" w:space="0" w:color="auto"/>
          </w:divBdr>
        </w:div>
        <w:div w:id="2108578774">
          <w:marLeft w:val="446"/>
          <w:marRight w:val="0"/>
          <w:marTop w:val="0"/>
          <w:marBottom w:val="0"/>
          <w:divBdr>
            <w:top w:val="none" w:sz="0" w:space="0" w:color="auto"/>
            <w:left w:val="none" w:sz="0" w:space="0" w:color="auto"/>
            <w:bottom w:val="none" w:sz="0" w:space="0" w:color="auto"/>
            <w:right w:val="none" w:sz="0" w:space="0" w:color="auto"/>
          </w:divBdr>
        </w:div>
        <w:div w:id="1969310572">
          <w:marLeft w:val="446"/>
          <w:marRight w:val="0"/>
          <w:marTop w:val="0"/>
          <w:marBottom w:val="0"/>
          <w:divBdr>
            <w:top w:val="none" w:sz="0" w:space="0" w:color="auto"/>
            <w:left w:val="none" w:sz="0" w:space="0" w:color="auto"/>
            <w:bottom w:val="none" w:sz="0" w:space="0" w:color="auto"/>
            <w:right w:val="none" w:sz="0" w:space="0" w:color="auto"/>
          </w:divBdr>
        </w:div>
        <w:div w:id="36516063">
          <w:marLeft w:val="446"/>
          <w:marRight w:val="0"/>
          <w:marTop w:val="0"/>
          <w:marBottom w:val="0"/>
          <w:divBdr>
            <w:top w:val="none" w:sz="0" w:space="0" w:color="auto"/>
            <w:left w:val="none" w:sz="0" w:space="0" w:color="auto"/>
            <w:bottom w:val="none" w:sz="0" w:space="0" w:color="auto"/>
            <w:right w:val="none" w:sz="0" w:space="0" w:color="auto"/>
          </w:divBdr>
        </w:div>
        <w:div w:id="1788936837">
          <w:marLeft w:val="446"/>
          <w:marRight w:val="0"/>
          <w:marTop w:val="0"/>
          <w:marBottom w:val="0"/>
          <w:divBdr>
            <w:top w:val="none" w:sz="0" w:space="0" w:color="auto"/>
            <w:left w:val="none" w:sz="0" w:space="0" w:color="auto"/>
            <w:bottom w:val="none" w:sz="0" w:space="0" w:color="auto"/>
            <w:right w:val="none" w:sz="0" w:space="0" w:color="auto"/>
          </w:divBdr>
        </w:div>
        <w:div w:id="2010517892">
          <w:marLeft w:val="446"/>
          <w:marRight w:val="0"/>
          <w:marTop w:val="0"/>
          <w:marBottom w:val="0"/>
          <w:divBdr>
            <w:top w:val="none" w:sz="0" w:space="0" w:color="auto"/>
            <w:left w:val="none" w:sz="0" w:space="0" w:color="auto"/>
            <w:bottom w:val="none" w:sz="0" w:space="0" w:color="auto"/>
            <w:right w:val="none" w:sz="0" w:space="0" w:color="auto"/>
          </w:divBdr>
        </w:div>
        <w:div w:id="1956210335">
          <w:marLeft w:val="446"/>
          <w:marRight w:val="0"/>
          <w:marTop w:val="0"/>
          <w:marBottom w:val="0"/>
          <w:divBdr>
            <w:top w:val="none" w:sz="0" w:space="0" w:color="auto"/>
            <w:left w:val="none" w:sz="0" w:space="0" w:color="auto"/>
            <w:bottom w:val="none" w:sz="0" w:space="0" w:color="auto"/>
            <w:right w:val="none" w:sz="0" w:space="0" w:color="auto"/>
          </w:divBdr>
        </w:div>
        <w:div w:id="1005398106">
          <w:marLeft w:val="446"/>
          <w:marRight w:val="0"/>
          <w:marTop w:val="0"/>
          <w:marBottom w:val="0"/>
          <w:divBdr>
            <w:top w:val="none" w:sz="0" w:space="0" w:color="auto"/>
            <w:left w:val="none" w:sz="0" w:space="0" w:color="auto"/>
            <w:bottom w:val="none" w:sz="0" w:space="0" w:color="auto"/>
            <w:right w:val="none" w:sz="0" w:space="0" w:color="auto"/>
          </w:divBdr>
        </w:div>
        <w:div w:id="1957322322">
          <w:marLeft w:val="446"/>
          <w:marRight w:val="0"/>
          <w:marTop w:val="0"/>
          <w:marBottom w:val="0"/>
          <w:divBdr>
            <w:top w:val="none" w:sz="0" w:space="0" w:color="auto"/>
            <w:left w:val="none" w:sz="0" w:space="0" w:color="auto"/>
            <w:bottom w:val="none" w:sz="0" w:space="0" w:color="auto"/>
            <w:right w:val="none" w:sz="0" w:space="0" w:color="auto"/>
          </w:divBdr>
        </w:div>
      </w:divsChild>
    </w:div>
    <w:div w:id="848521930">
      <w:bodyDiv w:val="1"/>
      <w:marLeft w:val="0"/>
      <w:marRight w:val="0"/>
      <w:marTop w:val="0"/>
      <w:marBottom w:val="0"/>
      <w:divBdr>
        <w:top w:val="none" w:sz="0" w:space="0" w:color="auto"/>
        <w:left w:val="none" w:sz="0" w:space="0" w:color="auto"/>
        <w:bottom w:val="none" w:sz="0" w:space="0" w:color="auto"/>
        <w:right w:val="none" w:sz="0" w:space="0" w:color="auto"/>
      </w:divBdr>
    </w:div>
    <w:div w:id="913319222">
      <w:bodyDiv w:val="1"/>
      <w:marLeft w:val="0"/>
      <w:marRight w:val="0"/>
      <w:marTop w:val="0"/>
      <w:marBottom w:val="0"/>
      <w:divBdr>
        <w:top w:val="none" w:sz="0" w:space="0" w:color="auto"/>
        <w:left w:val="none" w:sz="0" w:space="0" w:color="auto"/>
        <w:bottom w:val="none" w:sz="0" w:space="0" w:color="auto"/>
        <w:right w:val="none" w:sz="0" w:space="0" w:color="auto"/>
      </w:divBdr>
      <w:divsChild>
        <w:div w:id="750781362">
          <w:marLeft w:val="446"/>
          <w:marRight w:val="0"/>
          <w:marTop w:val="132"/>
          <w:marBottom w:val="0"/>
          <w:divBdr>
            <w:top w:val="none" w:sz="0" w:space="0" w:color="auto"/>
            <w:left w:val="none" w:sz="0" w:space="0" w:color="auto"/>
            <w:bottom w:val="none" w:sz="0" w:space="0" w:color="auto"/>
            <w:right w:val="none" w:sz="0" w:space="0" w:color="auto"/>
          </w:divBdr>
        </w:div>
        <w:div w:id="1511600974">
          <w:marLeft w:val="446"/>
          <w:marRight w:val="0"/>
          <w:marTop w:val="132"/>
          <w:marBottom w:val="0"/>
          <w:divBdr>
            <w:top w:val="none" w:sz="0" w:space="0" w:color="auto"/>
            <w:left w:val="none" w:sz="0" w:space="0" w:color="auto"/>
            <w:bottom w:val="none" w:sz="0" w:space="0" w:color="auto"/>
            <w:right w:val="none" w:sz="0" w:space="0" w:color="auto"/>
          </w:divBdr>
        </w:div>
        <w:div w:id="483665343">
          <w:marLeft w:val="446"/>
          <w:marRight w:val="0"/>
          <w:marTop w:val="132"/>
          <w:marBottom w:val="0"/>
          <w:divBdr>
            <w:top w:val="none" w:sz="0" w:space="0" w:color="auto"/>
            <w:left w:val="none" w:sz="0" w:space="0" w:color="auto"/>
            <w:bottom w:val="none" w:sz="0" w:space="0" w:color="auto"/>
            <w:right w:val="none" w:sz="0" w:space="0" w:color="auto"/>
          </w:divBdr>
        </w:div>
      </w:divsChild>
    </w:div>
    <w:div w:id="942684175">
      <w:bodyDiv w:val="1"/>
      <w:marLeft w:val="0"/>
      <w:marRight w:val="0"/>
      <w:marTop w:val="0"/>
      <w:marBottom w:val="0"/>
      <w:divBdr>
        <w:top w:val="none" w:sz="0" w:space="0" w:color="auto"/>
        <w:left w:val="none" w:sz="0" w:space="0" w:color="auto"/>
        <w:bottom w:val="none" w:sz="0" w:space="0" w:color="auto"/>
        <w:right w:val="none" w:sz="0" w:space="0" w:color="auto"/>
      </w:divBdr>
    </w:div>
    <w:div w:id="1088649008">
      <w:bodyDiv w:val="1"/>
      <w:marLeft w:val="0"/>
      <w:marRight w:val="0"/>
      <w:marTop w:val="0"/>
      <w:marBottom w:val="0"/>
      <w:divBdr>
        <w:top w:val="none" w:sz="0" w:space="0" w:color="auto"/>
        <w:left w:val="none" w:sz="0" w:space="0" w:color="auto"/>
        <w:bottom w:val="none" w:sz="0" w:space="0" w:color="auto"/>
        <w:right w:val="none" w:sz="0" w:space="0" w:color="auto"/>
      </w:divBdr>
      <w:divsChild>
        <w:div w:id="1524518371">
          <w:marLeft w:val="446"/>
          <w:marRight w:val="0"/>
          <w:marTop w:val="132"/>
          <w:marBottom w:val="0"/>
          <w:divBdr>
            <w:top w:val="none" w:sz="0" w:space="0" w:color="auto"/>
            <w:left w:val="none" w:sz="0" w:space="0" w:color="auto"/>
            <w:bottom w:val="none" w:sz="0" w:space="0" w:color="auto"/>
            <w:right w:val="none" w:sz="0" w:space="0" w:color="auto"/>
          </w:divBdr>
        </w:div>
        <w:div w:id="915477760">
          <w:marLeft w:val="446"/>
          <w:marRight w:val="0"/>
          <w:marTop w:val="132"/>
          <w:marBottom w:val="0"/>
          <w:divBdr>
            <w:top w:val="none" w:sz="0" w:space="0" w:color="auto"/>
            <w:left w:val="none" w:sz="0" w:space="0" w:color="auto"/>
            <w:bottom w:val="none" w:sz="0" w:space="0" w:color="auto"/>
            <w:right w:val="none" w:sz="0" w:space="0" w:color="auto"/>
          </w:divBdr>
        </w:div>
      </w:divsChild>
    </w:div>
    <w:div w:id="1130781480">
      <w:bodyDiv w:val="1"/>
      <w:marLeft w:val="0"/>
      <w:marRight w:val="0"/>
      <w:marTop w:val="0"/>
      <w:marBottom w:val="0"/>
      <w:divBdr>
        <w:top w:val="none" w:sz="0" w:space="0" w:color="auto"/>
        <w:left w:val="none" w:sz="0" w:space="0" w:color="auto"/>
        <w:bottom w:val="none" w:sz="0" w:space="0" w:color="auto"/>
        <w:right w:val="none" w:sz="0" w:space="0" w:color="auto"/>
      </w:divBdr>
    </w:div>
    <w:div w:id="1141119830">
      <w:bodyDiv w:val="1"/>
      <w:marLeft w:val="0"/>
      <w:marRight w:val="0"/>
      <w:marTop w:val="0"/>
      <w:marBottom w:val="0"/>
      <w:divBdr>
        <w:top w:val="none" w:sz="0" w:space="0" w:color="auto"/>
        <w:left w:val="none" w:sz="0" w:space="0" w:color="auto"/>
        <w:bottom w:val="none" w:sz="0" w:space="0" w:color="auto"/>
        <w:right w:val="none" w:sz="0" w:space="0" w:color="auto"/>
      </w:divBdr>
    </w:div>
    <w:div w:id="1170877340">
      <w:bodyDiv w:val="1"/>
      <w:marLeft w:val="0"/>
      <w:marRight w:val="0"/>
      <w:marTop w:val="0"/>
      <w:marBottom w:val="0"/>
      <w:divBdr>
        <w:top w:val="none" w:sz="0" w:space="0" w:color="auto"/>
        <w:left w:val="none" w:sz="0" w:space="0" w:color="auto"/>
        <w:bottom w:val="none" w:sz="0" w:space="0" w:color="auto"/>
        <w:right w:val="none" w:sz="0" w:space="0" w:color="auto"/>
      </w:divBdr>
    </w:div>
    <w:div w:id="1201241257">
      <w:bodyDiv w:val="1"/>
      <w:marLeft w:val="0"/>
      <w:marRight w:val="0"/>
      <w:marTop w:val="0"/>
      <w:marBottom w:val="0"/>
      <w:divBdr>
        <w:top w:val="none" w:sz="0" w:space="0" w:color="auto"/>
        <w:left w:val="none" w:sz="0" w:space="0" w:color="auto"/>
        <w:bottom w:val="none" w:sz="0" w:space="0" w:color="auto"/>
        <w:right w:val="none" w:sz="0" w:space="0" w:color="auto"/>
      </w:divBdr>
      <w:divsChild>
        <w:div w:id="925577545">
          <w:marLeft w:val="446"/>
          <w:marRight w:val="0"/>
          <w:marTop w:val="0"/>
          <w:marBottom w:val="0"/>
          <w:divBdr>
            <w:top w:val="none" w:sz="0" w:space="0" w:color="auto"/>
            <w:left w:val="none" w:sz="0" w:space="0" w:color="auto"/>
            <w:bottom w:val="none" w:sz="0" w:space="0" w:color="auto"/>
            <w:right w:val="none" w:sz="0" w:space="0" w:color="auto"/>
          </w:divBdr>
        </w:div>
        <w:div w:id="315569434">
          <w:marLeft w:val="446"/>
          <w:marRight w:val="0"/>
          <w:marTop w:val="0"/>
          <w:marBottom w:val="0"/>
          <w:divBdr>
            <w:top w:val="none" w:sz="0" w:space="0" w:color="auto"/>
            <w:left w:val="none" w:sz="0" w:space="0" w:color="auto"/>
            <w:bottom w:val="none" w:sz="0" w:space="0" w:color="auto"/>
            <w:right w:val="none" w:sz="0" w:space="0" w:color="auto"/>
          </w:divBdr>
        </w:div>
        <w:div w:id="996419891">
          <w:marLeft w:val="446"/>
          <w:marRight w:val="0"/>
          <w:marTop w:val="0"/>
          <w:marBottom w:val="0"/>
          <w:divBdr>
            <w:top w:val="none" w:sz="0" w:space="0" w:color="auto"/>
            <w:left w:val="none" w:sz="0" w:space="0" w:color="auto"/>
            <w:bottom w:val="none" w:sz="0" w:space="0" w:color="auto"/>
            <w:right w:val="none" w:sz="0" w:space="0" w:color="auto"/>
          </w:divBdr>
        </w:div>
        <w:div w:id="1191453116">
          <w:marLeft w:val="446"/>
          <w:marRight w:val="0"/>
          <w:marTop w:val="0"/>
          <w:marBottom w:val="0"/>
          <w:divBdr>
            <w:top w:val="none" w:sz="0" w:space="0" w:color="auto"/>
            <w:left w:val="none" w:sz="0" w:space="0" w:color="auto"/>
            <w:bottom w:val="none" w:sz="0" w:space="0" w:color="auto"/>
            <w:right w:val="none" w:sz="0" w:space="0" w:color="auto"/>
          </w:divBdr>
        </w:div>
      </w:divsChild>
    </w:div>
    <w:div w:id="1243371226">
      <w:bodyDiv w:val="1"/>
      <w:marLeft w:val="0"/>
      <w:marRight w:val="0"/>
      <w:marTop w:val="0"/>
      <w:marBottom w:val="0"/>
      <w:divBdr>
        <w:top w:val="none" w:sz="0" w:space="0" w:color="auto"/>
        <w:left w:val="none" w:sz="0" w:space="0" w:color="auto"/>
        <w:bottom w:val="none" w:sz="0" w:space="0" w:color="auto"/>
        <w:right w:val="none" w:sz="0" w:space="0" w:color="auto"/>
      </w:divBdr>
      <w:divsChild>
        <w:div w:id="215513194">
          <w:marLeft w:val="446"/>
          <w:marRight w:val="0"/>
          <w:marTop w:val="132"/>
          <w:marBottom w:val="0"/>
          <w:divBdr>
            <w:top w:val="none" w:sz="0" w:space="0" w:color="auto"/>
            <w:left w:val="none" w:sz="0" w:space="0" w:color="auto"/>
            <w:bottom w:val="none" w:sz="0" w:space="0" w:color="auto"/>
            <w:right w:val="none" w:sz="0" w:space="0" w:color="auto"/>
          </w:divBdr>
        </w:div>
        <w:div w:id="2064481165">
          <w:marLeft w:val="446"/>
          <w:marRight w:val="0"/>
          <w:marTop w:val="132"/>
          <w:marBottom w:val="0"/>
          <w:divBdr>
            <w:top w:val="none" w:sz="0" w:space="0" w:color="auto"/>
            <w:left w:val="none" w:sz="0" w:space="0" w:color="auto"/>
            <w:bottom w:val="none" w:sz="0" w:space="0" w:color="auto"/>
            <w:right w:val="none" w:sz="0" w:space="0" w:color="auto"/>
          </w:divBdr>
        </w:div>
        <w:div w:id="866873336">
          <w:marLeft w:val="446"/>
          <w:marRight w:val="0"/>
          <w:marTop w:val="132"/>
          <w:marBottom w:val="0"/>
          <w:divBdr>
            <w:top w:val="none" w:sz="0" w:space="0" w:color="auto"/>
            <w:left w:val="none" w:sz="0" w:space="0" w:color="auto"/>
            <w:bottom w:val="none" w:sz="0" w:space="0" w:color="auto"/>
            <w:right w:val="none" w:sz="0" w:space="0" w:color="auto"/>
          </w:divBdr>
        </w:div>
        <w:div w:id="1598055600">
          <w:marLeft w:val="446"/>
          <w:marRight w:val="0"/>
          <w:marTop w:val="132"/>
          <w:marBottom w:val="0"/>
          <w:divBdr>
            <w:top w:val="none" w:sz="0" w:space="0" w:color="auto"/>
            <w:left w:val="none" w:sz="0" w:space="0" w:color="auto"/>
            <w:bottom w:val="none" w:sz="0" w:space="0" w:color="auto"/>
            <w:right w:val="none" w:sz="0" w:space="0" w:color="auto"/>
          </w:divBdr>
        </w:div>
      </w:divsChild>
    </w:div>
    <w:div w:id="1284312793">
      <w:bodyDiv w:val="1"/>
      <w:marLeft w:val="0"/>
      <w:marRight w:val="0"/>
      <w:marTop w:val="0"/>
      <w:marBottom w:val="0"/>
      <w:divBdr>
        <w:top w:val="none" w:sz="0" w:space="0" w:color="auto"/>
        <w:left w:val="none" w:sz="0" w:space="0" w:color="auto"/>
        <w:bottom w:val="none" w:sz="0" w:space="0" w:color="auto"/>
        <w:right w:val="none" w:sz="0" w:space="0" w:color="auto"/>
      </w:divBdr>
    </w:div>
    <w:div w:id="1359772527">
      <w:bodyDiv w:val="1"/>
      <w:marLeft w:val="0"/>
      <w:marRight w:val="0"/>
      <w:marTop w:val="0"/>
      <w:marBottom w:val="0"/>
      <w:divBdr>
        <w:top w:val="none" w:sz="0" w:space="0" w:color="auto"/>
        <w:left w:val="none" w:sz="0" w:space="0" w:color="auto"/>
        <w:bottom w:val="none" w:sz="0" w:space="0" w:color="auto"/>
        <w:right w:val="none" w:sz="0" w:space="0" w:color="auto"/>
      </w:divBdr>
      <w:divsChild>
        <w:div w:id="723648580">
          <w:marLeft w:val="446"/>
          <w:marRight w:val="0"/>
          <w:marTop w:val="0"/>
          <w:marBottom w:val="0"/>
          <w:divBdr>
            <w:top w:val="none" w:sz="0" w:space="0" w:color="auto"/>
            <w:left w:val="none" w:sz="0" w:space="0" w:color="auto"/>
            <w:bottom w:val="none" w:sz="0" w:space="0" w:color="auto"/>
            <w:right w:val="none" w:sz="0" w:space="0" w:color="auto"/>
          </w:divBdr>
        </w:div>
        <w:div w:id="1298753719">
          <w:marLeft w:val="446"/>
          <w:marRight w:val="0"/>
          <w:marTop w:val="0"/>
          <w:marBottom w:val="0"/>
          <w:divBdr>
            <w:top w:val="none" w:sz="0" w:space="0" w:color="auto"/>
            <w:left w:val="none" w:sz="0" w:space="0" w:color="auto"/>
            <w:bottom w:val="none" w:sz="0" w:space="0" w:color="auto"/>
            <w:right w:val="none" w:sz="0" w:space="0" w:color="auto"/>
          </w:divBdr>
        </w:div>
        <w:div w:id="2033719650">
          <w:marLeft w:val="446"/>
          <w:marRight w:val="0"/>
          <w:marTop w:val="0"/>
          <w:marBottom w:val="0"/>
          <w:divBdr>
            <w:top w:val="none" w:sz="0" w:space="0" w:color="auto"/>
            <w:left w:val="none" w:sz="0" w:space="0" w:color="auto"/>
            <w:bottom w:val="none" w:sz="0" w:space="0" w:color="auto"/>
            <w:right w:val="none" w:sz="0" w:space="0" w:color="auto"/>
          </w:divBdr>
        </w:div>
        <w:div w:id="543561968">
          <w:marLeft w:val="446"/>
          <w:marRight w:val="0"/>
          <w:marTop w:val="0"/>
          <w:marBottom w:val="0"/>
          <w:divBdr>
            <w:top w:val="none" w:sz="0" w:space="0" w:color="auto"/>
            <w:left w:val="none" w:sz="0" w:space="0" w:color="auto"/>
            <w:bottom w:val="none" w:sz="0" w:space="0" w:color="auto"/>
            <w:right w:val="none" w:sz="0" w:space="0" w:color="auto"/>
          </w:divBdr>
        </w:div>
        <w:div w:id="792595855">
          <w:marLeft w:val="446"/>
          <w:marRight w:val="0"/>
          <w:marTop w:val="0"/>
          <w:marBottom w:val="0"/>
          <w:divBdr>
            <w:top w:val="none" w:sz="0" w:space="0" w:color="auto"/>
            <w:left w:val="none" w:sz="0" w:space="0" w:color="auto"/>
            <w:bottom w:val="none" w:sz="0" w:space="0" w:color="auto"/>
            <w:right w:val="none" w:sz="0" w:space="0" w:color="auto"/>
          </w:divBdr>
        </w:div>
        <w:div w:id="521633273">
          <w:marLeft w:val="446"/>
          <w:marRight w:val="0"/>
          <w:marTop w:val="0"/>
          <w:marBottom w:val="0"/>
          <w:divBdr>
            <w:top w:val="none" w:sz="0" w:space="0" w:color="auto"/>
            <w:left w:val="none" w:sz="0" w:space="0" w:color="auto"/>
            <w:bottom w:val="none" w:sz="0" w:space="0" w:color="auto"/>
            <w:right w:val="none" w:sz="0" w:space="0" w:color="auto"/>
          </w:divBdr>
        </w:div>
        <w:div w:id="1850678678">
          <w:marLeft w:val="1166"/>
          <w:marRight w:val="0"/>
          <w:marTop w:val="0"/>
          <w:marBottom w:val="0"/>
          <w:divBdr>
            <w:top w:val="none" w:sz="0" w:space="0" w:color="auto"/>
            <w:left w:val="none" w:sz="0" w:space="0" w:color="auto"/>
            <w:bottom w:val="none" w:sz="0" w:space="0" w:color="auto"/>
            <w:right w:val="none" w:sz="0" w:space="0" w:color="auto"/>
          </w:divBdr>
        </w:div>
        <w:div w:id="1110854959">
          <w:marLeft w:val="446"/>
          <w:marRight w:val="0"/>
          <w:marTop w:val="0"/>
          <w:marBottom w:val="0"/>
          <w:divBdr>
            <w:top w:val="none" w:sz="0" w:space="0" w:color="auto"/>
            <w:left w:val="none" w:sz="0" w:space="0" w:color="auto"/>
            <w:bottom w:val="none" w:sz="0" w:space="0" w:color="auto"/>
            <w:right w:val="none" w:sz="0" w:space="0" w:color="auto"/>
          </w:divBdr>
        </w:div>
        <w:div w:id="1579898236">
          <w:marLeft w:val="446"/>
          <w:marRight w:val="0"/>
          <w:marTop w:val="0"/>
          <w:marBottom w:val="0"/>
          <w:divBdr>
            <w:top w:val="none" w:sz="0" w:space="0" w:color="auto"/>
            <w:left w:val="none" w:sz="0" w:space="0" w:color="auto"/>
            <w:bottom w:val="none" w:sz="0" w:space="0" w:color="auto"/>
            <w:right w:val="none" w:sz="0" w:space="0" w:color="auto"/>
          </w:divBdr>
        </w:div>
        <w:div w:id="1286498119">
          <w:marLeft w:val="446"/>
          <w:marRight w:val="0"/>
          <w:marTop w:val="0"/>
          <w:marBottom w:val="0"/>
          <w:divBdr>
            <w:top w:val="none" w:sz="0" w:space="0" w:color="auto"/>
            <w:left w:val="none" w:sz="0" w:space="0" w:color="auto"/>
            <w:bottom w:val="none" w:sz="0" w:space="0" w:color="auto"/>
            <w:right w:val="none" w:sz="0" w:space="0" w:color="auto"/>
          </w:divBdr>
        </w:div>
        <w:div w:id="708383908">
          <w:marLeft w:val="446"/>
          <w:marRight w:val="0"/>
          <w:marTop w:val="0"/>
          <w:marBottom w:val="0"/>
          <w:divBdr>
            <w:top w:val="none" w:sz="0" w:space="0" w:color="auto"/>
            <w:left w:val="none" w:sz="0" w:space="0" w:color="auto"/>
            <w:bottom w:val="none" w:sz="0" w:space="0" w:color="auto"/>
            <w:right w:val="none" w:sz="0" w:space="0" w:color="auto"/>
          </w:divBdr>
        </w:div>
      </w:divsChild>
    </w:div>
    <w:div w:id="1389189317">
      <w:bodyDiv w:val="1"/>
      <w:marLeft w:val="0"/>
      <w:marRight w:val="0"/>
      <w:marTop w:val="0"/>
      <w:marBottom w:val="0"/>
      <w:divBdr>
        <w:top w:val="none" w:sz="0" w:space="0" w:color="auto"/>
        <w:left w:val="none" w:sz="0" w:space="0" w:color="auto"/>
        <w:bottom w:val="none" w:sz="0" w:space="0" w:color="auto"/>
        <w:right w:val="none" w:sz="0" w:space="0" w:color="auto"/>
      </w:divBdr>
    </w:div>
    <w:div w:id="1402018152">
      <w:bodyDiv w:val="1"/>
      <w:marLeft w:val="0"/>
      <w:marRight w:val="0"/>
      <w:marTop w:val="0"/>
      <w:marBottom w:val="0"/>
      <w:divBdr>
        <w:top w:val="none" w:sz="0" w:space="0" w:color="auto"/>
        <w:left w:val="none" w:sz="0" w:space="0" w:color="auto"/>
        <w:bottom w:val="none" w:sz="0" w:space="0" w:color="auto"/>
        <w:right w:val="none" w:sz="0" w:space="0" w:color="auto"/>
      </w:divBdr>
    </w:div>
    <w:div w:id="1403060819">
      <w:bodyDiv w:val="1"/>
      <w:marLeft w:val="0"/>
      <w:marRight w:val="0"/>
      <w:marTop w:val="0"/>
      <w:marBottom w:val="0"/>
      <w:divBdr>
        <w:top w:val="none" w:sz="0" w:space="0" w:color="auto"/>
        <w:left w:val="none" w:sz="0" w:space="0" w:color="auto"/>
        <w:bottom w:val="none" w:sz="0" w:space="0" w:color="auto"/>
        <w:right w:val="none" w:sz="0" w:space="0" w:color="auto"/>
      </w:divBdr>
    </w:div>
    <w:div w:id="1486509900">
      <w:bodyDiv w:val="1"/>
      <w:marLeft w:val="0"/>
      <w:marRight w:val="0"/>
      <w:marTop w:val="0"/>
      <w:marBottom w:val="0"/>
      <w:divBdr>
        <w:top w:val="none" w:sz="0" w:space="0" w:color="auto"/>
        <w:left w:val="none" w:sz="0" w:space="0" w:color="auto"/>
        <w:bottom w:val="none" w:sz="0" w:space="0" w:color="auto"/>
        <w:right w:val="none" w:sz="0" w:space="0" w:color="auto"/>
      </w:divBdr>
      <w:divsChild>
        <w:div w:id="321202354">
          <w:marLeft w:val="446"/>
          <w:marRight w:val="0"/>
          <w:marTop w:val="132"/>
          <w:marBottom w:val="0"/>
          <w:divBdr>
            <w:top w:val="none" w:sz="0" w:space="0" w:color="auto"/>
            <w:left w:val="none" w:sz="0" w:space="0" w:color="auto"/>
            <w:bottom w:val="none" w:sz="0" w:space="0" w:color="auto"/>
            <w:right w:val="none" w:sz="0" w:space="0" w:color="auto"/>
          </w:divBdr>
        </w:div>
        <w:div w:id="25759919">
          <w:marLeft w:val="446"/>
          <w:marRight w:val="0"/>
          <w:marTop w:val="132"/>
          <w:marBottom w:val="0"/>
          <w:divBdr>
            <w:top w:val="none" w:sz="0" w:space="0" w:color="auto"/>
            <w:left w:val="none" w:sz="0" w:space="0" w:color="auto"/>
            <w:bottom w:val="none" w:sz="0" w:space="0" w:color="auto"/>
            <w:right w:val="none" w:sz="0" w:space="0" w:color="auto"/>
          </w:divBdr>
        </w:div>
        <w:div w:id="1221138956">
          <w:marLeft w:val="446"/>
          <w:marRight w:val="0"/>
          <w:marTop w:val="192"/>
          <w:marBottom w:val="0"/>
          <w:divBdr>
            <w:top w:val="none" w:sz="0" w:space="0" w:color="auto"/>
            <w:left w:val="none" w:sz="0" w:space="0" w:color="auto"/>
            <w:bottom w:val="none" w:sz="0" w:space="0" w:color="auto"/>
            <w:right w:val="none" w:sz="0" w:space="0" w:color="auto"/>
          </w:divBdr>
        </w:div>
        <w:div w:id="2083092109">
          <w:marLeft w:val="446"/>
          <w:marRight w:val="0"/>
          <w:marTop w:val="192"/>
          <w:marBottom w:val="0"/>
          <w:divBdr>
            <w:top w:val="none" w:sz="0" w:space="0" w:color="auto"/>
            <w:left w:val="none" w:sz="0" w:space="0" w:color="auto"/>
            <w:bottom w:val="none" w:sz="0" w:space="0" w:color="auto"/>
            <w:right w:val="none" w:sz="0" w:space="0" w:color="auto"/>
          </w:divBdr>
        </w:div>
        <w:div w:id="1982036111">
          <w:marLeft w:val="446"/>
          <w:marRight w:val="0"/>
          <w:marTop w:val="192"/>
          <w:marBottom w:val="0"/>
          <w:divBdr>
            <w:top w:val="none" w:sz="0" w:space="0" w:color="auto"/>
            <w:left w:val="none" w:sz="0" w:space="0" w:color="auto"/>
            <w:bottom w:val="none" w:sz="0" w:space="0" w:color="auto"/>
            <w:right w:val="none" w:sz="0" w:space="0" w:color="auto"/>
          </w:divBdr>
        </w:div>
        <w:div w:id="1037969504">
          <w:marLeft w:val="446"/>
          <w:marRight w:val="0"/>
          <w:marTop w:val="132"/>
          <w:marBottom w:val="0"/>
          <w:divBdr>
            <w:top w:val="none" w:sz="0" w:space="0" w:color="auto"/>
            <w:left w:val="none" w:sz="0" w:space="0" w:color="auto"/>
            <w:bottom w:val="none" w:sz="0" w:space="0" w:color="auto"/>
            <w:right w:val="none" w:sz="0" w:space="0" w:color="auto"/>
          </w:divBdr>
        </w:div>
        <w:div w:id="1698774528">
          <w:marLeft w:val="446"/>
          <w:marRight w:val="0"/>
          <w:marTop w:val="132"/>
          <w:marBottom w:val="0"/>
          <w:divBdr>
            <w:top w:val="none" w:sz="0" w:space="0" w:color="auto"/>
            <w:left w:val="none" w:sz="0" w:space="0" w:color="auto"/>
            <w:bottom w:val="none" w:sz="0" w:space="0" w:color="auto"/>
            <w:right w:val="none" w:sz="0" w:space="0" w:color="auto"/>
          </w:divBdr>
        </w:div>
        <w:div w:id="1432555735">
          <w:marLeft w:val="446"/>
          <w:marRight w:val="0"/>
          <w:marTop w:val="192"/>
          <w:marBottom w:val="0"/>
          <w:divBdr>
            <w:top w:val="none" w:sz="0" w:space="0" w:color="auto"/>
            <w:left w:val="none" w:sz="0" w:space="0" w:color="auto"/>
            <w:bottom w:val="none" w:sz="0" w:space="0" w:color="auto"/>
            <w:right w:val="none" w:sz="0" w:space="0" w:color="auto"/>
          </w:divBdr>
        </w:div>
        <w:div w:id="1615597712">
          <w:marLeft w:val="446"/>
          <w:marRight w:val="0"/>
          <w:marTop w:val="192"/>
          <w:marBottom w:val="0"/>
          <w:divBdr>
            <w:top w:val="none" w:sz="0" w:space="0" w:color="auto"/>
            <w:left w:val="none" w:sz="0" w:space="0" w:color="auto"/>
            <w:bottom w:val="none" w:sz="0" w:space="0" w:color="auto"/>
            <w:right w:val="none" w:sz="0" w:space="0" w:color="auto"/>
          </w:divBdr>
        </w:div>
      </w:divsChild>
    </w:div>
    <w:div w:id="1543711425">
      <w:bodyDiv w:val="1"/>
      <w:marLeft w:val="0"/>
      <w:marRight w:val="0"/>
      <w:marTop w:val="0"/>
      <w:marBottom w:val="0"/>
      <w:divBdr>
        <w:top w:val="none" w:sz="0" w:space="0" w:color="auto"/>
        <w:left w:val="none" w:sz="0" w:space="0" w:color="auto"/>
        <w:bottom w:val="none" w:sz="0" w:space="0" w:color="auto"/>
        <w:right w:val="none" w:sz="0" w:space="0" w:color="auto"/>
      </w:divBdr>
    </w:div>
    <w:div w:id="1592469730">
      <w:bodyDiv w:val="1"/>
      <w:marLeft w:val="0"/>
      <w:marRight w:val="0"/>
      <w:marTop w:val="0"/>
      <w:marBottom w:val="0"/>
      <w:divBdr>
        <w:top w:val="none" w:sz="0" w:space="0" w:color="auto"/>
        <w:left w:val="none" w:sz="0" w:space="0" w:color="auto"/>
        <w:bottom w:val="none" w:sz="0" w:space="0" w:color="auto"/>
        <w:right w:val="none" w:sz="0" w:space="0" w:color="auto"/>
      </w:divBdr>
      <w:divsChild>
        <w:div w:id="309359461">
          <w:marLeft w:val="446"/>
          <w:marRight w:val="0"/>
          <w:marTop w:val="0"/>
          <w:marBottom w:val="0"/>
          <w:divBdr>
            <w:top w:val="none" w:sz="0" w:space="0" w:color="auto"/>
            <w:left w:val="none" w:sz="0" w:space="0" w:color="auto"/>
            <w:bottom w:val="none" w:sz="0" w:space="0" w:color="auto"/>
            <w:right w:val="none" w:sz="0" w:space="0" w:color="auto"/>
          </w:divBdr>
        </w:div>
        <w:div w:id="1725594943">
          <w:marLeft w:val="446"/>
          <w:marRight w:val="0"/>
          <w:marTop w:val="0"/>
          <w:marBottom w:val="0"/>
          <w:divBdr>
            <w:top w:val="none" w:sz="0" w:space="0" w:color="auto"/>
            <w:left w:val="none" w:sz="0" w:space="0" w:color="auto"/>
            <w:bottom w:val="none" w:sz="0" w:space="0" w:color="auto"/>
            <w:right w:val="none" w:sz="0" w:space="0" w:color="auto"/>
          </w:divBdr>
        </w:div>
        <w:div w:id="179046281">
          <w:marLeft w:val="446"/>
          <w:marRight w:val="0"/>
          <w:marTop w:val="0"/>
          <w:marBottom w:val="0"/>
          <w:divBdr>
            <w:top w:val="none" w:sz="0" w:space="0" w:color="auto"/>
            <w:left w:val="none" w:sz="0" w:space="0" w:color="auto"/>
            <w:bottom w:val="none" w:sz="0" w:space="0" w:color="auto"/>
            <w:right w:val="none" w:sz="0" w:space="0" w:color="auto"/>
          </w:divBdr>
        </w:div>
        <w:div w:id="56323904">
          <w:marLeft w:val="446"/>
          <w:marRight w:val="0"/>
          <w:marTop w:val="0"/>
          <w:marBottom w:val="0"/>
          <w:divBdr>
            <w:top w:val="none" w:sz="0" w:space="0" w:color="auto"/>
            <w:left w:val="none" w:sz="0" w:space="0" w:color="auto"/>
            <w:bottom w:val="none" w:sz="0" w:space="0" w:color="auto"/>
            <w:right w:val="none" w:sz="0" w:space="0" w:color="auto"/>
          </w:divBdr>
        </w:div>
        <w:div w:id="690421871">
          <w:marLeft w:val="446"/>
          <w:marRight w:val="0"/>
          <w:marTop w:val="0"/>
          <w:marBottom w:val="0"/>
          <w:divBdr>
            <w:top w:val="none" w:sz="0" w:space="0" w:color="auto"/>
            <w:left w:val="none" w:sz="0" w:space="0" w:color="auto"/>
            <w:bottom w:val="none" w:sz="0" w:space="0" w:color="auto"/>
            <w:right w:val="none" w:sz="0" w:space="0" w:color="auto"/>
          </w:divBdr>
        </w:div>
        <w:div w:id="1611165910">
          <w:marLeft w:val="446"/>
          <w:marRight w:val="0"/>
          <w:marTop w:val="0"/>
          <w:marBottom w:val="0"/>
          <w:divBdr>
            <w:top w:val="none" w:sz="0" w:space="0" w:color="auto"/>
            <w:left w:val="none" w:sz="0" w:space="0" w:color="auto"/>
            <w:bottom w:val="none" w:sz="0" w:space="0" w:color="auto"/>
            <w:right w:val="none" w:sz="0" w:space="0" w:color="auto"/>
          </w:divBdr>
        </w:div>
        <w:div w:id="787970754">
          <w:marLeft w:val="446"/>
          <w:marRight w:val="0"/>
          <w:marTop w:val="0"/>
          <w:marBottom w:val="0"/>
          <w:divBdr>
            <w:top w:val="none" w:sz="0" w:space="0" w:color="auto"/>
            <w:left w:val="none" w:sz="0" w:space="0" w:color="auto"/>
            <w:bottom w:val="none" w:sz="0" w:space="0" w:color="auto"/>
            <w:right w:val="none" w:sz="0" w:space="0" w:color="auto"/>
          </w:divBdr>
        </w:div>
        <w:div w:id="75827150">
          <w:marLeft w:val="446"/>
          <w:marRight w:val="0"/>
          <w:marTop w:val="0"/>
          <w:marBottom w:val="0"/>
          <w:divBdr>
            <w:top w:val="none" w:sz="0" w:space="0" w:color="auto"/>
            <w:left w:val="none" w:sz="0" w:space="0" w:color="auto"/>
            <w:bottom w:val="none" w:sz="0" w:space="0" w:color="auto"/>
            <w:right w:val="none" w:sz="0" w:space="0" w:color="auto"/>
          </w:divBdr>
        </w:div>
        <w:div w:id="1589458969">
          <w:marLeft w:val="446"/>
          <w:marRight w:val="0"/>
          <w:marTop w:val="0"/>
          <w:marBottom w:val="0"/>
          <w:divBdr>
            <w:top w:val="none" w:sz="0" w:space="0" w:color="auto"/>
            <w:left w:val="none" w:sz="0" w:space="0" w:color="auto"/>
            <w:bottom w:val="none" w:sz="0" w:space="0" w:color="auto"/>
            <w:right w:val="none" w:sz="0" w:space="0" w:color="auto"/>
          </w:divBdr>
        </w:div>
        <w:div w:id="1892499990">
          <w:marLeft w:val="446"/>
          <w:marRight w:val="0"/>
          <w:marTop w:val="0"/>
          <w:marBottom w:val="0"/>
          <w:divBdr>
            <w:top w:val="none" w:sz="0" w:space="0" w:color="auto"/>
            <w:left w:val="none" w:sz="0" w:space="0" w:color="auto"/>
            <w:bottom w:val="none" w:sz="0" w:space="0" w:color="auto"/>
            <w:right w:val="none" w:sz="0" w:space="0" w:color="auto"/>
          </w:divBdr>
        </w:div>
        <w:div w:id="1592618647">
          <w:marLeft w:val="446"/>
          <w:marRight w:val="0"/>
          <w:marTop w:val="0"/>
          <w:marBottom w:val="0"/>
          <w:divBdr>
            <w:top w:val="none" w:sz="0" w:space="0" w:color="auto"/>
            <w:left w:val="none" w:sz="0" w:space="0" w:color="auto"/>
            <w:bottom w:val="none" w:sz="0" w:space="0" w:color="auto"/>
            <w:right w:val="none" w:sz="0" w:space="0" w:color="auto"/>
          </w:divBdr>
        </w:div>
        <w:div w:id="929969436">
          <w:marLeft w:val="446"/>
          <w:marRight w:val="0"/>
          <w:marTop w:val="0"/>
          <w:marBottom w:val="0"/>
          <w:divBdr>
            <w:top w:val="none" w:sz="0" w:space="0" w:color="auto"/>
            <w:left w:val="none" w:sz="0" w:space="0" w:color="auto"/>
            <w:bottom w:val="none" w:sz="0" w:space="0" w:color="auto"/>
            <w:right w:val="none" w:sz="0" w:space="0" w:color="auto"/>
          </w:divBdr>
        </w:div>
      </w:divsChild>
    </w:div>
    <w:div w:id="1721898623">
      <w:bodyDiv w:val="1"/>
      <w:marLeft w:val="0"/>
      <w:marRight w:val="0"/>
      <w:marTop w:val="0"/>
      <w:marBottom w:val="0"/>
      <w:divBdr>
        <w:top w:val="none" w:sz="0" w:space="0" w:color="auto"/>
        <w:left w:val="none" w:sz="0" w:space="0" w:color="auto"/>
        <w:bottom w:val="none" w:sz="0" w:space="0" w:color="auto"/>
        <w:right w:val="none" w:sz="0" w:space="0" w:color="auto"/>
      </w:divBdr>
      <w:divsChild>
        <w:div w:id="521746722">
          <w:marLeft w:val="0"/>
          <w:marRight w:val="0"/>
          <w:marTop w:val="0"/>
          <w:marBottom w:val="0"/>
          <w:divBdr>
            <w:top w:val="none" w:sz="0" w:space="0" w:color="auto"/>
            <w:left w:val="none" w:sz="0" w:space="0" w:color="auto"/>
            <w:bottom w:val="none" w:sz="0" w:space="0" w:color="auto"/>
            <w:right w:val="none" w:sz="0" w:space="0" w:color="auto"/>
          </w:divBdr>
          <w:divsChild>
            <w:div w:id="1715348220">
              <w:marLeft w:val="0"/>
              <w:marRight w:val="0"/>
              <w:marTop w:val="0"/>
              <w:marBottom w:val="0"/>
              <w:divBdr>
                <w:top w:val="none" w:sz="0" w:space="0" w:color="auto"/>
                <w:left w:val="none" w:sz="0" w:space="0" w:color="auto"/>
                <w:bottom w:val="none" w:sz="0" w:space="0" w:color="auto"/>
                <w:right w:val="none" w:sz="0" w:space="0" w:color="auto"/>
              </w:divBdr>
              <w:divsChild>
                <w:div w:id="1262228604">
                  <w:marLeft w:val="0"/>
                  <w:marRight w:val="0"/>
                  <w:marTop w:val="0"/>
                  <w:marBottom w:val="0"/>
                  <w:divBdr>
                    <w:top w:val="none" w:sz="0" w:space="0" w:color="auto"/>
                    <w:left w:val="none" w:sz="0" w:space="0" w:color="auto"/>
                    <w:bottom w:val="none" w:sz="0" w:space="0" w:color="auto"/>
                    <w:right w:val="none" w:sz="0" w:space="0" w:color="auto"/>
                  </w:divBdr>
                  <w:divsChild>
                    <w:div w:id="1674987724">
                      <w:marLeft w:val="0"/>
                      <w:marRight w:val="0"/>
                      <w:marTop w:val="0"/>
                      <w:marBottom w:val="0"/>
                      <w:divBdr>
                        <w:top w:val="none" w:sz="0" w:space="0" w:color="auto"/>
                        <w:left w:val="none" w:sz="0" w:space="0" w:color="auto"/>
                        <w:bottom w:val="none" w:sz="0" w:space="0" w:color="auto"/>
                        <w:right w:val="none" w:sz="0" w:space="0" w:color="auto"/>
                      </w:divBdr>
                      <w:divsChild>
                        <w:div w:id="1597521620">
                          <w:marLeft w:val="0"/>
                          <w:marRight w:val="0"/>
                          <w:marTop w:val="0"/>
                          <w:marBottom w:val="0"/>
                          <w:divBdr>
                            <w:top w:val="none" w:sz="0" w:space="0" w:color="auto"/>
                            <w:left w:val="none" w:sz="0" w:space="0" w:color="auto"/>
                            <w:bottom w:val="none" w:sz="0" w:space="0" w:color="auto"/>
                            <w:right w:val="none" w:sz="0" w:space="0" w:color="auto"/>
                          </w:divBdr>
                          <w:divsChild>
                            <w:div w:id="20019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096748">
          <w:marLeft w:val="0"/>
          <w:marRight w:val="0"/>
          <w:marTop w:val="0"/>
          <w:marBottom w:val="0"/>
          <w:divBdr>
            <w:top w:val="none" w:sz="0" w:space="0" w:color="auto"/>
            <w:left w:val="none" w:sz="0" w:space="0" w:color="auto"/>
            <w:bottom w:val="none" w:sz="0" w:space="0" w:color="auto"/>
            <w:right w:val="none" w:sz="0" w:space="0" w:color="auto"/>
          </w:divBdr>
          <w:divsChild>
            <w:div w:id="1323511968">
              <w:marLeft w:val="0"/>
              <w:marRight w:val="0"/>
              <w:marTop w:val="0"/>
              <w:marBottom w:val="0"/>
              <w:divBdr>
                <w:top w:val="none" w:sz="0" w:space="0" w:color="auto"/>
                <w:left w:val="none" w:sz="0" w:space="0" w:color="auto"/>
                <w:bottom w:val="none" w:sz="0" w:space="0" w:color="auto"/>
                <w:right w:val="none" w:sz="0" w:space="0" w:color="auto"/>
              </w:divBdr>
              <w:divsChild>
                <w:div w:id="1313021396">
                  <w:marLeft w:val="0"/>
                  <w:marRight w:val="0"/>
                  <w:marTop w:val="0"/>
                  <w:marBottom w:val="0"/>
                  <w:divBdr>
                    <w:top w:val="none" w:sz="0" w:space="0" w:color="auto"/>
                    <w:left w:val="none" w:sz="0" w:space="0" w:color="auto"/>
                    <w:bottom w:val="none" w:sz="0" w:space="0" w:color="auto"/>
                    <w:right w:val="none" w:sz="0" w:space="0" w:color="auto"/>
                  </w:divBdr>
                  <w:divsChild>
                    <w:div w:id="1814256355">
                      <w:marLeft w:val="0"/>
                      <w:marRight w:val="0"/>
                      <w:marTop w:val="0"/>
                      <w:marBottom w:val="0"/>
                      <w:divBdr>
                        <w:top w:val="none" w:sz="0" w:space="0" w:color="auto"/>
                        <w:left w:val="none" w:sz="0" w:space="0" w:color="auto"/>
                        <w:bottom w:val="none" w:sz="0" w:space="0" w:color="auto"/>
                        <w:right w:val="none" w:sz="0" w:space="0" w:color="auto"/>
                      </w:divBdr>
                      <w:divsChild>
                        <w:div w:id="1047995824">
                          <w:marLeft w:val="0"/>
                          <w:marRight w:val="0"/>
                          <w:marTop w:val="0"/>
                          <w:marBottom w:val="0"/>
                          <w:divBdr>
                            <w:top w:val="none" w:sz="0" w:space="0" w:color="auto"/>
                            <w:left w:val="none" w:sz="0" w:space="0" w:color="auto"/>
                            <w:bottom w:val="none" w:sz="0" w:space="0" w:color="auto"/>
                            <w:right w:val="none" w:sz="0" w:space="0" w:color="auto"/>
                          </w:divBdr>
                          <w:divsChild>
                            <w:div w:id="838351507">
                              <w:marLeft w:val="-225"/>
                              <w:marRight w:val="-225"/>
                              <w:marTop w:val="0"/>
                              <w:marBottom w:val="0"/>
                              <w:divBdr>
                                <w:top w:val="none" w:sz="0" w:space="0" w:color="auto"/>
                                <w:left w:val="none" w:sz="0" w:space="0" w:color="auto"/>
                                <w:bottom w:val="none" w:sz="0" w:space="0" w:color="auto"/>
                                <w:right w:val="none" w:sz="0" w:space="0" w:color="auto"/>
                              </w:divBdr>
                              <w:divsChild>
                                <w:div w:id="125974903">
                                  <w:marLeft w:val="0"/>
                                  <w:marRight w:val="0"/>
                                  <w:marTop w:val="0"/>
                                  <w:marBottom w:val="0"/>
                                  <w:divBdr>
                                    <w:top w:val="none" w:sz="0" w:space="0" w:color="auto"/>
                                    <w:left w:val="none" w:sz="0" w:space="0" w:color="auto"/>
                                    <w:bottom w:val="none" w:sz="0" w:space="0" w:color="auto"/>
                                    <w:right w:val="none" w:sz="0" w:space="0" w:color="auto"/>
                                  </w:divBdr>
                                  <w:divsChild>
                                    <w:div w:id="1550919389">
                                      <w:marLeft w:val="0"/>
                                      <w:marRight w:val="0"/>
                                      <w:marTop w:val="0"/>
                                      <w:marBottom w:val="0"/>
                                      <w:divBdr>
                                        <w:top w:val="none" w:sz="0" w:space="0" w:color="auto"/>
                                        <w:left w:val="none" w:sz="0" w:space="0" w:color="auto"/>
                                        <w:bottom w:val="none" w:sz="0" w:space="0" w:color="auto"/>
                                        <w:right w:val="none" w:sz="0" w:space="0" w:color="auto"/>
                                      </w:divBdr>
                                      <w:divsChild>
                                        <w:div w:id="860095627">
                                          <w:marLeft w:val="0"/>
                                          <w:marRight w:val="0"/>
                                          <w:marTop w:val="0"/>
                                          <w:marBottom w:val="0"/>
                                          <w:divBdr>
                                            <w:top w:val="none" w:sz="0" w:space="0" w:color="auto"/>
                                            <w:left w:val="none" w:sz="0" w:space="0" w:color="auto"/>
                                            <w:bottom w:val="none" w:sz="0" w:space="0" w:color="auto"/>
                                            <w:right w:val="none" w:sz="0" w:space="0" w:color="auto"/>
                                          </w:divBdr>
                                          <w:divsChild>
                                            <w:div w:id="216670648">
                                              <w:marLeft w:val="0"/>
                                              <w:marRight w:val="0"/>
                                              <w:marTop w:val="0"/>
                                              <w:marBottom w:val="0"/>
                                              <w:divBdr>
                                                <w:top w:val="none" w:sz="0" w:space="0" w:color="auto"/>
                                                <w:left w:val="none" w:sz="0" w:space="0" w:color="auto"/>
                                                <w:bottom w:val="none" w:sz="0" w:space="0" w:color="auto"/>
                                                <w:right w:val="none" w:sz="0" w:space="0" w:color="auto"/>
                                              </w:divBdr>
                                              <w:divsChild>
                                                <w:div w:id="1985501466">
                                                  <w:marLeft w:val="0"/>
                                                  <w:marRight w:val="0"/>
                                                  <w:marTop w:val="0"/>
                                                  <w:marBottom w:val="0"/>
                                                  <w:divBdr>
                                                    <w:top w:val="none" w:sz="0" w:space="0" w:color="auto"/>
                                                    <w:left w:val="none" w:sz="0" w:space="0" w:color="auto"/>
                                                    <w:bottom w:val="none" w:sz="0" w:space="0" w:color="auto"/>
                                                    <w:right w:val="none" w:sz="0" w:space="0" w:color="auto"/>
                                                  </w:divBdr>
                                                  <w:divsChild>
                                                    <w:div w:id="1814566223">
                                                      <w:marLeft w:val="0"/>
                                                      <w:marRight w:val="0"/>
                                                      <w:marTop w:val="0"/>
                                                      <w:marBottom w:val="0"/>
                                                      <w:divBdr>
                                                        <w:top w:val="none" w:sz="0" w:space="0" w:color="auto"/>
                                                        <w:left w:val="none" w:sz="0" w:space="0" w:color="auto"/>
                                                        <w:bottom w:val="none" w:sz="0" w:space="0" w:color="auto"/>
                                                        <w:right w:val="none" w:sz="0" w:space="0" w:color="auto"/>
                                                      </w:divBdr>
                                                      <w:divsChild>
                                                        <w:div w:id="475149829">
                                                          <w:marLeft w:val="0"/>
                                                          <w:marRight w:val="0"/>
                                                          <w:marTop w:val="0"/>
                                                          <w:marBottom w:val="0"/>
                                                          <w:divBdr>
                                                            <w:top w:val="single" w:sz="12" w:space="6" w:color="FFFFFF"/>
                                                            <w:left w:val="single" w:sz="12" w:space="6" w:color="FFFFFF"/>
                                                            <w:bottom w:val="single" w:sz="12" w:space="6" w:color="FFFFFF"/>
                                                            <w:right w:val="single" w:sz="12" w:space="6" w:color="FFFFFF"/>
                                                          </w:divBdr>
                                                        </w:div>
                                                      </w:divsChild>
                                                    </w:div>
                                                  </w:divsChild>
                                                </w:div>
                                                <w:div w:id="100691213">
                                                  <w:marLeft w:val="0"/>
                                                  <w:marRight w:val="0"/>
                                                  <w:marTop w:val="0"/>
                                                  <w:marBottom w:val="0"/>
                                                  <w:divBdr>
                                                    <w:top w:val="none" w:sz="0" w:space="0" w:color="auto"/>
                                                    <w:left w:val="none" w:sz="0" w:space="0" w:color="auto"/>
                                                    <w:bottom w:val="none" w:sz="0" w:space="0" w:color="auto"/>
                                                    <w:right w:val="none" w:sz="0" w:space="0" w:color="auto"/>
                                                  </w:divBdr>
                                                  <w:divsChild>
                                                    <w:div w:id="2083288996">
                                                      <w:marLeft w:val="0"/>
                                                      <w:marRight w:val="0"/>
                                                      <w:marTop w:val="0"/>
                                                      <w:marBottom w:val="0"/>
                                                      <w:divBdr>
                                                        <w:top w:val="none" w:sz="0" w:space="0" w:color="auto"/>
                                                        <w:left w:val="none" w:sz="0" w:space="0" w:color="auto"/>
                                                        <w:bottom w:val="none" w:sz="0" w:space="0" w:color="auto"/>
                                                        <w:right w:val="none" w:sz="0" w:space="0" w:color="auto"/>
                                                      </w:divBdr>
                                                      <w:divsChild>
                                                        <w:div w:id="16268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4736">
                                                  <w:marLeft w:val="0"/>
                                                  <w:marRight w:val="0"/>
                                                  <w:marTop w:val="0"/>
                                                  <w:marBottom w:val="0"/>
                                                  <w:divBdr>
                                                    <w:top w:val="none" w:sz="0" w:space="0" w:color="auto"/>
                                                    <w:left w:val="none" w:sz="0" w:space="0" w:color="auto"/>
                                                    <w:bottom w:val="none" w:sz="0" w:space="0" w:color="auto"/>
                                                    <w:right w:val="none" w:sz="0" w:space="0" w:color="auto"/>
                                                  </w:divBdr>
                                                  <w:divsChild>
                                                    <w:div w:id="1807503959">
                                                      <w:marLeft w:val="0"/>
                                                      <w:marRight w:val="0"/>
                                                      <w:marTop w:val="0"/>
                                                      <w:marBottom w:val="0"/>
                                                      <w:divBdr>
                                                        <w:top w:val="none" w:sz="0" w:space="0" w:color="auto"/>
                                                        <w:left w:val="none" w:sz="0" w:space="0" w:color="auto"/>
                                                        <w:bottom w:val="none" w:sz="0" w:space="0" w:color="auto"/>
                                                        <w:right w:val="none" w:sz="0" w:space="0" w:color="auto"/>
                                                      </w:divBdr>
                                                      <w:divsChild>
                                                        <w:div w:id="976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987">
                                                  <w:marLeft w:val="0"/>
                                                  <w:marRight w:val="0"/>
                                                  <w:marTop w:val="0"/>
                                                  <w:marBottom w:val="0"/>
                                                  <w:divBdr>
                                                    <w:top w:val="none" w:sz="0" w:space="0" w:color="auto"/>
                                                    <w:left w:val="none" w:sz="0" w:space="0" w:color="auto"/>
                                                    <w:bottom w:val="none" w:sz="0" w:space="0" w:color="auto"/>
                                                    <w:right w:val="none" w:sz="0" w:space="0" w:color="auto"/>
                                                  </w:divBdr>
                                                  <w:divsChild>
                                                    <w:div w:id="2033800307">
                                                      <w:marLeft w:val="0"/>
                                                      <w:marRight w:val="0"/>
                                                      <w:marTop w:val="0"/>
                                                      <w:marBottom w:val="0"/>
                                                      <w:divBdr>
                                                        <w:top w:val="none" w:sz="0" w:space="0" w:color="auto"/>
                                                        <w:left w:val="none" w:sz="0" w:space="0" w:color="auto"/>
                                                        <w:bottom w:val="none" w:sz="0" w:space="0" w:color="auto"/>
                                                        <w:right w:val="none" w:sz="0" w:space="0" w:color="auto"/>
                                                      </w:divBdr>
                                                      <w:divsChild>
                                                        <w:div w:id="3701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5886">
                                                  <w:marLeft w:val="0"/>
                                                  <w:marRight w:val="0"/>
                                                  <w:marTop w:val="0"/>
                                                  <w:marBottom w:val="0"/>
                                                  <w:divBdr>
                                                    <w:top w:val="none" w:sz="0" w:space="0" w:color="auto"/>
                                                    <w:left w:val="none" w:sz="0" w:space="0" w:color="auto"/>
                                                    <w:bottom w:val="none" w:sz="0" w:space="0" w:color="auto"/>
                                                    <w:right w:val="none" w:sz="0" w:space="0" w:color="auto"/>
                                                  </w:divBdr>
                                                  <w:divsChild>
                                                    <w:div w:id="34475399">
                                                      <w:marLeft w:val="0"/>
                                                      <w:marRight w:val="0"/>
                                                      <w:marTop w:val="0"/>
                                                      <w:marBottom w:val="0"/>
                                                      <w:divBdr>
                                                        <w:top w:val="none" w:sz="0" w:space="0" w:color="auto"/>
                                                        <w:left w:val="none" w:sz="0" w:space="0" w:color="auto"/>
                                                        <w:bottom w:val="none" w:sz="0" w:space="0" w:color="auto"/>
                                                        <w:right w:val="none" w:sz="0" w:space="0" w:color="auto"/>
                                                      </w:divBdr>
                                                      <w:divsChild>
                                                        <w:div w:id="281689763">
                                                          <w:marLeft w:val="0"/>
                                                          <w:marRight w:val="0"/>
                                                          <w:marTop w:val="0"/>
                                                          <w:marBottom w:val="120"/>
                                                          <w:divBdr>
                                                            <w:top w:val="single" w:sz="6" w:space="0" w:color="02A1B6"/>
                                                            <w:left w:val="none" w:sz="0" w:space="0" w:color="auto"/>
                                                            <w:bottom w:val="none" w:sz="0" w:space="0" w:color="auto"/>
                                                            <w:right w:val="none" w:sz="0" w:space="0" w:color="auto"/>
                                                          </w:divBdr>
                                                          <w:divsChild>
                                                            <w:div w:id="1639263005">
                                                              <w:marLeft w:val="0"/>
                                                              <w:marRight w:val="0"/>
                                                              <w:marTop w:val="0"/>
                                                              <w:marBottom w:val="0"/>
                                                              <w:divBdr>
                                                                <w:top w:val="none" w:sz="0" w:space="0" w:color="auto"/>
                                                                <w:left w:val="none" w:sz="0" w:space="0" w:color="auto"/>
                                                                <w:bottom w:val="none" w:sz="0" w:space="0" w:color="auto"/>
                                                                <w:right w:val="none" w:sz="0" w:space="0" w:color="auto"/>
                                                              </w:divBdr>
                                                              <w:divsChild>
                                                                <w:div w:id="1012411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4577807">
                                                  <w:marLeft w:val="0"/>
                                                  <w:marRight w:val="0"/>
                                                  <w:marTop w:val="0"/>
                                                  <w:marBottom w:val="0"/>
                                                  <w:divBdr>
                                                    <w:top w:val="none" w:sz="0" w:space="0" w:color="auto"/>
                                                    <w:left w:val="none" w:sz="0" w:space="0" w:color="auto"/>
                                                    <w:bottom w:val="none" w:sz="0" w:space="0" w:color="auto"/>
                                                    <w:right w:val="none" w:sz="0" w:space="0" w:color="auto"/>
                                                  </w:divBdr>
                                                  <w:divsChild>
                                                    <w:div w:id="357045135">
                                                      <w:marLeft w:val="0"/>
                                                      <w:marRight w:val="0"/>
                                                      <w:marTop w:val="0"/>
                                                      <w:marBottom w:val="0"/>
                                                      <w:divBdr>
                                                        <w:top w:val="none" w:sz="0" w:space="0" w:color="auto"/>
                                                        <w:left w:val="none" w:sz="0" w:space="0" w:color="auto"/>
                                                        <w:bottom w:val="none" w:sz="0" w:space="0" w:color="auto"/>
                                                        <w:right w:val="none" w:sz="0" w:space="0" w:color="auto"/>
                                                      </w:divBdr>
                                                      <w:divsChild>
                                                        <w:div w:id="1997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235">
                                                  <w:marLeft w:val="0"/>
                                                  <w:marRight w:val="0"/>
                                                  <w:marTop w:val="0"/>
                                                  <w:marBottom w:val="0"/>
                                                  <w:divBdr>
                                                    <w:top w:val="none" w:sz="0" w:space="0" w:color="auto"/>
                                                    <w:left w:val="none" w:sz="0" w:space="0" w:color="auto"/>
                                                    <w:bottom w:val="none" w:sz="0" w:space="0" w:color="auto"/>
                                                    <w:right w:val="none" w:sz="0" w:space="0" w:color="auto"/>
                                                  </w:divBdr>
                                                  <w:divsChild>
                                                    <w:div w:id="477110400">
                                                      <w:marLeft w:val="0"/>
                                                      <w:marRight w:val="0"/>
                                                      <w:marTop w:val="0"/>
                                                      <w:marBottom w:val="0"/>
                                                      <w:divBdr>
                                                        <w:top w:val="none" w:sz="0" w:space="0" w:color="auto"/>
                                                        <w:left w:val="none" w:sz="0" w:space="0" w:color="auto"/>
                                                        <w:bottom w:val="none" w:sz="0" w:space="0" w:color="auto"/>
                                                        <w:right w:val="none" w:sz="0" w:space="0" w:color="auto"/>
                                                      </w:divBdr>
                                                      <w:divsChild>
                                                        <w:div w:id="1473135605">
                                                          <w:marLeft w:val="0"/>
                                                          <w:marRight w:val="0"/>
                                                          <w:marTop w:val="0"/>
                                                          <w:marBottom w:val="0"/>
                                                          <w:divBdr>
                                                            <w:top w:val="none" w:sz="0" w:space="0" w:color="auto"/>
                                                            <w:left w:val="none" w:sz="0" w:space="0" w:color="auto"/>
                                                            <w:bottom w:val="none" w:sz="0" w:space="0" w:color="auto"/>
                                                            <w:right w:val="none" w:sz="0" w:space="0" w:color="auto"/>
                                                          </w:divBdr>
                                                          <w:divsChild>
                                                            <w:div w:id="2016374474">
                                                              <w:marLeft w:val="0"/>
                                                              <w:marRight w:val="0"/>
                                                              <w:marTop w:val="0"/>
                                                              <w:marBottom w:val="0"/>
                                                              <w:divBdr>
                                                                <w:top w:val="none" w:sz="0" w:space="0" w:color="auto"/>
                                                                <w:left w:val="none" w:sz="0" w:space="0" w:color="auto"/>
                                                                <w:bottom w:val="none" w:sz="0" w:space="0" w:color="auto"/>
                                                                <w:right w:val="none" w:sz="0" w:space="0" w:color="auto"/>
                                                              </w:divBdr>
                                                              <w:divsChild>
                                                                <w:div w:id="2096509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8135649">
                                                  <w:marLeft w:val="0"/>
                                                  <w:marRight w:val="0"/>
                                                  <w:marTop w:val="0"/>
                                                  <w:marBottom w:val="0"/>
                                                  <w:divBdr>
                                                    <w:top w:val="none" w:sz="0" w:space="0" w:color="auto"/>
                                                    <w:left w:val="none" w:sz="0" w:space="0" w:color="auto"/>
                                                    <w:bottom w:val="none" w:sz="0" w:space="0" w:color="auto"/>
                                                    <w:right w:val="none" w:sz="0" w:space="0" w:color="auto"/>
                                                  </w:divBdr>
                                                  <w:divsChild>
                                                    <w:div w:id="283389591">
                                                      <w:marLeft w:val="0"/>
                                                      <w:marRight w:val="0"/>
                                                      <w:marTop w:val="0"/>
                                                      <w:marBottom w:val="0"/>
                                                      <w:divBdr>
                                                        <w:top w:val="none" w:sz="0" w:space="0" w:color="auto"/>
                                                        <w:left w:val="none" w:sz="0" w:space="0" w:color="auto"/>
                                                        <w:bottom w:val="none" w:sz="0" w:space="0" w:color="auto"/>
                                                        <w:right w:val="none" w:sz="0" w:space="0" w:color="auto"/>
                                                      </w:divBdr>
                                                      <w:divsChild>
                                                        <w:div w:id="1454131866">
                                                          <w:marLeft w:val="0"/>
                                                          <w:marRight w:val="0"/>
                                                          <w:marTop w:val="0"/>
                                                          <w:marBottom w:val="0"/>
                                                          <w:divBdr>
                                                            <w:top w:val="none" w:sz="0" w:space="0" w:color="auto"/>
                                                            <w:left w:val="none" w:sz="0" w:space="0" w:color="auto"/>
                                                            <w:bottom w:val="none" w:sz="0" w:space="0" w:color="auto"/>
                                                            <w:right w:val="none" w:sz="0" w:space="0" w:color="auto"/>
                                                          </w:divBdr>
                                                          <w:divsChild>
                                                            <w:div w:id="1894996400">
                                                              <w:marLeft w:val="0"/>
                                                              <w:marRight w:val="0"/>
                                                              <w:marTop w:val="0"/>
                                                              <w:marBottom w:val="0"/>
                                                              <w:divBdr>
                                                                <w:top w:val="none" w:sz="0" w:space="0" w:color="auto"/>
                                                                <w:left w:val="none" w:sz="0" w:space="0" w:color="auto"/>
                                                                <w:bottom w:val="none" w:sz="0" w:space="0" w:color="auto"/>
                                                                <w:right w:val="none" w:sz="0" w:space="0" w:color="auto"/>
                                                              </w:divBdr>
                                                              <w:divsChild>
                                                                <w:div w:id="1905605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187806">
      <w:bodyDiv w:val="1"/>
      <w:marLeft w:val="0"/>
      <w:marRight w:val="0"/>
      <w:marTop w:val="0"/>
      <w:marBottom w:val="0"/>
      <w:divBdr>
        <w:top w:val="none" w:sz="0" w:space="0" w:color="auto"/>
        <w:left w:val="none" w:sz="0" w:space="0" w:color="auto"/>
        <w:bottom w:val="none" w:sz="0" w:space="0" w:color="auto"/>
        <w:right w:val="none" w:sz="0" w:space="0" w:color="auto"/>
      </w:divBdr>
    </w:div>
    <w:div w:id="1759448927">
      <w:bodyDiv w:val="1"/>
      <w:marLeft w:val="0"/>
      <w:marRight w:val="0"/>
      <w:marTop w:val="0"/>
      <w:marBottom w:val="0"/>
      <w:divBdr>
        <w:top w:val="none" w:sz="0" w:space="0" w:color="auto"/>
        <w:left w:val="none" w:sz="0" w:space="0" w:color="auto"/>
        <w:bottom w:val="none" w:sz="0" w:space="0" w:color="auto"/>
        <w:right w:val="none" w:sz="0" w:space="0" w:color="auto"/>
      </w:divBdr>
    </w:div>
    <w:div w:id="1946038675">
      <w:bodyDiv w:val="1"/>
      <w:marLeft w:val="0"/>
      <w:marRight w:val="0"/>
      <w:marTop w:val="0"/>
      <w:marBottom w:val="0"/>
      <w:divBdr>
        <w:top w:val="none" w:sz="0" w:space="0" w:color="auto"/>
        <w:left w:val="none" w:sz="0" w:space="0" w:color="auto"/>
        <w:bottom w:val="none" w:sz="0" w:space="0" w:color="auto"/>
        <w:right w:val="none" w:sz="0" w:space="0" w:color="auto"/>
      </w:divBdr>
    </w:div>
    <w:div w:id="1969125036">
      <w:bodyDiv w:val="1"/>
      <w:marLeft w:val="0"/>
      <w:marRight w:val="0"/>
      <w:marTop w:val="0"/>
      <w:marBottom w:val="0"/>
      <w:divBdr>
        <w:top w:val="none" w:sz="0" w:space="0" w:color="auto"/>
        <w:left w:val="none" w:sz="0" w:space="0" w:color="auto"/>
        <w:bottom w:val="none" w:sz="0" w:space="0" w:color="auto"/>
        <w:right w:val="none" w:sz="0" w:space="0" w:color="auto"/>
      </w:divBdr>
    </w:div>
    <w:div w:id="2005277887">
      <w:bodyDiv w:val="1"/>
      <w:marLeft w:val="0"/>
      <w:marRight w:val="0"/>
      <w:marTop w:val="0"/>
      <w:marBottom w:val="0"/>
      <w:divBdr>
        <w:top w:val="none" w:sz="0" w:space="0" w:color="auto"/>
        <w:left w:val="none" w:sz="0" w:space="0" w:color="auto"/>
        <w:bottom w:val="none" w:sz="0" w:space="0" w:color="auto"/>
        <w:right w:val="none" w:sz="0" w:space="0" w:color="auto"/>
      </w:divBdr>
      <w:divsChild>
        <w:div w:id="1846358146">
          <w:marLeft w:val="1440"/>
          <w:marRight w:val="0"/>
          <w:marTop w:val="0"/>
          <w:marBottom w:val="120"/>
          <w:divBdr>
            <w:top w:val="none" w:sz="0" w:space="0" w:color="auto"/>
            <w:left w:val="none" w:sz="0" w:space="0" w:color="auto"/>
            <w:bottom w:val="none" w:sz="0" w:space="0" w:color="auto"/>
            <w:right w:val="none" w:sz="0" w:space="0" w:color="auto"/>
          </w:divBdr>
        </w:div>
      </w:divsChild>
    </w:div>
    <w:div w:id="2026053522">
      <w:bodyDiv w:val="1"/>
      <w:marLeft w:val="0"/>
      <w:marRight w:val="0"/>
      <w:marTop w:val="0"/>
      <w:marBottom w:val="0"/>
      <w:divBdr>
        <w:top w:val="none" w:sz="0" w:space="0" w:color="auto"/>
        <w:left w:val="none" w:sz="0" w:space="0" w:color="auto"/>
        <w:bottom w:val="none" w:sz="0" w:space="0" w:color="auto"/>
        <w:right w:val="none" w:sz="0" w:space="0" w:color="auto"/>
      </w:divBdr>
    </w:div>
    <w:div w:id="2042851162">
      <w:bodyDiv w:val="1"/>
      <w:marLeft w:val="0"/>
      <w:marRight w:val="0"/>
      <w:marTop w:val="0"/>
      <w:marBottom w:val="0"/>
      <w:divBdr>
        <w:top w:val="none" w:sz="0" w:space="0" w:color="auto"/>
        <w:left w:val="none" w:sz="0" w:space="0" w:color="auto"/>
        <w:bottom w:val="none" w:sz="0" w:space="0" w:color="auto"/>
        <w:right w:val="none" w:sz="0" w:space="0" w:color="auto"/>
      </w:divBdr>
    </w:div>
    <w:div w:id="2059359019">
      <w:bodyDiv w:val="1"/>
      <w:marLeft w:val="0"/>
      <w:marRight w:val="0"/>
      <w:marTop w:val="0"/>
      <w:marBottom w:val="0"/>
      <w:divBdr>
        <w:top w:val="none" w:sz="0" w:space="0" w:color="auto"/>
        <w:left w:val="none" w:sz="0" w:space="0" w:color="auto"/>
        <w:bottom w:val="none" w:sz="0" w:space="0" w:color="auto"/>
        <w:right w:val="none" w:sz="0" w:space="0" w:color="auto"/>
      </w:divBdr>
      <w:divsChild>
        <w:div w:id="2017881872">
          <w:marLeft w:val="446"/>
          <w:marRight w:val="0"/>
          <w:marTop w:val="192"/>
          <w:marBottom w:val="0"/>
          <w:divBdr>
            <w:top w:val="none" w:sz="0" w:space="0" w:color="auto"/>
            <w:left w:val="none" w:sz="0" w:space="0" w:color="auto"/>
            <w:bottom w:val="none" w:sz="0" w:space="0" w:color="auto"/>
            <w:right w:val="none" w:sz="0" w:space="0" w:color="auto"/>
          </w:divBdr>
        </w:div>
        <w:div w:id="1426998297">
          <w:marLeft w:val="446"/>
          <w:marRight w:val="0"/>
          <w:marTop w:val="192"/>
          <w:marBottom w:val="0"/>
          <w:divBdr>
            <w:top w:val="none" w:sz="0" w:space="0" w:color="auto"/>
            <w:left w:val="none" w:sz="0" w:space="0" w:color="auto"/>
            <w:bottom w:val="none" w:sz="0" w:space="0" w:color="auto"/>
            <w:right w:val="none" w:sz="0" w:space="0" w:color="auto"/>
          </w:divBdr>
        </w:div>
        <w:div w:id="206383813">
          <w:marLeft w:val="446"/>
          <w:marRight w:val="0"/>
          <w:marTop w:val="132"/>
          <w:marBottom w:val="0"/>
          <w:divBdr>
            <w:top w:val="none" w:sz="0" w:space="0" w:color="auto"/>
            <w:left w:val="none" w:sz="0" w:space="0" w:color="auto"/>
            <w:bottom w:val="none" w:sz="0" w:space="0" w:color="auto"/>
            <w:right w:val="none" w:sz="0" w:space="0" w:color="auto"/>
          </w:divBdr>
        </w:div>
        <w:div w:id="1743213415">
          <w:marLeft w:val="446"/>
          <w:marRight w:val="0"/>
          <w:marTop w:val="132"/>
          <w:marBottom w:val="0"/>
          <w:divBdr>
            <w:top w:val="none" w:sz="0" w:space="0" w:color="auto"/>
            <w:left w:val="none" w:sz="0" w:space="0" w:color="auto"/>
            <w:bottom w:val="none" w:sz="0" w:space="0" w:color="auto"/>
            <w:right w:val="none" w:sz="0" w:space="0" w:color="auto"/>
          </w:divBdr>
        </w:div>
        <w:div w:id="1854762700">
          <w:marLeft w:val="446"/>
          <w:marRight w:val="0"/>
          <w:marTop w:val="132"/>
          <w:marBottom w:val="0"/>
          <w:divBdr>
            <w:top w:val="none" w:sz="0" w:space="0" w:color="auto"/>
            <w:left w:val="none" w:sz="0" w:space="0" w:color="auto"/>
            <w:bottom w:val="none" w:sz="0" w:space="0" w:color="auto"/>
            <w:right w:val="none" w:sz="0" w:space="0" w:color="auto"/>
          </w:divBdr>
        </w:div>
        <w:div w:id="852720624">
          <w:marLeft w:val="446"/>
          <w:marRight w:val="0"/>
          <w:marTop w:val="192"/>
          <w:marBottom w:val="0"/>
          <w:divBdr>
            <w:top w:val="none" w:sz="0" w:space="0" w:color="auto"/>
            <w:left w:val="none" w:sz="0" w:space="0" w:color="auto"/>
            <w:bottom w:val="none" w:sz="0" w:space="0" w:color="auto"/>
            <w:right w:val="none" w:sz="0" w:space="0" w:color="auto"/>
          </w:divBdr>
        </w:div>
        <w:div w:id="1545672392">
          <w:marLeft w:val="446"/>
          <w:marRight w:val="0"/>
          <w:marTop w:val="192"/>
          <w:marBottom w:val="0"/>
          <w:divBdr>
            <w:top w:val="none" w:sz="0" w:space="0" w:color="auto"/>
            <w:left w:val="none" w:sz="0" w:space="0" w:color="auto"/>
            <w:bottom w:val="none" w:sz="0" w:space="0" w:color="auto"/>
            <w:right w:val="none" w:sz="0" w:space="0" w:color="auto"/>
          </w:divBdr>
        </w:div>
        <w:div w:id="714475141">
          <w:marLeft w:val="446"/>
          <w:marRight w:val="0"/>
          <w:marTop w:val="192"/>
          <w:marBottom w:val="0"/>
          <w:divBdr>
            <w:top w:val="none" w:sz="0" w:space="0" w:color="auto"/>
            <w:left w:val="none" w:sz="0" w:space="0" w:color="auto"/>
            <w:bottom w:val="none" w:sz="0" w:space="0" w:color="auto"/>
            <w:right w:val="none" w:sz="0" w:space="0" w:color="auto"/>
          </w:divBdr>
        </w:div>
      </w:divsChild>
    </w:div>
    <w:div w:id="2105220079">
      <w:bodyDiv w:val="1"/>
      <w:marLeft w:val="0"/>
      <w:marRight w:val="0"/>
      <w:marTop w:val="0"/>
      <w:marBottom w:val="0"/>
      <w:divBdr>
        <w:top w:val="none" w:sz="0" w:space="0" w:color="auto"/>
        <w:left w:val="none" w:sz="0" w:space="0" w:color="auto"/>
        <w:bottom w:val="none" w:sz="0" w:space="0" w:color="auto"/>
        <w:right w:val="none" w:sz="0" w:space="0" w:color="auto"/>
      </w:divBdr>
      <w:divsChild>
        <w:div w:id="266618440">
          <w:marLeft w:val="446"/>
          <w:marRight w:val="0"/>
          <w:marTop w:val="0"/>
          <w:marBottom w:val="0"/>
          <w:divBdr>
            <w:top w:val="none" w:sz="0" w:space="0" w:color="auto"/>
            <w:left w:val="none" w:sz="0" w:space="0" w:color="auto"/>
            <w:bottom w:val="none" w:sz="0" w:space="0" w:color="auto"/>
            <w:right w:val="none" w:sz="0" w:space="0" w:color="auto"/>
          </w:divBdr>
        </w:div>
        <w:div w:id="1804545007">
          <w:marLeft w:val="446"/>
          <w:marRight w:val="0"/>
          <w:marTop w:val="0"/>
          <w:marBottom w:val="0"/>
          <w:divBdr>
            <w:top w:val="none" w:sz="0" w:space="0" w:color="auto"/>
            <w:left w:val="none" w:sz="0" w:space="0" w:color="auto"/>
            <w:bottom w:val="none" w:sz="0" w:space="0" w:color="auto"/>
            <w:right w:val="none" w:sz="0" w:space="0" w:color="auto"/>
          </w:divBdr>
        </w:div>
        <w:div w:id="2145005550">
          <w:marLeft w:val="446"/>
          <w:marRight w:val="0"/>
          <w:marTop w:val="0"/>
          <w:marBottom w:val="0"/>
          <w:divBdr>
            <w:top w:val="none" w:sz="0" w:space="0" w:color="auto"/>
            <w:left w:val="none" w:sz="0" w:space="0" w:color="auto"/>
            <w:bottom w:val="none" w:sz="0" w:space="0" w:color="auto"/>
            <w:right w:val="none" w:sz="0" w:space="0" w:color="auto"/>
          </w:divBdr>
        </w:div>
        <w:div w:id="2002152106">
          <w:marLeft w:val="446"/>
          <w:marRight w:val="0"/>
          <w:marTop w:val="0"/>
          <w:marBottom w:val="0"/>
          <w:divBdr>
            <w:top w:val="none" w:sz="0" w:space="0" w:color="auto"/>
            <w:left w:val="none" w:sz="0" w:space="0" w:color="auto"/>
            <w:bottom w:val="none" w:sz="0" w:space="0" w:color="auto"/>
            <w:right w:val="none" w:sz="0" w:space="0" w:color="auto"/>
          </w:divBdr>
        </w:div>
        <w:div w:id="2140103214">
          <w:marLeft w:val="446"/>
          <w:marRight w:val="0"/>
          <w:marTop w:val="0"/>
          <w:marBottom w:val="0"/>
          <w:divBdr>
            <w:top w:val="none" w:sz="0" w:space="0" w:color="auto"/>
            <w:left w:val="none" w:sz="0" w:space="0" w:color="auto"/>
            <w:bottom w:val="none" w:sz="0" w:space="0" w:color="auto"/>
            <w:right w:val="none" w:sz="0" w:space="0" w:color="auto"/>
          </w:divBdr>
        </w:div>
        <w:div w:id="2980484">
          <w:marLeft w:val="446"/>
          <w:marRight w:val="0"/>
          <w:marTop w:val="0"/>
          <w:marBottom w:val="0"/>
          <w:divBdr>
            <w:top w:val="none" w:sz="0" w:space="0" w:color="auto"/>
            <w:left w:val="none" w:sz="0" w:space="0" w:color="auto"/>
            <w:bottom w:val="none" w:sz="0" w:space="0" w:color="auto"/>
            <w:right w:val="none" w:sz="0" w:space="0" w:color="auto"/>
          </w:divBdr>
        </w:div>
        <w:div w:id="1456411332">
          <w:marLeft w:val="446"/>
          <w:marRight w:val="0"/>
          <w:marTop w:val="0"/>
          <w:marBottom w:val="0"/>
          <w:divBdr>
            <w:top w:val="none" w:sz="0" w:space="0" w:color="auto"/>
            <w:left w:val="none" w:sz="0" w:space="0" w:color="auto"/>
            <w:bottom w:val="none" w:sz="0" w:space="0" w:color="auto"/>
            <w:right w:val="none" w:sz="0" w:space="0" w:color="auto"/>
          </w:divBdr>
        </w:div>
        <w:div w:id="328142220">
          <w:marLeft w:val="446"/>
          <w:marRight w:val="0"/>
          <w:marTop w:val="0"/>
          <w:marBottom w:val="0"/>
          <w:divBdr>
            <w:top w:val="none" w:sz="0" w:space="0" w:color="auto"/>
            <w:left w:val="none" w:sz="0" w:space="0" w:color="auto"/>
            <w:bottom w:val="none" w:sz="0" w:space="0" w:color="auto"/>
            <w:right w:val="none" w:sz="0" w:space="0" w:color="auto"/>
          </w:divBdr>
        </w:div>
        <w:div w:id="589001335">
          <w:marLeft w:val="446"/>
          <w:marRight w:val="0"/>
          <w:marTop w:val="0"/>
          <w:marBottom w:val="0"/>
          <w:divBdr>
            <w:top w:val="none" w:sz="0" w:space="0" w:color="auto"/>
            <w:left w:val="none" w:sz="0" w:space="0" w:color="auto"/>
            <w:bottom w:val="none" w:sz="0" w:space="0" w:color="auto"/>
            <w:right w:val="none" w:sz="0" w:space="0" w:color="auto"/>
          </w:divBdr>
        </w:div>
        <w:div w:id="1701323449">
          <w:marLeft w:val="446"/>
          <w:marRight w:val="0"/>
          <w:marTop w:val="0"/>
          <w:marBottom w:val="0"/>
          <w:divBdr>
            <w:top w:val="none" w:sz="0" w:space="0" w:color="auto"/>
            <w:left w:val="none" w:sz="0" w:space="0" w:color="auto"/>
            <w:bottom w:val="none" w:sz="0" w:space="0" w:color="auto"/>
            <w:right w:val="none" w:sz="0" w:space="0" w:color="auto"/>
          </w:divBdr>
        </w:div>
        <w:div w:id="1378697423">
          <w:marLeft w:val="446"/>
          <w:marRight w:val="0"/>
          <w:marTop w:val="0"/>
          <w:marBottom w:val="0"/>
          <w:divBdr>
            <w:top w:val="none" w:sz="0" w:space="0" w:color="auto"/>
            <w:left w:val="none" w:sz="0" w:space="0" w:color="auto"/>
            <w:bottom w:val="none" w:sz="0" w:space="0" w:color="auto"/>
            <w:right w:val="none" w:sz="0" w:space="0" w:color="auto"/>
          </w:divBdr>
        </w:div>
        <w:div w:id="1897351517">
          <w:marLeft w:val="446"/>
          <w:marRight w:val="0"/>
          <w:marTop w:val="0"/>
          <w:marBottom w:val="0"/>
          <w:divBdr>
            <w:top w:val="none" w:sz="0" w:space="0" w:color="auto"/>
            <w:left w:val="none" w:sz="0" w:space="0" w:color="auto"/>
            <w:bottom w:val="none" w:sz="0" w:space="0" w:color="auto"/>
            <w:right w:val="none" w:sz="0" w:space="0" w:color="auto"/>
          </w:divBdr>
        </w:div>
      </w:divsChild>
    </w:div>
    <w:div w:id="21300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eco/reform/Database_PMR_.xlsx" TargetMode="External"/><Relationship Id="rId1" Type="http://schemas.openxmlformats.org/officeDocument/2006/relationships/hyperlink" Target="http://ideas.repec.org/s/cup/c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690A347D7C1C447AF3F31419A4E9A1A" ma:contentTypeVersion="3" ma:contentTypeDescription="" ma:contentTypeScope="" ma:versionID="baccd4a78372dc018fc66c3c4b845e7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000474601:Sara Nyman:snyman@worldbank.org;</DocAuthors>
    <Authors xmlns="b99a068c-3844-4a16-badd-77233eea0529">
      <UserInfo>
        <DisplayName>i:0#.w|wb\wb474601</DisplayName>
        <AccountId>9753</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2019-06-20T04:00:00+00:00</DocumentDate>
    <WBDocType xmlns="b99a068c-3844-4a16-badd-77233eea0529">Report</WBDocType>
    <SecurityClassification xmlns="b99a068c-3844-4a16-badd-77233eea0529">Public</SecurityClassification>
    <DeliverableID xmlns="b99a068c-3844-4a16-badd-77233eea0529">DLV0244705</DeliverableID>
    <ProjectID xmlns="b99a068c-3844-4a16-badd-77233eea0529">P166748</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6CF2F34B-EBBD-4B92-85D4-2DEFADE9A53E}">
  <ds:schemaRefs>
    <ds:schemaRef ds:uri="http://schemas.openxmlformats.org/officeDocument/2006/bibliography"/>
  </ds:schemaRefs>
</ds:datastoreItem>
</file>

<file path=customXml/itemProps2.xml><?xml version="1.0" encoding="utf-8"?>
<ds:datastoreItem xmlns:ds="http://schemas.openxmlformats.org/officeDocument/2006/customXml" ds:itemID="{69664C86-E071-4AFD-ADEB-331B30E56E0F}"/>
</file>

<file path=customXml/itemProps3.xml><?xml version="1.0" encoding="utf-8"?>
<ds:datastoreItem xmlns:ds="http://schemas.openxmlformats.org/officeDocument/2006/customXml" ds:itemID="{6A255544-A125-49DD-921B-33F1E9E03B6F}"/>
</file>

<file path=customXml/itemProps4.xml><?xml version="1.0" encoding="utf-8"?>
<ds:datastoreItem xmlns:ds="http://schemas.openxmlformats.org/officeDocument/2006/customXml" ds:itemID="{FC70EEAF-C8AC-4FE7-89D5-20292C026999}"/>
</file>

<file path=customXml/itemProps5.xml><?xml version="1.0" encoding="utf-8"?>
<ds:datastoreItem xmlns:ds="http://schemas.openxmlformats.org/officeDocument/2006/customXml" ds:itemID="{6E9F2A25-37B1-4209-AA2E-7F391A59DC04}"/>
</file>

<file path=docProps/app.xml><?xml version="1.0" encoding="utf-8"?>
<Properties xmlns="http://schemas.openxmlformats.org/officeDocument/2006/extended-properties" xmlns:vt="http://schemas.openxmlformats.org/officeDocument/2006/docPropsVTypes">
  <Template>Normal.dotm</Template>
  <TotalTime>1</TotalTime>
  <Pages>32</Pages>
  <Words>10487</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Reform Assessment Policy Note Armenia - June 2019</dc:title>
  <dc:subject/>
  <dc:creator>Sara Nyman</dc:creator>
  <cp:keywords/>
  <dc:description/>
  <cp:lastModifiedBy>Sara Nyman</cp:lastModifiedBy>
  <cp:revision>3</cp:revision>
  <dcterms:created xsi:type="dcterms:W3CDTF">2019-06-20T15:20:00Z</dcterms:created>
  <dcterms:modified xsi:type="dcterms:W3CDTF">2019-06-20T15:21:00Z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0x01010054E0FEF4951F9D49A6F48A35419983C7004690A347D7C1C447AF3F31419A4E9A1A</vt:lpwstr>
  </property>
  <property fmtid="{D5CDD505-2E9C-101B-9397-08002B2CF9AE}" pid="5" name="RatedBy">
    <vt:lpwstr/>
  </property>
  <property fmtid="{D5CDD505-2E9C-101B-9397-08002B2CF9AE}" pid="7" name="LikedBy">
    <vt:lpwstr/>
  </property>
</Properties>
</file>