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9C7E" w14:textId="17F6E3BD" w:rsidR="003E38D2" w:rsidRPr="00ED5DA2" w:rsidRDefault="003E38D2" w:rsidP="00845D5C">
      <w:pPr>
        <w:pStyle w:val="NoSpacing"/>
        <w:jc w:val="center"/>
        <w:rPr>
          <w:rFonts w:asciiTheme="majorHAnsi" w:hAnsiTheme="majorHAnsi" w:cstheme="majorHAnsi"/>
          <w:b/>
          <w:iCs/>
          <w:color w:val="0070C0"/>
          <w:sz w:val="24"/>
          <w:szCs w:val="24"/>
        </w:rPr>
      </w:pPr>
      <w:r w:rsidRPr="00CE791B">
        <w:rPr>
          <w:rFonts w:ascii="ANDESLIGHT" w:hAnsi="ANDESLIGHT" w:cstheme="majorHAnsi"/>
          <w:bCs/>
          <w:iCs/>
          <w:color w:val="002060"/>
          <w:sz w:val="44"/>
          <w:szCs w:val="44"/>
        </w:rPr>
        <w:t>State-Owned Enterprise</w:t>
      </w:r>
      <w:r w:rsidR="001B646B" w:rsidRPr="00CE791B">
        <w:rPr>
          <w:rFonts w:ascii="ANDESLIGHT" w:hAnsi="ANDESLIGHT" w:cstheme="majorHAnsi"/>
          <w:bCs/>
          <w:iCs/>
          <w:color w:val="002060"/>
          <w:sz w:val="44"/>
          <w:szCs w:val="44"/>
        </w:rPr>
        <w:t>s</w:t>
      </w:r>
      <w:r w:rsidRPr="00CE791B">
        <w:rPr>
          <w:rFonts w:ascii="ANDESLIGHT" w:hAnsi="ANDESLIGHT" w:cstheme="majorHAnsi"/>
          <w:bCs/>
          <w:iCs/>
          <w:color w:val="002060"/>
          <w:sz w:val="44"/>
          <w:szCs w:val="44"/>
        </w:rPr>
        <w:t xml:space="preserve"> </w:t>
      </w:r>
      <w:r w:rsidR="00EC4F4E" w:rsidRPr="00CE791B">
        <w:rPr>
          <w:rFonts w:ascii="ANDESLIGHT" w:hAnsi="ANDESLIGHT" w:cstheme="majorHAnsi"/>
          <w:bCs/>
          <w:iCs/>
          <w:color w:val="002060"/>
          <w:sz w:val="44"/>
          <w:szCs w:val="44"/>
        </w:rPr>
        <w:t xml:space="preserve">and </w:t>
      </w:r>
      <w:r w:rsidR="001B646B" w:rsidRPr="00CE791B">
        <w:rPr>
          <w:rFonts w:ascii="ANDESLIGHT" w:hAnsi="ANDESLIGHT" w:cstheme="majorHAnsi"/>
          <w:bCs/>
          <w:iCs/>
          <w:color w:val="002060"/>
          <w:sz w:val="44"/>
          <w:szCs w:val="44"/>
        </w:rPr>
        <w:t>Climate Action</w:t>
      </w:r>
      <w:r w:rsidR="007A0641">
        <w:rPr>
          <w:rStyle w:val="FootnoteReference"/>
          <w:rFonts w:asciiTheme="majorHAnsi" w:hAnsiTheme="majorHAnsi" w:cstheme="majorHAnsi"/>
          <w:b/>
          <w:iCs/>
          <w:color w:val="0070C0"/>
          <w:sz w:val="24"/>
          <w:szCs w:val="24"/>
        </w:rPr>
        <w:footnoteReference w:id="1"/>
      </w:r>
    </w:p>
    <w:p w14:paraId="3E7F737C" w14:textId="77777777" w:rsidR="00ED5DA2" w:rsidRDefault="00ED5DA2" w:rsidP="00845D5C">
      <w:pPr>
        <w:pStyle w:val="NoSpacing"/>
        <w:jc w:val="center"/>
        <w:rPr>
          <w:rFonts w:asciiTheme="majorHAnsi" w:hAnsiTheme="majorHAnsi" w:cstheme="majorHAnsi"/>
          <w:b/>
          <w:iCs/>
          <w:color w:val="0070C0"/>
          <w:sz w:val="24"/>
          <w:szCs w:val="24"/>
        </w:rPr>
      </w:pPr>
    </w:p>
    <w:p w14:paraId="2E37B18A" w14:textId="2192733F" w:rsidR="00845D5C" w:rsidRPr="00CE791B" w:rsidRDefault="00845D5C" w:rsidP="00845D5C">
      <w:pPr>
        <w:pStyle w:val="NoSpacing"/>
        <w:jc w:val="center"/>
        <w:rPr>
          <w:rFonts w:ascii="Andes Bold" w:hAnsi="Andes Bold" w:cstheme="majorHAnsi"/>
          <w:bCs/>
          <w:iCs/>
          <w:color w:val="0070C0"/>
          <w:sz w:val="28"/>
          <w:szCs w:val="28"/>
        </w:rPr>
      </w:pPr>
      <w:r w:rsidRPr="00CE791B">
        <w:rPr>
          <w:rFonts w:ascii="Andes Bold" w:hAnsi="Andes Bold" w:cstheme="majorHAnsi"/>
          <w:bCs/>
          <w:iCs/>
          <w:color w:val="0070C0"/>
          <w:sz w:val="28"/>
          <w:szCs w:val="28"/>
        </w:rPr>
        <w:t>Annette I. De</w:t>
      </w:r>
      <w:r w:rsidR="00ED5DA2" w:rsidRPr="00CE791B">
        <w:rPr>
          <w:rFonts w:ascii="Andes Bold" w:hAnsi="Andes Bold" w:cstheme="majorHAnsi"/>
          <w:bCs/>
          <w:iCs/>
          <w:color w:val="0070C0"/>
          <w:sz w:val="28"/>
          <w:szCs w:val="28"/>
        </w:rPr>
        <w:t xml:space="preserve"> Kleine Feige</w:t>
      </w:r>
    </w:p>
    <w:p w14:paraId="15EA110F" w14:textId="4E1F9E1F" w:rsidR="00ED5DA2" w:rsidRPr="00FC4803" w:rsidRDefault="00ED5DA2" w:rsidP="00845D5C">
      <w:pPr>
        <w:pStyle w:val="NoSpacing"/>
        <w:jc w:val="center"/>
        <w:rPr>
          <w:rFonts w:ascii="Andes ExtraLight" w:hAnsi="Andes ExtraLight" w:cstheme="majorHAnsi"/>
          <w:b/>
          <w:iCs/>
          <w:color w:val="0070C0"/>
          <w:sz w:val="28"/>
          <w:szCs w:val="28"/>
        </w:rPr>
      </w:pPr>
      <w:r w:rsidRPr="00FC4803">
        <w:rPr>
          <w:rFonts w:ascii="Andes ExtraLight" w:hAnsi="Andes ExtraLight" w:cstheme="majorHAnsi"/>
          <w:b/>
          <w:iCs/>
          <w:color w:val="0070C0"/>
          <w:sz w:val="28"/>
          <w:szCs w:val="28"/>
        </w:rPr>
        <w:t>World Bank</w:t>
      </w:r>
    </w:p>
    <w:p w14:paraId="76A40230" w14:textId="77777777" w:rsidR="00192934" w:rsidRPr="00ED5DA2" w:rsidRDefault="00192934" w:rsidP="00845D5C">
      <w:pPr>
        <w:pStyle w:val="NoSpacing"/>
        <w:jc w:val="both"/>
        <w:rPr>
          <w:rFonts w:asciiTheme="majorHAnsi" w:hAnsiTheme="majorHAnsi" w:cstheme="majorHAnsi"/>
          <w:bCs/>
          <w:i/>
          <w:color w:val="0070C0"/>
          <w:sz w:val="24"/>
          <w:szCs w:val="24"/>
        </w:rPr>
      </w:pPr>
    </w:p>
    <w:p w14:paraId="2561EB94" w14:textId="6E57684D" w:rsidR="00751D11" w:rsidRDefault="00286AA0" w:rsidP="00751D11">
      <w:pPr>
        <w:spacing w:after="0" w:line="240" w:lineRule="auto"/>
        <w:ind w:left="360"/>
        <w:jc w:val="both"/>
        <w:rPr>
          <w:rFonts w:cstheme="minorHAnsi"/>
          <w:color w:val="FF0000"/>
        </w:rPr>
      </w:pPr>
      <w:r w:rsidRPr="00845D5C">
        <w:rPr>
          <w:rFonts w:cstheme="minorHAnsi"/>
          <w:b/>
          <w:iCs/>
          <w:color w:val="0070C0"/>
        </w:rPr>
        <w:t>Introduction</w:t>
      </w:r>
    </w:p>
    <w:p w14:paraId="2A4948BC" w14:textId="77777777" w:rsidR="00202D5F" w:rsidRDefault="00202D5F" w:rsidP="00751D11">
      <w:pPr>
        <w:spacing w:after="0" w:line="240" w:lineRule="auto"/>
        <w:ind w:left="360"/>
        <w:jc w:val="both"/>
        <w:rPr>
          <w:rFonts w:cstheme="minorHAnsi"/>
          <w:color w:val="FF0000"/>
        </w:rPr>
      </w:pPr>
    </w:p>
    <w:p w14:paraId="663D09F9" w14:textId="74F3C51D" w:rsidR="003811E1" w:rsidRPr="00F46F36" w:rsidRDefault="00D55F9C" w:rsidP="00845D5C">
      <w:pPr>
        <w:spacing w:after="0" w:line="240" w:lineRule="auto"/>
        <w:jc w:val="both"/>
        <w:rPr>
          <w:rFonts w:cstheme="minorHAnsi"/>
        </w:rPr>
      </w:pPr>
      <w:r w:rsidRPr="00D55F9C">
        <w:rPr>
          <w:rFonts w:cstheme="minorHAnsi"/>
        </w:rPr>
        <w:t xml:space="preserve">State-owned enterprises (SOEs) present a powerful and important policy lever for many governments to implement reforms to achieve their ambitious climate mitigation and adaptation targets. On the one hand, SOEs are major sources of CO2 emissions globally, and they are vulnerable to climate change impacts and low-carbon transition risks. On the other hand, SOEs are also some of the biggest investors in the world in green technology, and, among low- and middle-income countries (LMICs), they account for the majority share of infrastructure investment that is essential to both mitigation and adaption. Given their ownership stakes, governments are well-positioned to directly influence SOE climate-relevant decisions through ownership, and regulatory and oversight policies, among other fiscal and public financial management reforms, e.g., tax, expenditure, and investment policies. </w:t>
      </w:r>
      <w:r w:rsidR="00141C8D" w:rsidRPr="00F46F36">
        <w:rPr>
          <w:rFonts w:cstheme="minorHAnsi"/>
        </w:rPr>
        <w:t>Indeed, a</w:t>
      </w:r>
      <w:r w:rsidR="00C55120" w:rsidRPr="00F46F36">
        <w:rPr>
          <w:rFonts w:cstheme="minorHAnsi"/>
        </w:rPr>
        <w:t xml:space="preserve"> </w:t>
      </w:r>
      <w:r w:rsidR="003811E1" w:rsidRPr="00F46F36">
        <w:rPr>
          <w:rFonts w:cstheme="minorHAnsi"/>
        </w:rPr>
        <w:t>‘whole-of-government’ approach</w:t>
      </w:r>
      <w:r w:rsidR="00A27384" w:rsidRPr="00F46F36">
        <w:rPr>
          <w:rFonts w:cstheme="minorHAnsi"/>
        </w:rPr>
        <w:t xml:space="preserve"> to </w:t>
      </w:r>
      <w:r w:rsidR="00A233C2" w:rsidRPr="00F46F36">
        <w:rPr>
          <w:rFonts w:cstheme="minorHAnsi"/>
        </w:rPr>
        <w:t>climate action</w:t>
      </w:r>
      <w:r w:rsidR="00180323" w:rsidRPr="00F46F36">
        <w:rPr>
          <w:rFonts w:cstheme="minorHAnsi"/>
        </w:rPr>
        <w:t xml:space="preserve"> calls for inclusion of SOEs</w:t>
      </w:r>
      <w:r w:rsidR="003811E1" w:rsidRPr="00F46F36">
        <w:rPr>
          <w:rFonts w:cstheme="minorHAnsi"/>
        </w:rPr>
        <w:t xml:space="preserve">—particularly in the context of SOE public service delivery (PSD) mandates </w:t>
      </w:r>
      <w:r w:rsidR="00BB3B9F" w:rsidRPr="00F46F36">
        <w:rPr>
          <w:rFonts w:cstheme="minorHAnsi"/>
        </w:rPr>
        <w:t>and corporate social responsibility (CSR)</w:t>
      </w:r>
      <w:r w:rsidR="003811E1" w:rsidRPr="00F46F36">
        <w:rPr>
          <w:rFonts w:cstheme="minorHAnsi"/>
        </w:rPr>
        <w:t xml:space="preserve">. </w:t>
      </w:r>
      <w:r w:rsidR="00486E03" w:rsidRPr="00F46F36">
        <w:rPr>
          <w:rFonts w:cstheme="minorHAnsi"/>
        </w:rPr>
        <w:t xml:space="preserve">Among LMICs, where PSD </w:t>
      </w:r>
      <w:r w:rsidR="004A56A9" w:rsidRPr="00F46F36">
        <w:rPr>
          <w:rFonts w:cstheme="minorHAnsi"/>
        </w:rPr>
        <w:t>mandates tend to be more prevalent, a</w:t>
      </w:r>
      <w:r w:rsidR="00B83BB3" w:rsidRPr="00F46F36">
        <w:rPr>
          <w:rFonts w:cstheme="minorHAnsi"/>
        </w:rPr>
        <w:t>lign</w:t>
      </w:r>
      <w:r w:rsidR="005267FD" w:rsidRPr="00F46F36">
        <w:rPr>
          <w:rFonts w:cstheme="minorHAnsi"/>
        </w:rPr>
        <w:t>ment of</w:t>
      </w:r>
      <w:r w:rsidR="00B83BB3" w:rsidRPr="00F46F36">
        <w:rPr>
          <w:rFonts w:cstheme="minorHAnsi"/>
        </w:rPr>
        <w:t xml:space="preserve"> SOE policies with national climate </w:t>
      </w:r>
      <w:r w:rsidR="005267FD" w:rsidRPr="00F46F36">
        <w:rPr>
          <w:rFonts w:cstheme="minorHAnsi"/>
        </w:rPr>
        <w:t>objectives</w:t>
      </w:r>
      <w:r w:rsidR="003811E1" w:rsidRPr="00F46F36">
        <w:rPr>
          <w:rFonts w:cstheme="minorHAnsi"/>
        </w:rPr>
        <w:t xml:space="preserve"> </w:t>
      </w:r>
      <w:r w:rsidR="00887BB6" w:rsidRPr="00F46F36">
        <w:rPr>
          <w:rFonts w:cstheme="minorHAnsi"/>
        </w:rPr>
        <w:t xml:space="preserve">also </w:t>
      </w:r>
      <w:r w:rsidR="003811E1" w:rsidRPr="00F46F36">
        <w:rPr>
          <w:rFonts w:cstheme="minorHAnsi"/>
        </w:rPr>
        <w:t>present</w:t>
      </w:r>
      <w:r w:rsidR="005267FD" w:rsidRPr="00F46F36">
        <w:rPr>
          <w:rFonts w:cstheme="minorHAnsi"/>
        </w:rPr>
        <w:t>s</w:t>
      </w:r>
      <w:r w:rsidR="003811E1" w:rsidRPr="00F46F36">
        <w:rPr>
          <w:rFonts w:cstheme="minorHAnsi"/>
        </w:rPr>
        <w:t xml:space="preserve"> </w:t>
      </w:r>
      <w:r w:rsidR="00C46874" w:rsidRPr="00F46F36">
        <w:rPr>
          <w:rFonts w:cstheme="minorHAnsi"/>
        </w:rPr>
        <w:t>a</w:t>
      </w:r>
      <w:r w:rsidR="008D7004" w:rsidRPr="00F46F36">
        <w:rPr>
          <w:rFonts w:cstheme="minorHAnsi"/>
        </w:rPr>
        <w:t xml:space="preserve"> policy lever </w:t>
      </w:r>
      <w:r w:rsidR="003811E1" w:rsidRPr="00F46F36">
        <w:rPr>
          <w:rFonts w:cstheme="minorHAnsi"/>
        </w:rPr>
        <w:t xml:space="preserve">for low-emitting </w:t>
      </w:r>
      <w:r w:rsidR="004A56A9" w:rsidRPr="00F46F36">
        <w:rPr>
          <w:rFonts w:cstheme="minorHAnsi"/>
        </w:rPr>
        <w:t xml:space="preserve">countries </w:t>
      </w:r>
      <w:r w:rsidR="003811E1" w:rsidRPr="00F46F36">
        <w:rPr>
          <w:rFonts w:cstheme="minorHAnsi"/>
        </w:rPr>
        <w:t>to leapfrog carbon-intensive development</w:t>
      </w:r>
      <w:r w:rsidR="00F74E3F" w:rsidRPr="00F46F36">
        <w:rPr>
          <w:rFonts w:cstheme="minorHAnsi"/>
        </w:rPr>
        <w:t>—effectively, mitigation—w</w:t>
      </w:r>
      <w:r w:rsidR="003811E1" w:rsidRPr="00F46F36">
        <w:rPr>
          <w:rFonts w:cstheme="minorHAnsi"/>
        </w:rPr>
        <w:t xml:space="preserve">hich </w:t>
      </w:r>
      <w:r w:rsidR="004B5346" w:rsidRPr="00F46F36">
        <w:rPr>
          <w:rFonts w:cstheme="minorHAnsi"/>
        </w:rPr>
        <w:t>combined</w:t>
      </w:r>
      <w:r w:rsidR="003811E1" w:rsidRPr="00F46F36">
        <w:rPr>
          <w:rFonts w:cstheme="minorHAnsi"/>
        </w:rPr>
        <w:t xml:space="preserve"> with adaptation</w:t>
      </w:r>
      <w:r w:rsidR="004B5346" w:rsidRPr="00F46F36">
        <w:rPr>
          <w:rFonts w:cstheme="minorHAnsi"/>
        </w:rPr>
        <w:t xml:space="preserve"> policies</w:t>
      </w:r>
      <w:r w:rsidR="003811E1" w:rsidRPr="00F46F36">
        <w:rPr>
          <w:rFonts w:cstheme="minorHAnsi"/>
        </w:rPr>
        <w:t xml:space="preserve"> would likely have </w:t>
      </w:r>
      <w:r w:rsidR="0003000E" w:rsidRPr="00F46F36">
        <w:rPr>
          <w:rFonts w:cstheme="minorHAnsi"/>
        </w:rPr>
        <w:t>relatively</w:t>
      </w:r>
      <w:r w:rsidR="003811E1" w:rsidRPr="00F46F36">
        <w:rPr>
          <w:rFonts w:cstheme="minorHAnsi"/>
        </w:rPr>
        <w:t xml:space="preserve"> limited dislocation impacts</w:t>
      </w:r>
      <w:r w:rsidR="00F74E3F" w:rsidRPr="00F46F36">
        <w:rPr>
          <w:rFonts w:cstheme="minorHAnsi"/>
        </w:rPr>
        <w:t xml:space="preserve">. </w:t>
      </w:r>
      <w:r w:rsidR="005613DC" w:rsidRPr="00F46F36">
        <w:rPr>
          <w:rFonts w:cstheme="minorHAnsi"/>
        </w:rPr>
        <w:t>A key challenge is identifying resilient and low-carbon transition pathways that balance competing near, medium</w:t>
      </w:r>
      <w:r w:rsidR="00F74E3F" w:rsidRPr="00F46F36">
        <w:rPr>
          <w:rFonts w:cstheme="minorHAnsi"/>
        </w:rPr>
        <w:t>,</w:t>
      </w:r>
      <w:r w:rsidR="005613DC" w:rsidRPr="00F46F36">
        <w:rPr>
          <w:rFonts w:cstheme="minorHAnsi"/>
        </w:rPr>
        <w:t xml:space="preserve"> and long-term considerations, i.e., that help SOEs in balancing multiple</w:t>
      </w:r>
      <w:r w:rsidR="00D21283" w:rsidRPr="00F46F36">
        <w:rPr>
          <w:rFonts w:cstheme="minorHAnsi"/>
        </w:rPr>
        <w:t xml:space="preserve"> and often unfunded</w:t>
      </w:r>
      <w:r w:rsidR="005613DC" w:rsidRPr="00F46F36">
        <w:rPr>
          <w:rFonts w:cstheme="minorHAnsi"/>
        </w:rPr>
        <w:t xml:space="preserve"> mandates.</w:t>
      </w:r>
      <w:r w:rsidR="00B04D37" w:rsidRPr="00F46F36">
        <w:rPr>
          <w:rFonts w:cstheme="minorHAnsi"/>
        </w:rPr>
        <w:t xml:space="preserve"> </w:t>
      </w:r>
    </w:p>
    <w:p w14:paraId="17A982A8" w14:textId="77777777" w:rsidR="00654CB9" w:rsidRPr="00F46F36" w:rsidRDefault="00654CB9" w:rsidP="00845D5C">
      <w:pPr>
        <w:spacing w:after="0" w:line="240" w:lineRule="auto"/>
        <w:jc w:val="both"/>
        <w:rPr>
          <w:rFonts w:cstheme="minorHAnsi"/>
        </w:rPr>
      </w:pPr>
    </w:p>
    <w:p w14:paraId="691D028C" w14:textId="33F6CCE4" w:rsidR="00673C96" w:rsidRPr="00F46F36" w:rsidRDefault="004B5844" w:rsidP="00845D5C">
      <w:pPr>
        <w:spacing w:after="0" w:line="240" w:lineRule="auto"/>
        <w:jc w:val="both"/>
        <w:rPr>
          <w:rFonts w:cstheme="minorHAnsi"/>
        </w:rPr>
      </w:pPr>
      <w:r w:rsidRPr="00F46F36">
        <w:rPr>
          <w:rFonts w:cstheme="minorHAnsi"/>
        </w:rPr>
        <w:t>Despite these factors, t</w:t>
      </w:r>
      <w:r w:rsidR="003811E1" w:rsidRPr="00F46F36">
        <w:rPr>
          <w:rFonts w:cstheme="minorHAnsi"/>
        </w:rPr>
        <w:t>here is only limited research on the opportunities provided by SOE</w:t>
      </w:r>
      <w:r w:rsidR="008D7004" w:rsidRPr="00F46F36">
        <w:rPr>
          <w:rFonts w:cstheme="minorHAnsi"/>
        </w:rPr>
        <w:t xml:space="preserve"> policy</w:t>
      </w:r>
      <w:r w:rsidR="004E1B00" w:rsidRPr="00F46F36">
        <w:rPr>
          <w:rFonts w:cstheme="minorHAnsi"/>
        </w:rPr>
        <w:t xml:space="preserve"> reform</w:t>
      </w:r>
      <w:r w:rsidR="003811E1" w:rsidRPr="00F46F36">
        <w:rPr>
          <w:rFonts w:cstheme="minorHAnsi"/>
        </w:rPr>
        <w:t xml:space="preserve"> to help tackle climate change. This is a major oversight. T</w:t>
      </w:r>
      <w:r w:rsidRPr="00F46F36">
        <w:rPr>
          <w:rFonts w:cstheme="minorHAnsi"/>
        </w:rPr>
        <w:t>o help address t</w:t>
      </w:r>
      <w:r w:rsidR="003811E1" w:rsidRPr="00F46F36">
        <w:rPr>
          <w:rFonts w:cstheme="minorHAnsi"/>
        </w:rPr>
        <w:t xml:space="preserve">his </w:t>
      </w:r>
      <w:r w:rsidRPr="00F46F36">
        <w:rPr>
          <w:rFonts w:cstheme="minorHAnsi"/>
        </w:rPr>
        <w:t>gap, this</w:t>
      </w:r>
      <w:r w:rsidR="009055CB" w:rsidRPr="00F46F36">
        <w:rPr>
          <w:rFonts w:cstheme="minorHAnsi"/>
        </w:rPr>
        <w:t xml:space="preserve"> </w:t>
      </w:r>
      <w:r w:rsidR="003811E1" w:rsidRPr="00F46F36">
        <w:rPr>
          <w:rFonts w:cstheme="minorHAnsi"/>
        </w:rPr>
        <w:t xml:space="preserve">note is intended to support </w:t>
      </w:r>
      <w:r w:rsidR="00E13A74" w:rsidRPr="00F46F36">
        <w:rPr>
          <w:rFonts w:cstheme="minorHAnsi"/>
        </w:rPr>
        <w:t xml:space="preserve">SOE-climate action </w:t>
      </w:r>
      <w:r w:rsidR="003811E1" w:rsidRPr="00F46F36">
        <w:rPr>
          <w:rFonts w:cstheme="minorHAnsi"/>
        </w:rPr>
        <w:t>policy guidance</w:t>
      </w:r>
      <w:r w:rsidR="00A6411C" w:rsidRPr="00F46F36">
        <w:rPr>
          <w:rFonts w:cstheme="minorHAnsi"/>
        </w:rPr>
        <w:t>, especially</w:t>
      </w:r>
      <w:r w:rsidR="003811E1" w:rsidRPr="00F46F36">
        <w:rPr>
          <w:rFonts w:cstheme="minorHAnsi"/>
        </w:rPr>
        <w:t xml:space="preserve"> </w:t>
      </w:r>
      <w:r w:rsidR="00E13A74" w:rsidRPr="00F46F36">
        <w:rPr>
          <w:rFonts w:cstheme="minorHAnsi"/>
        </w:rPr>
        <w:t xml:space="preserve">for </w:t>
      </w:r>
      <w:r w:rsidR="003811E1" w:rsidRPr="00F46F36">
        <w:rPr>
          <w:rFonts w:cstheme="minorHAnsi"/>
        </w:rPr>
        <w:t>LMICs</w:t>
      </w:r>
      <w:r w:rsidR="001B646B" w:rsidRPr="00F46F36">
        <w:rPr>
          <w:rFonts w:cstheme="minorHAnsi"/>
        </w:rPr>
        <w:t xml:space="preserve">. The note is </w:t>
      </w:r>
      <w:r w:rsidR="003A45D6" w:rsidRPr="00F46F36">
        <w:rPr>
          <w:rFonts w:cstheme="minorHAnsi"/>
        </w:rPr>
        <w:t>organized</w:t>
      </w:r>
      <w:r w:rsidR="001B646B" w:rsidRPr="00F46F36">
        <w:rPr>
          <w:rFonts w:cstheme="minorHAnsi"/>
        </w:rPr>
        <w:t xml:space="preserve"> into three sections, </w:t>
      </w:r>
      <w:r w:rsidR="000C3100" w:rsidRPr="00F46F36">
        <w:rPr>
          <w:rFonts w:cstheme="minorHAnsi"/>
        </w:rPr>
        <w:t>below</w:t>
      </w:r>
      <w:r w:rsidR="001B646B" w:rsidRPr="00F46F36">
        <w:rPr>
          <w:rFonts w:cstheme="minorHAnsi"/>
        </w:rPr>
        <w:t xml:space="preserve">: </w:t>
      </w:r>
      <w:r w:rsidR="000C3100" w:rsidRPr="00F46F36">
        <w:rPr>
          <w:rFonts w:cstheme="minorHAnsi"/>
        </w:rPr>
        <w:t xml:space="preserve"> </w:t>
      </w:r>
      <w:r w:rsidR="001B646B" w:rsidRPr="00F46F36">
        <w:rPr>
          <w:rFonts w:cstheme="minorHAnsi"/>
        </w:rPr>
        <w:t>1) Overview</w:t>
      </w:r>
      <w:r w:rsidR="000C3100" w:rsidRPr="00F46F36">
        <w:rPr>
          <w:rFonts w:cstheme="minorHAnsi"/>
        </w:rPr>
        <w:t xml:space="preserve">; </w:t>
      </w:r>
      <w:r w:rsidR="004A5AC1" w:rsidRPr="00F46F36">
        <w:rPr>
          <w:rFonts w:cstheme="minorHAnsi"/>
        </w:rPr>
        <w:t>2) Considerations for integrating climate into SOE policies:  literature and emerging approaches</w:t>
      </w:r>
      <w:r w:rsidR="00891AC7" w:rsidRPr="00F46F36">
        <w:rPr>
          <w:rFonts w:cstheme="minorHAnsi"/>
        </w:rPr>
        <w:t>;</w:t>
      </w:r>
      <w:r w:rsidR="004A5AC1" w:rsidRPr="00F46F36">
        <w:rPr>
          <w:rFonts w:cstheme="minorHAnsi"/>
        </w:rPr>
        <w:t xml:space="preserve"> and</w:t>
      </w:r>
      <w:r w:rsidR="00891AC7" w:rsidRPr="00F46F36">
        <w:rPr>
          <w:rFonts w:cstheme="minorHAnsi"/>
        </w:rPr>
        <w:t>,</w:t>
      </w:r>
      <w:r w:rsidR="004A5AC1" w:rsidRPr="00F46F36">
        <w:rPr>
          <w:rFonts w:cstheme="minorHAnsi"/>
        </w:rPr>
        <w:t xml:space="preserve"> 3) </w:t>
      </w:r>
      <w:r w:rsidR="00891AC7" w:rsidRPr="00F46F36">
        <w:rPr>
          <w:rFonts w:cstheme="minorHAnsi"/>
        </w:rPr>
        <w:t>Implications for policy</w:t>
      </w:r>
      <w:r w:rsidR="004A25F8" w:rsidRPr="00F46F36">
        <w:rPr>
          <w:rFonts w:cstheme="minorHAnsi"/>
        </w:rPr>
        <w:t>.</w:t>
      </w:r>
      <w:r w:rsidR="009F5EF0" w:rsidRPr="00F46F36">
        <w:rPr>
          <w:rFonts w:cstheme="minorHAnsi"/>
        </w:rPr>
        <w:t xml:space="preserve"> </w:t>
      </w:r>
    </w:p>
    <w:p w14:paraId="36B1C09D" w14:textId="77777777" w:rsidR="00F46F36" w:rsidRPr="00F46F36" w:rsidRDefault="00F46F36" w:rsidP="00845D5C">
      <w:pPr>
        <w:pStyle w:val="NoSpacing"/>
        <w:jc w:val="both"/>
        <w:rPr>
          <w:rFonts w:cstheme="minorHAnsi"/>
          <w:b/>
          <w:iCs/>
          <w:color w:val="0070C0"/>
        </w:rPr>
      </w:pPr>
    </w:p>
    <w:p w14:paraId="330E58CD" w14:textId="58782A63" w:rsidR="00E6614C" w:rsidRDefault="001F1B2C" w:rsidP="00ED5DA2">
      <w:pPr>
        <w:pStyle w:val="ListParagraph"/>
        <w:numPr>
          <w:ilvl w:val="0"/>
          <w:numId w:val="21"/>
        </w:numPr>
        <w:spacing w:after="0" w:line="240" w:lineRule="auto"/>
        <w:jc w:val="both"/>
        <w:rPr>
          <w:rFonts w:cstheme="minorHAnsi"/>
          <w:b/>
          <w:iCs/>
          <w:color w:val="0070C0"/>
        </w:rPr>
      </w:pPr>
      <w:r w:rsidRPr="00F46F36">
        <w:rPr>
          <w:rFonts w:cstheme="minorHAnsi"/>
          <w:b/>
          <w:iCs/>
          <w:color w:val="0070C0"/>
        </w:rPr>
        <w:t>Overview</w:t>
      </w:r>
    </w:p>
    <w:p w14:paraId="14FF0CDB" w14:textId="77777777" w:rsidR="00202D5F" w:rsidRPr="00F46F36" w:rsidRDefault="00202D5F" w:rsidP="00202D5F">
      <w:pPr>
        <w:pStyle w:val="ListParagraph"/>
        <w:spacing w:after="0" w:line="240" w:lineRule="auto"/>
        <w:jc w:val="both"/>
        <w:rPr>
          <w:rFonts w:cstheme="minorHAnsi"/>
          <w:b/>
          <w:iCs/>
          <w:color w:val="0070C0"/>
        </w:rPr>
      </w:pPr>
    </w:p>
    <w:p w14:paraId="59A281BC" w14:textId="6CFD60EC" w:rsidR="00EB126C" w:rsidRPr="00F46F36" w:rsidRDefault="00673C96" w:rsidP="00192934">
      <w:pPr>
        <w:pStyle w:val="NoSpacing"/>
        <w:jc w:val="both"/>
        <w:rPr>
          <w:rFonts w:cstheme="minorHAnsi"/>
        </w:rPr>
      </w:pPr>
      <w:r w:rsidRPr="00F46F36">
        <w:rPr>
          <w:rFonts w:cstheme="minorHAnsi"/>
        </w:rPr>
        <w:t>A basic definition of SOE</w:t>
      </w:r>
      <w:r w:rsidR="0069448B" w:rsidRPr="00F46F36">
        <w:rPr>
          <w:rFonts w:cstheme="minorHAnsi"/>
        </w:rPr>
        <w:t>s</w:t>
      </w:r>
      <w:r w:rsidRPr="00F46F36">
        <w:rPr>
          <w:rFonts w:cstheme="minorHAnsi"/>
        </w:rPr>
        <w:t xml:space="preserve"> is any corporate entity recognized by national law as an enterprise and in which the central level of government exercises ownership control</w:t>
      </w:r>
      <w:r w:rsidRPr="00F46F36">
        <w:rPr>
          <w:rStyle w:val="FootnoteReference"/>
          <w:rFonts w:cstheme="minorHAnsi"/>
        </w:rPr>
        <w:footnoteReference w:id="2"/>
      </w:r>
      <w:r w:rsidR="000C15F0" w:rsidRPr="00F46F36">
        <w:rPr>
          <w:rFonts w:cstheme="minorHAnsi"/>
        </w:rPr>
        <w:t xml:space="preserve">; </w:t>
      </w:r>
      <w:r w:rsidRPr="00F46F36">
        <w:rPr>
          <w:rFonts w:cstheme="minorHAnsi"/>
        </w:rPr>
        <w:t>however, there is no universal definition across countries.</w:t>
      </w:r>
      <w:r w:rsidRPr="00F46F36">
        <w:rPr>
          <w:rStyle w:val="FootnoteReference"/>
          <w:rFonts w:cstheme="minorHAnsi"/>
        </w:rPr>
        <w:footnoteReference w:id="3"/>
      </w:r>
      <w:r w:rsidRPr="00F46F36">
        <w:rPr>
          <w:rFonts w:cstheme="minorHAnsi"/>
          <w:vertAlign w:val="superscript"/>
        </w:rPr>
        <w:t xml:space="preserve"> </w:t>
      </w:r>
      <w:r w:rsidRPr="00F46F36">
        <w:rPr>
          <w:rFonts w:cstheme="minorHAnsi"/>
        </w:rPr>
        <w:t xml:space="preserve">Most SOEs are not wholly owned by the government, and are usually created (or at least </w:t>
      </w:r>
      <w:r w:rsidRPr="00F46F36">
        <w:rPr>
          <w:rFonts w:cstheme="minorHAnsi"/>
        </w:rPr>
        <w:lastRenderedPageBreak/>
        <w:t xml:space="preserve">justified) as a measure to correct market failures to promote </w:t>
      </w:r>
      <w:r w:rsidR="00E727EB" w:rsidRPr="00F46F36">
        <w:rPr>
          <w:rFonts w:cstheme="minorHAnsi"/>
        </w:rPr>
        <w:t>non-commercial objectives (NCOs)</w:t>
      </w:r>
      <w:r w:rsidR="00AE3220" w:rsidRPr="00F46F36">
        <w:rPr>
          <w:rFonts w:cstheme="minorHAnsi"/>
        </w:rPr>
        <w:t>—</w:t>
      </w:r>
      <w:r w:rsidR="00E727EB" w:rsidRPr="00F46F36">
        <w:rPr>
          <w:rFonts w:cstheme="minorHAnsi"/>
        </w:rPr>
        <w:t xml:space="preserve">such as </w:t>
      </w:r>
      <w:r w:rsidRPr="00F46F36">
        <w:rPr>
          <w:rFonts w:cstheme="minorHAnsi"/>
        </w:rPr>
        <w:t>economic development (including political and social objectives, such as job creation), and to protect strategic industries.</w:t>
      </w:r>
      <w:r w:rsidR="006A58FF" w:rsidRPr="00F46F36">
        <w:rPr>
          <w:rFonts w:cstheme="minorHAnsi"/>
        </w:rPr>
        <w:t xml:space="preserve"> </w:t>
      </w:r>
      <w:r w:rsidR="00AB38AC" w:rsidRPr="00F46F36">
        <w:rPr>
          <w:rFonts w:cstheme="minorHAnsi"/>
        </w:rPr>
        <w:t>Indeed</w:t>
      </w:r>
      <w:r w:rsidR="00DB70C7" w:rsidRPr="00F46F36">
        <w:rPr>
          <w:rFonts w:cstheme="minorHAnsi"/>
        </w:rPr>
        <w:t>, there is</w:t>
      </w:r>
      <w:r w:rsidR="006A58FF" w:rsidRPr="00F46F36">
        <w:rPr>
          <w:rFonts w:cstheme="minorHAnsi"/>
        </w:rPr>
        <w:t xml:space="preserve"> great diversity of SOE</w:t>
      </w:r>
      <w:r w:rsidR="00AB38AC" w:rsidRPr="00F46F36">
        <w:rPr>
          <w:rFonts w:cstheme="minorHAnsi"/>
        </w:rPr>
        <w:t xml:space="preserve"> </w:t>
      </w:r>
      <w:r w:rsidR="006A58FF" w:rsidRPr="00F46F36">
        <w:rPr>
          <w:rFonts w:cstheme="minorHAnsi"/>
        </w:rPr>
        <w:t>ownership</w:t>
      </w:r>
      <w:r w:rsidR="00AB38AC" w:rsidRPr="00F46F36">
        <w:rPr>
          <w:rFonts w:cstheme="minorHAnsi"/>
        </w:rPr>
        <w:t xml:space="preserve"> </w:t>
      </w:r>
      <w:r w:rsidR="006A58FF" w:rsidRPr="00F46F36">
        <w:rPr>
          <w:rFonts w:cstheme="minorHAnsi"/>
        </w:rPr>
        <w:t>structures, operations and reporting across countries,</w:t>
      </w:r>
      <w:r w:rsidR="00DB70C7" w:rsidRPr="00F46F36">
        <w:rPr>
          <w:rFonts w:cstheme="minorHAnsi"/>
        </w:rPr>
        <w:t xml:space="preserve"> </w:t>
      </w:r>
      <w:r w:rsidR="00D7389D" w:rsidRPr="00F46F36">
        <w:rPr>
          <w:rFonts w:cstheme="minorHAnsi"/>
        </w:rPr>
        <w:t>which presents challenges for pol</w:t>
      </w:r>
      <w:r w:rsidR="00394287" w:rsidRPr="00F46F36">
        <w:rPr>
          <w:rFonts w:cstheme="minorHAnsi"/>
        </w:rPr>
        <w:t>icy analysis</w:t>
      </w:r>
      <w:r w:rsidR="00034680" w:rsidRPr="00F46F36">
        <w:rPr>
          <w:rFonts w:cstheme="minorHAnsi"/>
        </w:rPr>
        <w:t xml:space="preserve">. </w:t>
      </w:r>
      <w:r w:rsidR="001A33E1" w:rsidRPr="00F46F36">
        <w:rPr>
          <w:rFonts w:cstheme="minorHAnsi"/>
        </w:rPr>
        <w:t>Compared with SOEs in OECD countries</w:t>
      </w:r>
      <w:r w:rsidR="00E70640" w:rsidRPr="00F46F36">
        <w:rPr>
          <w:rFonts w:cstheme="minorHAnsi"/>
        </w:rPr>
        <w:t xml:space="preserve"> (that tend to operate as relatively efficient monopolies)</w:t>
      </w:r>
      <w:r w:rsidR="001A33E1" w:rsidRPr="00F46F36">
        <w:rPr>
          <w:rFonts w:cstheme="minorHAnsi"/>
        </w:rPr>
        <w:t>, p</w:t>
      </w:r>
      <w:r w:rsidR="00DE0065" w:rsidRPr="00F46F36">
        <w:rPr>
          <w:rFonts w:cstheme="minorHAnsi"/>
        </w:rPr>
        <w:t>olicy a</w:t>
      </w:r>
      <w:r w:rsidR="00034680" w:rsidRPr="00F46F36">
        <w:rPr>
          <w:rFonts w:cstheme="minorHAnsi"/>
        </w:rPr>
        <w:t xml:space="preserve">nalysis is </w:t>
      </w:r>
      <w:r w:rsidR="00551170" w:rsidRPr="00F46F36">
        <w:rPr>
          <w:rFonts w:cstheme="minorHAnsi"/>
        </w:rPr>
        <w:t>particularly</w:t>
      </w:r>
      <w:r w:rsidR="001A33E1" w:rsidRPr="00F46F36">
        <w:rPr>
          <w:rFonts w:cstheme="minorHAnsi"/>
        </w:rPr>
        <w:t xml:space="preserve"> challenging </w:t>
      </w:r>
      <w:r w:rsidR="00551170" w:rsidRPr="00F46F36">
        <w:rPr>
          <w:rFonts w:cstheme="minorHAnsi"/>
        </w:rPr>
        <w:t xml:space="preserve">among LMICs, where SOEs </w:t>
      </w:r>
      <w:r w:rsidR="00940E01" w:rsidRPr="00F46F36">
        <w:rPr>
          <w:rFonts w:cstheme="minorHAnsi"/>
        </w:rPr>
        <w:t>tend to</w:t>
      </w:r>
      <w:r w:rsidR="00124299" w:rsidRPr="00F46F36">
        <w:rPr>
          <w:rFonts w:cstheme="minorHAnsi"/>
        </w:rPr>
        <w:t xml:space="preserve"> have</w:t>
      </w:r>
      <w:r w:rsidR="00940E01" w:rsidRPr="00F46F36">
        <w:rPr>
          <w:rFonts w:cstheme="minorHAnsi"/>
        </w:rPr>
        <w:t xml:space="preserve"> more complex mandates and governance structures</w:t>
      </w:r>
      <w:r w:rsidR="002A01C3" w:rsidRPr="00F46F36">
        <w:rPr>
          <w:rFonts w:cstheme="minorHAnsi"/>
        </w:rPr>
        <w:t xml:space="preserve"> that are not always fully transparent</w:t>
      </w:r>
      <w:r w:rsidR="00394287" w:rsidRPr="00F46F36">
        <w:rPr>
          <w:rFonts w:cstheme="minorHAnsi"/>
        </w:rPr>
        <w:t>.</w:t>
      </w:r>
    </w:p>
    <w:p w14:paraId="3E764D57" w14:textId="77777777" w:rsidR="002624EE" w:rsidRPr="00F46F36" w:rsidRDefault="002624EE" w:rsidP="00845D5C">
      <w:pPr>
        <w:pStyle w:val="NoSpacing"/>
        <w:jc w:val="both"/>
        <w:rPr>
          <w:rFonts w:cstheme="minorHAnsi"/>
        </w:rPr>
      </w:pPr>
    </w:p>
    <w:p w14:paraId="6FBB6728" w14:textId="57D9DBE9" w:rsidR="002624EE" w:rsidRPr="00845D5C" w:rsidRDefault="002624EE" w:rsidP="00845D5C">
      <w:pPr>
        <w:spacing w:after="0" w:line="240" w:lineRule="auto"/>
        <w:jc w:val="both"/>
        <w:rPr>
          <w:rFonts w:cstheme="minorHAnsi"/>
        </w:rPr>
      </w:pPr>
      <w:r w:rsidRPr="00F46F36">
        <w:rPr>
          <w:rFonts w:cstheme="minorHAnsi"/>
        </w:rPr>
        <w:t>Despite data limitations, there is consensus that the role of SOEs in the global economy is significant</w:t>
      </w:r>
      <w:r w:rsidR="007846D6" w:rsidRPr="00F46F36">
        <w:rPr>
          <w:rFonts w:cstheme="minorHAnsi"/>
        </w:rPr>
        <w:t>,</w:t>
      </w:r>
      <w:r w:rsidR="006603CA" w:rsidRPr="00F46F36">
        <w:rPr>
          <w:rFonts w:cstheme="minorHAnsi"/>
        </w:rPr>
        <w:t xml:space="preserve"> and </w:t>
      </w:r>
      <w:r w:rsidR="007846D6" w:rsidRPr="00F46F36">
        <w:rPr>
          <w:rFonts w:cstheme="minorHAnsi"/>
        </w:rPr>
        <w:t xml:space="preserve">that </w:t>
      </w:r>
      <w:r w:rsidR="006603CA" w:rsidRPr="00F46F36">
        <w:rPr>
          <w:rFonts w:cstheme="minorHAnsi"/>
        </w:rPr>
        <w:t xml:space="preserve">they </w:t>
      </w:r>
      <w:r w:rsidR="00E25FE9" w:rsidRPr="00F46F36">
        <w:rPr>
          <w:rFonts w:cstheme="minorHAnsi"/>
        </w:rPr>
        <w:t xml:space="preserve">tend to </w:t>
      </w:r>
      <w:r w:rsidR="00B2423A" w:rsidRPr="00F46F36">
        <w:rPr>
          <w:rFonts w:cstheme="minorHAnsi"/>
        </w:rPr>
        <w:t>operate</w:t>
      </w:r>
      <w:r w:rsidR="00E25FE9" w:rsidRPr="00F46F36">
        <w:rPr>
          <w:rFonts w:cstheme="minorHAnsi"/>
        </w:rPr>
        <w:t xml:space="preserve"> in </w:t>
      </w:r>
      <w:r w:rsidR="00294B53" w:rsidRPr="00F46F36">
        <w:rPr>
          <w:rFonts w:cstheme="minorHAnsi"/>
        </w:rPr>
        <w:t>sectors</w:t>
      </w:r>
      <w:r w:rsidR="005F4BE8" w:rsidRPr="00F46F36">
        <w:rPr>
          <w:rFonts w:cstheme="minorHAnsi"/>
        </w:rPr>
        <w:t xml:space="preserve"> that are essential to supporting economic activity</w:t>
      </w:r>
      <w:r w:rsidRPr="00F46F36">
        <w:rPr>
          <w:rFonts w:cstheme="minorHAnsi"/>
        </w:rPr>
        <w:t xml:space="preserve">. For example, a World Bank </w:t>
      </w:r>
      <w:r w:rsidR="00394287" w:rsidRPr="00F46F36">
        <w:rPr>
          <w:rFonts w:cstheme="minorHAnsi"/>
        </w:rPr>
        <w:t>study</w:t>
      </w:r>
      <w:r w:rsidRPr="00F46F36">
        <w:rPr>
          <w:rFonts w:cstheme="minorHAnsi"/>
        </w:rPr>
        <w:t xml:space="preserve"> estimates that</w:t>
      </w:r>
      <w:r w:rsidR="001D1910" w:rsidRPr="00F46F36">
        <w:rPr>
          <w:rFonts w:cstheme="minorHAnsi"/>
        </w:rPr>
        <w:t xml:space="preserve"> globally</w:t>
      </w:r>
      <w:r w:rsidRPr="00F46F36">
        <w:rPr>
          <w:rFonts w:cstheme="minorHAnsi"/>
        </w:rPr>
        <w:t xml:space="preserve"> SOEs account for 20 percent of investment</w:t>
      </w:r>
      <w:r w:rsidR="005B32BD" w:rsidRPr="00F46F36">
        <w:rPr>
          <w:rFonts w:cstheme="minorHAnsi"/>
        </w:rPr>
        <w:t xml:space="preserve"> and</w:t>
      </w:r>
      <w:r w:rsidRPr="00F46F36">
        <w:rPr>
          <w:rFonts w:cstheme="minorHAnsi"/>
        </w:rPr>
        <w:t xml:space="preserve"> 5 percent of employment, and </w:t>
      </w:r>
      <w:r w:rsidR="00813BAB" w:rsidRPr="00F46F36">
        <w:rPr>
          <w:rFonts w:cstheme="minorHAnsi"/>
        </w:rPr>
        <w:t xml:space="preserve">that in some countries SOEs </w:t>
      </w:r>
      <w:r w:rsidR="005B32BD" w:rsidRPr="00F46F36">
        <w:rPr>
          <w:rFonts w:cstheme="minorHAnsi"/>
        </w:rPr>
        <w:t xml:space="preserve">contribute to </w:t>
      </w:r>
      <w:r w:rsidR="001D1910" w:rsidRPr="00F46F36">
        <w:rPr>
          <w:rFonts w:cstheme="minorHAnsi"/>
        </w:rPr>
        <w:t>as much as</w:t>
      </w:r>
      <w:r w:rsidRPr="00F46F36">
        <w:rPr>
          <w:rFonts w:cstheme="minorHAnsi"/>
        </w:rPr>
        <w:t xml:space="preserve"> 40 percent of production</w:t>
      </w:r>
      <w:r w:rsidR="001D1910" w:rsidRPr="00F46F36">
        <w:rPr>
          <w:rFonts w:cstheme="minorHAnsi"/>
        </w:rPr>
        <w:t>.</w:t>
      </w:r>
      <w:r w:rsidRPr="00F46F36">
        <w:rPr>
          <w:rStyle w:val="FootnoteReference"/>
          <w:rFonts w:cstheme="minorHAnsi"/>
        </w:rPr>
        <w:footnoteReference w:id="4"/>
      </w:r>
      <w:r w:rsidRPr="00F46F36">
        <w:rPr>
          <w:rFonts w:cstheme="minorHAnsi"/>
        </w:rPr>
        <w:t xml:space="preserve"> </w:t>
      </w:r>
      <w:r w:rsidR="001D1910" w:rsidRPr="00F46F36">
        <w:rPr>
          <w:rFonts w:cstheme="minorHAnsi"/>
        </w:rPr>
        <w:t>T</w:t>
      </w:r>
      <w:r w:rsidRPr="00F46F36">
        <w:rPr>
          <w:rFonts w:cstheme="minorHAnsi"/>
        </w:rPr>
        <w:t>he IMF calculates that the aggregate assets of all SOEs is equivalent to about 50 percent of global GDP.</w:t>
      </w:r>
      <w:r w:rsidRPr="00F46F36">
        <w:rPr>
          <w:rStyle w:val="FootnoteReference"/>
          <w:rFonts w:cstheme="minorHAnsi"/>
        </w:rPr>
        <w:footnoteReference w:id="5"/>
      </w:r>
      <w:r w:rsidRPr="00F46F36">
        <w:rPr>
          <w:rFonts w:cstheme="minorHAnsi"/>
        </w:rPr>
        <w:t xml:space="preserve"> The OECD reports that 22 percent of the world’s largest 100 firms are state controlled companies.</w:t>
      </w:r>
      <w:r w:rsidRPr="00F46F36">
        <w:rPr>
          <w:rStyle w:val="FootnoteReference"/>
          <w:rFonts w:cstheme="minorHAnsi"/>
        </w:rPr>
        <w:footnoteReference w:id="6"/>
      </w:r>
      <w:r w:rsidRPr="00F46F36">
        <w:rPr>
          <w:rFonts w:cstheme="minorHAnsi"/>
        </w:rPr>
        <w:t xml:space="preserve"> </w:t>
      </w:r>
      <w:r w:rsidR="00D06660" w:rsidRPr="00F46F36">
        <w:rPr>
          <w:rFonts w:cstheme="minorHAnsi"/>
        </w:rPr>
        <w:t>At the sectoral level, i</w:t>
      </w:r>
      <w:r w:rsidRPr="00F46F36">
        <w:rPr>
          <w:rFonts w:cstheme="minorHAnsi"/>
        </w:rPr>
        <w:t xml:space="preserve">n a study covering 45 large OECD and non-OECD economies, the OECD estimates that the electricity and gas, transportation, telecoms and other utilities sectors combined account for 51 percent of all SOEs by value and 70 percent by employment—and </w:t>
      </w:r>
      <w:r w:rsidRPr="00845D5C">
        <w:rPr>
          <w:rFonts w:cstheme="minorHAnsi"/>
        </w:rPr>
        <w:t>overall, that finance is the largest individual sector, at 26 percent of all SOEs by value.</w:t>
      </w:r>
      <w:r w:rsidRPr="00845D5C">
        <w:rPr>
          <w:rStyle w:val="FootnoteReference"/>
          <w:rFonts w:cstheme="minorHAnsi"/>
        </w:rPr>
        <w:footnoteReference w:id="7"/>
      </w:r>
      <w:r w:rsidRPr="00845D5C">
        <w:rPr>
          <w:rFonts w:cstheme="minorHAnsi"/>
        </w:rPr>
        <w:t xml:space="preserve"> (Figure 1). </w:t>
      </w:r>
    </w:p>
    <w:p w14:paraId="03716BD6" w14:textId="77777777" w:rsidR="002624EE" w:rsidRPr="00845D5C" w:rsidRDefault="002624EE" w:rsidP="00845D5C">
      <w:pPr>
        <w:spacing w:after="0" w:line="240" w:lineRule="auto"/>
        <w:jc w:val="both"/>
        <w:rPr>
          <w:rFonts w:cstheme="minorHAnsi"/>
          <w:noProof/>
        </w:rPr>
      </w:pPr>
      <w:r w:rsidRPr="00845D5C">
        <w:rPr>
          <w:rFonts w:cstheme="minorHAnsi"/>
        </w:rPr>
        <w:t xml:space="preserve"> </w:t>
      </w:r>
    </w:p>
    <w:p w14:paraId="31429F6C" w14:textId="77777777" w:rsidR="002624EE" w:rsidRPr="00845D5C" w:rsidRDefault="002624EE" w:rsidP="00140499">
      <w:pPr>
        <w:keepNext/>
        <w:keepLines/>
        <w:spacing w:after="0" w:line="240" w:lineRule="auto"/>
        <w:rPr>
          <w:rFonts w:cstheme="minorHAnsi"/>
        </w:rPr>
      </w:pPr>
      <w:r w:rsidRPr="00845D5C">
        <w:rPr>
          <w:rFonts w:cstheme="minorHAnsi"/>
          <w:b/>
          <w:bCs/>
        </w:rPr>
        <w:t>Figure 1.  Sectoral distribution of SOEs* globally by value and employment</w:t>
      </w:r>
      <w:r w:rsidRPr="00845D5C">
        <w:rPr>
          <w:rFonts w:cstheme="minorHAnsi"/>
          <w:noProof/>
        </w:rPr>
        <w:drawing>
          <wp:inline distT="0" distB="0" distL="0" distR="0" wp14:anchorId="4CAA87D4" wp14:editId="0AE306DB">
            <wp:extent cx="5981700" cy="2541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1818" cy="2541320"/>
                    </a:xfrm>
                    <a:prstGeom prst="rect">
                      <a:avLst/>
                    </a:prstGeom>
                  </pic:spPr>
                </pic:pic>
              </a:graphicData>
            </a:graphic>
          </wp:inline>
        </w:drawing>
      </w:r>
    </w:p>
    <w:p w14:paraId="63EAD24A" w14:textId="3A57C649" w:rsidR="002624EE" w:rsidRPr="00F46F36" w:rsidRDefault="002624EE" w:rsidP="00845D5C">
      <w:pPr>
        <w:spacing w:after="0" w:line="240" w:lineRule="auto"/>
        <w:jc w:val="both"/>
        <w:rPr>
          <w:rFonts w:cstheme="minorHAnsi"/>
          <w:i/>
          <w:iCs/>
          <w:sz w:val="20"/>
          <w:szCs w:val="20"/>
        </w:rPr>
      </w:pPr>
      <w:r w:rsidRPr="00F46F36">
        <w:rPr>
          <w:rFonts w:cstheme="minorHAnsi"/>
          <w:i/>
          <w:iCs/>
          <w:sz w:val="20"/>
          <w:szCs w:val="20"/>
        </w:rPr>
        <w:t>Source: OECD (2017</w:t>
      </w:r>
      <w:r w:rsidR="00721DE3" w:rsidRPr="00F46F36">
        <w:rPr>
          <w:rFonts w:cstheme="minorHAnsi"/>
          <w:i/>
          <w:iCs/>
          <w:sz w:val="20"/>
          <w:szCs w:val="20"/>
        </w:rPr>
        <w:t>a</w:t>
      </w:r>
      <w:r w:rsidRPr="00F46F36">
        <w:rPr>
          <w:rFonts w:cstheme="minorHAnsi"/>
          <w:i/>
          <w:iCs/>
          <w:sz w:val="20"/>
          <w:szCs w:val="20"/>
        </w:rPr>
        <w:t>)</w:t>
      </w:r>
      <w:r w:rsidR="00D76B85" w:rsidRPr="00F46F36">
        <w:rPr>
          <w:rFonts w:cstheme="minorHAnsi"/>
          <w:i/>
          <w:iCs/>
          <w:sz w:val="20"/>
          <w:szCs w:val="20"/>
        </w:rPr>
        <w:t>.</w:t>
      </w:r>
    </w:p>
    <w:p w14:paraId="42925BD7" w14:textId="77777777" w:rsidR="002624EE" w:rsidRPr="00845D5C" w:rsidRDefault="002624EE" w:rsidP="00964FA6">
      <w:pPr>
        <w:spacing w:after="0" w:line="240" w:lineRule="auto"/>
        <w:jc w:val="both"/>
        <w:rPr>
          <w:rFonts w:cstheme="minorHAnsi"/>
          <w:b/>
          <w:bCs/>
          <w:i/>
          <w:iCs/>
          <w:noProof/>
        </w:rPr>
      </w:pPr>
    </w:p>
    <w:p w14:paraId="342F5C01" w14:textId="03ACD45D" w:rsidR="00B606A7" w:rsidRDefault="00F134F4" w:rsidP="00EC5C92">
      <w:pPr>
        <w:keepNext/>
        <w:keepLines/>
        <w:spacing w:after="0" w:line="240" w:lineRule="auto"/>
        <w:jc w:val="both"/>
        <w:rPr>
          <w:rFonts w:cstheme="minorHAnsi"/>
          <w:b/>
          <w:bCs/>
        </w:rPr>
      </w:pPr>
      <w:r w:rsidRPr="008109EC">
        <w:rPr>
          <w:rFonts w:cstheme="minorHAnsi"/>
          <w:b/>
          <w:bCs/>
        </w:rPr>
        <w:lastRenderedPageBreak/>
        <w:t xml:space="preserve">SOEs operate </w:t>
      </w:r>
      <w:r w:rsidR="00506669">
        <w:rPr>
          <w:rFonts w:cstheme="minorHAnsi"/>
          <w:b/>
          <w:bCs/>
        </w:rPr>
        <w:t>across</w:t>
      </w:r>
      <w:r w:rsidRPr="008109EC">
        <w:rPr>
          <w:rFonts w:cstheme="minorHAnsi"/>
          <w:b/>
          <w:bCs/>
        </w:rPr>
        <w:t xml:space="preserve"> carbon-intensive </w:t>
      </w:r>
      <w:r w:rsidR="008109EC" w:rsidRPr="008109EC">
        <w:rPr>
          <w:rFonts w:cstheme="minorHAnsi"/>
          <w:b/>
          <w:bCs/>
        </w:rPr>
        <w:t>sectors</w:t>
      </w:r>
      <w:r w:rsidR="00EB7A12">
        <w:rPr>
          <w:rFonts w:cstheme="minorHAnsi"/>
          <w:b/>
          <w:bCs/>
        </w:rPr>
        <w:t>, with</w:t>
      </w:r>
      <w:r w:rsidR="00506669">
        <w:rPr>
          <w:rFonts w:cstheme="minorHAnsi"/>
          <w:b/>
          <w:bCs/>
        </w:rPr>
        <w:t xml:space="preserve"> a global carbon footprint second only to China</w:t>
      </w:r>
    </w:p>
    <w:p w14:paraId="63B6EE1E" w14:textId="77777777" w:rsidR="004924FF" w:rsidRPr="008109EC" w:rsidRDefault="004924FF" w:rsidP="00EC5C92">
      <w:pPr>
        <w:keepNext/>
        <w:keepLines/>
        <w:spacing w:after="0" w:line="240" w:lineRule="auto"/>
        <w:jc w:val="both"/>
        <w:rPr>
          <w:rFonts w:cstheme="minorHAnsi"/>
          <w:b/>
          <w:bCs/>
        </w:rPr>
      </w:pPr>
    </w:p>
    <w:p w14:paraId="03DA23B9" w14:textId="6FF0FD5C" w:rsidR="002624EE" w:rsidRPr="00845D5C" w:rsidRDefault="00504D91" w:rsidP="00EC5C92">
      <w:pPr>
        <w:keepNext/>
        <w:keepLines/>
        <w:spacing w:after="0" w:line="240" w:lineRule="auto"/>
        <w:jc w:val="both"/>
        <w:rPr>
          <w:rFonts w:cstheme="minorHAnsi"/>
        </w:rPr>
      </w:pPr>
      <w:r w:rsidRPr="00845D5C">
        <w:rPr>
          <w:rFonts w:cstheme="minorHAnsi"/>
        </w:rPr>
        <w:t xml:space="preserve">SOEs operate across a wide range of commercial activities, and </w:t>
      </w:r>
      <w:r w:rsidR="005D53AF" w:rsidRPr="00845D5C">
        <w:rPr>
          <w:rFonts w:cstheme="minorHAnsi"/>
        </w:rPr>
        <w:t>often</w:t>
      </w:r>
      <w:r w:rsidRPr="00845D5C">
        <w:rPr>
          <w:rFonts w:cstheme="minorHAnsi"/>
        </w:rPr>
        <w:t xml:space="preserve"> in sectors that are carbon-intensive and important to global value chains, including public utilities, manufacturing, metals and mining, and petroleum. SOEs are often some of the largest companies in their host countries—and their cross-border activities have increased over the last two decades. </w:t>
      </w:r>
      <w:r w:rsidR="006002EA">
        <w:rPr>
          <w:rFonts w:cstheme="minorHAnsi"/>
        </w:rPr>
        <w:t>SOEs</w:t>
      </w:r>
      <w:r w:rsidR="006002EA" w:rsidRPr="00845D5C">
        <w:rPr>
          <w:rFonts w:cstheme="minorHAnsi"/>
        </w:rPr>
        <w:t xml:space="preserve"> account for a growing share of corporations globally</w:t>
      </w:r>
      <w:r w:rsidR="006002EA">
        <w:rPr>
          <w:rFonts w:cstheme="minorHAnsi"/>
        </w:rPr>
        <w:t>, and their</w:t>
      </w:r>
      <w:r w:rsidRPr="00845D5C">
        <w:rPr>
          <w:rFonts w:cstheme="minorHAnsi"/>
        </w:rPr>
        <w:t xml:space="preserve"> role seems to be expanding</w:t>
      </w:r>
      <w:r w:rsidR="006002EA">
        <w:rPr>
          <w:rFonts w:cstheme="minorHAnsi"/>
        </w:rPr>
        <w:t xml:space="preserve">, including through </w:t>
      </w:r>
      <w:r w:rsidR="00907D0C">
        <w:rPr>
          <w:rFonts w:cstheme="minorHAnsi"/>
        </w:rPr>
        <w:t xml:space="preserve">government capital injections to help SOEs </w:t>
      </w:r>
      <w:r w:rsidR="000D3BAA">
        <w:rPr>
          <w:rFonts w:cstheme="minorHAnsi"/>
        </w:rPr>
        <w:t>withstand</w:t>
      </w:r>
      <w:r w:rsidR="003D62C5">
        <w:rPr>
          <w:rFonts w:cstheme="minorHAnsi"/>
        </w:rPr>
        <w:t xml:space="preserve"> the COVID-19 crisis</w:t>
      </w:r>
      <w:r w:rsidRPr="00845D5C">
        <w:rPr>
          <w:rFonts w:cstheme="minorHAnsi"/>
        </w:rPr>
        <w:t xml:space="preserve">. </w:t>
      </w:r>
      <w:r w:rsidR="004B0874" w:rsidRPr="00845D5C">
        <w:rPr>
          <w:rFonts w:cstheme="minorHAnsi"/>
          <w:bCs/>
          <w:iCs/>
        </w:rPr>
        <w:t xml:space="preserve">SOEs are more prevalent in LMICs than in HICs, and frequently play a central role in their economies. </w:t>
      </w:r>
      <w:r w:rsidR="004B0874" w:rsidRPr="00845D5C">
        <w:rPr>
          <w:rFonts w:cstheme="minorHAnsi"/>
        </w:rPr>
        <w:t>SOEs have also been playing an important role in the world’s fastest growing economies, especially in developing Asia (e.g., China, India, and Vietnam).</w:t>
      </w:r>
      <w:r w:rsidR="004B0874" w:rsidRPr="00845D5C">
        <w:rPr>
          <w:rStyle w:val="FootnoteReference"/>
          <w:rFonts w:cstheme="minorHAnsi"/>
        </w:rPr>
        <w:footnoteReference w:id="8"/>
      </w:r>
      <w:r w:rsidR="004B0874" w:rsidRPr="00845D5C">
        <w:rPr>
          <w:rFonts w:cstheme="minorHAnsi"/>
        </w:rPr>
        <w:t xml:space="preserve"> </w:t>
      </w:r>
      <w:r w:rsidRPr="00845D5C">
        <w:rPr>
          <w:rFonts w:cstheme="minorHAnsi"/>
        </w:rPr>
        <w:t>Among LMICs, over the past decade, the expansion of China’s SOEs into global markets has been especially pronounced, particularly since the Belt and Road Initiative (BRI) was launched in 2013.</w:t>
      </w:r>
    </w:p>
    <w:p w14:paraId="283815CB" w14:textId="77777777" w:rsidR="00504D91" w:rsidRPr="00845D5C" w:rsidRDefault="00504D91" w:rsidP="00845D5C">
      <w:pPr>
        <w:spacing w:after="0" w:line="240" w:lineRule="auto"/>
        <w:jc w:val="both"/>
        <w:rPr>
          <w:rFonts w:cstheme="minorHAnsi"/>
        </w:rPr>
      </w:pPr>
    </w:p>
    <w:p w14:paraId="055841B7" w14:textId="64BB0900" w:rsidR="004B0874" w:rsidRPr="00845D5C" w:rsidRDefault="004B0874" w:rsidP="00845D5C">
      <w:pPr>
        <w:spacing w:after="0" w:line="240" w:lineRule="auto"/>
        <w:jc w:val="both"/>
        <w:rPr>
          <w:rFonts w:cstheme="minorHAnsi"/>
        </w:rPr>
      </w:pPr>
      <w:r w:rsidRPr="00845D5C">
        <w:rPr>
          <w:rFonts w:cstheme="minorHAnsi"/>
        </w:rPr>
        <w:t>In aggregate, SOEs have a global carbon footprint second only to China’s,</w:t>
      </w:r>
      <w:r w:rsidRPr="00845D5C" w:rsidDel="009402CB">
        <w:rPr>
          <w:rFonts w:cstheme="minorHAnsi"/>
        </w:rPr>
        <w:t xml:space="preserve"> </w:t>
      </w:r>
      <w:r w:rsidRPr="00845D5C">
        <w:rPr>
          <w:rFonts w:cstheme="minorHAnsi"/>
        </w:rPr>
        <w:t>and their operations and assets are vulnerable to climate change impacts.</w:t>
      </w:r>
      <w:r w:rsidR="008C4418">
        <w:rPr>
          <w:rStyle w:val="FootnoteReference"/>
          <w:rFonts w:cstheme="minorHAnsi"/>
        </w:rPr>
        <w:footnoteReference w:id="9"/>
      </w:r>
      <w:r w:rsidR="000C143C">
        <w:rPr>
          <w:rFonts w:cstheme="minorHAnsi"/>
        </w:rPr>
        <w:t xml:space="preserve"> </w:t>
      </w:r>
      <w:r w:rsidRPr="00845D5C">
        <w:rPr>
          <w:rFonts w:cstheme="minorHAnsi"/>
        </w:rPr>
        <w:t>However, they are also some of the biggest investors in green technology. Indeed, SOEs account for over half installed capacity for power generation, fueled by fossil fuels or renewables. According to the data and definitions used by Prag et</w:t>
      </w:r>
      <w:r w:rsidR="003D4238">
        <w:rPr>
          <w:rFonts w:cstheme="minorHAnsi"/>
        </w:rPr>
        <w:t>.</w:t>
      </w:r>
      <w:r w:rsidRPr="00845D5C">
        <w:rPr>
          <w:rFonts w:cstheme="minorHAnsi"/>
        </w:rPr>
        <w:t xml:space="preserve"> al</w:t>
      </w:r>
      <w:r w:rsidR="006C72D4" w:rsidRPr="00845D5C">
        <w:rPr>
          <w:rFonts w:cstheme="minorHAnsi"/>
        </w:rPr>
        <w:t xml:space="preserve"> </w:t>
      </w:r>
      <w:r w:rsidRPr="00845D5C">
        <w:rPr>
          <w:rFonts w:cstheme="minorHAnsi"/>
        </w:rPr>
        <w:t xml:space="preserve">in their study of SOEs in 45 large economies (OECD and non-OECD), SOEs account for three-fifths of total global electricity capacity installed in 2016, and for over half planned </w:t>
      </w:r>
      <w:r w:rsidR="007313B6">
        <w:rPr>
          <w:rFonts w:cstheme="minorHAnsi"/>
        </w:rPr>
        <w:t xml:space="preserve">power plants </w:t>
      </w:r>
      <w:r w:rsidRPr="00845D5C">
        <w:rPr>
          <w:rFonts w:cstheme="minorHAnsi"/>
        </w:rPr>
        <w:t>or under construction.</w:t>
      </w:r>
      <w:r w:rsidRPr="00845D5C">
        <w:rPr>
          <w:rStyle w:val="FootnoteReference"/>
          <w:rFonts w:cstheme="minorHAnsi"/>
        </w:rPr>
        <w:footnoteReference w:id="10"/>
      </w:r>
      <w:r w:rsidRPr="00845D5C">
        <w:rPr>
          <w:rFonts w:cstheme="minorHAnsi"/>
        </w:rPr>
        <w:t xml:space="preserve"> </w:t>
      </w:r>
      <w:r w:rsidR="00F422FE" w:rsidRPr="00845D5C">
        <w:rPr>
          <w:rFonts w:cstheme="minorHAnsi"/>
        </w:rPr>
        <w:t xml:space="preserve">(Figure 2). </w:t>
      </w:r>
      <w:r w:rsidRPr="00845D5C">
        <w:rPr>
          <w:rFonts w:cstheme="minorHAnsi"/>
        </w:rPr>
        <w:t>When combined, the GHG emissions of the largest 50 energy-related SOEs in the world would place them as the third biggest emitter among a list of GHG emissions by country, just below China and the United States.</w:t>
      </w:r>
      <w:r w:rsidRPr="00845D5C">
        <w:rPr>
          <w:rStyle w:val="FootnoteReference"/>
          <w:rFonts w:cstheme="minorHAnsi"/>
        </w:rPr>
        <w:footnoteReference w:id="11"/>
      </w:r>
      <w:r w:rsidRPr="00845D5C">
        <w:rPr>
          <w:rFonts w:cstheme="minorHAnsi"/>
        </w:rPr>
        <w:t xml:space="preserve"> In 2016, more than twice as much electricity was generated from fossil fuels (3600 GW) than from renewables (1788 GW)—of which SOEs held 60 percent and 64 percent shares, respectively.</w:t>
      </w:r>
      <w:r w:rsidR="001A0B16">
        <w:rPr>
          <w:rStyle w:val="FootnoteReference"/>
          <w:rFonts w:cstheme="minorHAnsi"/>
        </w:rPr>
        <w:footnoteReference w:id="12"/>
      </w:r>
    </w:p>
    <w:p w14:paraId="035CA304" w14:textId="77777777" w:rsidR="002C5E7B" w:rsidRPr="00845D5C" w:rsidRDefault="002C5E7B" w:rsidP="00845D5C">
      <w:pPr>
        <w:keepNext/>
        <w:keepLines/>
        <w:spacing w:after="0" w:line="240" w:lineRule="auto"/>
        <w:jc w:val="both"/>
        <w:rPr>
          <w:rFonts w:cstheme="minorHAnsi"/>
          <w:b/>
          <w:bCs/>
        </w:rPr>
      </w:pPr>
    </w:p>
    <w:p w14:paraId="0C3AB49A" w14:textId="00CDFFC2" w:rsidR="002C5E7B" w:rsidRPr="00845D5C" w:rsidRDefault="002C5E7B" w:rsidP="00845D5C">
      <w:pPr>
        <w:keepNext/>
        <w:keepLines/>
        <w:spacing w:after="0" w:line="240" w:lineRule="auto"/>
        <w:jc w:val="both"/>
        <w:rPr>
          <w:rFonts w:cstheme="minorHAnsi"/>
          <w:b/>
          <w:bCs/>
        </w:rPr>
      </w:pPr>
      <w:r w:rsidRPr="00845D5C">
        <w:rPr>
          <w:rFonts w:cstheme="minorHAnsi"/>
          <w:b/>
          <w:bCs/>
        </w:rPr>
        <w:t>Figure 2. Share of SOEs in power generation capacity tends to be larger among non-OECD than the OECD</w:t>
      </w:r>
    </w:p>
    <w:p w14:paraId="34AC2E11" w14:textId="63BCDB1C" w:rsidR="004B0874" w:rsidRPr="00845D5C" w:rsidRDefault="002C5E7B" w:rsidP="00845D5C">
      <w:pPr>
        <w:spacing w:after="0" w:line="240" w:lineRule="auto"/>
        <w:jc w:val="both"/>
        <w:rPr>
          <w:rFonts w:cstheme="minorHAnsi"/>
          <w:b/>
          <w:iCs/>
          <w:color w:val="0070C0"/>
        </w:rPr>
      </w:pPr>
      <w:r w:rsidRPr="00845D5C">
        <w:rPr>
          <w:rFonts w:cstheme="minorHAnsi"/>
          <w:noProof/>
        </w:rPr>
        <w:drawing>
          <wp:inline distT="0" distB="0" distL="0" distR="0" wp14:anchorId="57D4CE0D" wp14:editId="428AAD7D">
            <wp:extent cx="5980176" cy="2276856"/>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0176" cy="2276856"/>
                    </a:xfrm>
                    <a:prstGeom prst="rect">
                      <a:avLst/>
                    </a:prstGeom>
                  </pic:spPr>
                </pic:pic>
              </a:graphicData>
            </a:graphic>
          </wp:inline>
        </w:drawing>
      </w:r>
    </w:p>
    <w:p w14:paraId="4720BE58" w14:textId="280EA7D6" w:rsidR="002C5E7B" w:rsidRPr="00F46F36" w:rsidRDefault="002C5E7B" w:rsidP="00845D5C">
      <w:pPr>
        <w:spacing w:after="0" w:line="240" w:lineRule="auto"/>
        <w:jc w:val="both"/>
        <w:rPr>
          <w:rFonts w:cstheme="minorHAnsi"/>
          <w:i/>
          <w:iCs/>
          <w:sz w:val="20"/>
          <w:szCs w:val="20"/>
        </w:rPr>
      </w:pPr>
      <w:bookmarkStart w:id="0" w:name="_Hlk69982195"/>
      <w:r w:rsidRPr="00F46F36">
        <w:rPr>
          <w:rFonts w:cstheme="minorHAnsi"/>
          <w:i/>
          <w:iCs/>
          <w:sz w:val="20"/>
          <w:szCs w:val="20"/>
        </w:rPr>
        <w:t xml:space="preserve">Source: </w:t>
      </w:r>
      <w:bookmarkStart w:id="1" w:name="_Hlk69981652"/>
      <w:r w:rsidRPr="00F46F36">
        <w:rPr>
          <w:rFonts w:cstheme="minorHAnsi"/>
          <w:i/>
          <w:iCs/>
          <w:sz w:val="20"/>
          <w:szCs w:val="20"/>
        </w:rPr>
        <w:t>Roettgers, Dirk and Bill Below</w:t>
      </w:r>
      <w:r w:rsidR="005D2738" w:rsidRPr="00F46F36">
        <w:rPr>
          <w:rFonts w:cstheme="minorHAnsi"/>
          <w:i/>
          <w:iCs/>
          <w:sz w:val="20"/>
          <w:szCs w:val="20"/>
        </w:rPr>
        <w:t xml:space="preserve"> (2018)</w:t>
      </w:r>
      <w:r w:rsidRPr="00F46F36">
        <w:rPr>
          <w:rFonts w:cstheme="minorHAnsi"/>
          <w:i/>
          <w:iCs/>
          <w:sz w:val="20"/>
          <w:szCs w:val="20"/>
        </w:rPr>
        <w:t xml:space="preserve">.  </w:t>
      </w:r>
      <w:bookmarkEnd w:id="1"/>
    </w:p>
    <w:bookmarkEnd w:id="0"/>
    <w:p w14:paraId="5F2EA832" w14:textId="77777777" w:rsidR="002C5E7B" w:rsidRPr="00794F4F" w:rsidRDefault="002C5E7B" w:rsidP="00845D5C">
      <w:pPr>
        <w:spacing w:after="0" w:line="240" w:lineRule="auto"/>
        <w:jc w:val="both"/>
        <w:rPr>
          <w:rFonts w:cstheme="minorHAnsi"/>
          <w:b/>
          <w:bCs/>
          <w:iCs/>
          <w:color w:val="0070C0"/>
        </w:rPr>
      </w:pPr>
    </w:p>
    <w:p w14:paraId="52FEEA82" w14:textId="6DDFCF61" w:rsidR="00874E9F" w:rsidRDefault="00E0036C" w:rsidP="00EC5C92">
      <w:pPr>
        <w:keepNext/>
        <w:keepLines/>
        <w:spacing w:after="0" w:line="240" w:lineRule="auto"/>
        <w:jc w:val="both"/>
        <w:rPr>
          <w:rFonts w:cstheme="minorHAnsi"/>
          <w:b/>
          <w:bCs/>
        </w:rPr>
      </w:pPr>
      <w:r>
        <w:rPr>
          <w:rFonts w:cstheme="minorHAnsi"/>
          <w:b/>
          <w:bCs/>
        </w:rPr>
        <w:lastRenderedPageBreak/>
        <w:t>SOEs</w:t>
      </w:r>
      <w:r w:rsidR="00874E9F" w:rsidRPr="00794F4F">
        <w:rPr>
          <w:rFonts w:cstheme="minorHAnsi"/>
          <w:b/>
          <w:bCs/>
        </w:rPr>
        <w:t xml:space="preserve"> </w:t>
      </w:r>
      <w:r w:rsidR="00794F4F" w:rsidRPr="00794F4F">
        <w:rPr>
          <w:rFonts w:cstheme="minorHAnsi"/>
          <w:b/>
          <w:bCs/>
        </w:rPr>
        <w:t xml:space="preserve">could </w:t>
      </w:r>
      <w:r w:rsidR="00874E9F" w:rsidRPr="00794F4F">
        <w:rPr>
          <w:rFonts w:cstheme="minorHAnsi"/>
          <w:b/>
          <w:bCs/>
        </w:rPr>
        <w:t>play a major role</w:t>
      </w:r>
      <w:r w:rsidR="00794F4F" w:rsidRPr="00794F4F">
        <w:rPr>
          <w:rFonts w:cstheme="minorHAnsi"/>
          <w:b/>
          <w:bCs/>
        </w:rPr>
        <w:t xml:space="preserve"> in decarbonization</w:t>
      </w:r>
      <w:r w:rsidR="00874E9F" w:rsidRPr="00794F4F">
        <w:rPr>
          <w:rFonts w:cstheme="minorHAnsi"/>
          <w:b/>
          <w:bCs/>
        </w:rPr>
        <w:t xml:space="preserve"> </w:t>
      </w:r>
      <w:r w:rsidR="00506669">
        <w:rPr>
          <w:rFonts w:cstheme="minorHAnsi"/>
          <w:b/>
          <w:bCs/>
        </w:rPr>
        <w:t>and adaptation to climate change impacts</w:t>
      </w:r>
    </w:p>
    <w:p w14:paraId="53CEE623" w14:textId="77777777" w:rsidR="00250E5B" w:rsidRPr="00794F4F" w:rsidRDefault="00250E5B" w:rsidP="00EC5C92">
      <w:pPr>
        <w:keepNext/>
        <w:keepLines/>
        <w:spacing w:after="0" w:line="240" w:lineRule="auto"/>
        <w:jc w:val="both"/>
        <w:rPr>
          <w:rFonts w:cstheme="minorHAnsi"/>
          <w:b/>
          <w:bCs/>
        </w:rPr>
      </w:pPr>
    </w:p>
    <w:p w14:paraId="704D5F1A" w14:textId="765541D4" w:rsidR="00912003" w:rsidRPr="00845D5C" w:rsidRDefault="00912003" w:rsidP="00845D5C">
      <w:pPr>
        <w:spacing w:after="0" w:line="240" w:lineRule="auto"/>
        <w:jc w:val="both"/>
        <w:rPr>
          <w:rFonts w:cstheme="minorHAnsi"/>
        </w:rPr>
      </w:pPr>
      <w:r w:rsidRPr="00845D5C">
        <w:rPr>
          <w:rFonts w:cstheme="minorHAnsi"/>
        </w:rPr>
        <w:t>SOEs and their governments are positioned to directly influence climate-relevant decisions—</w:t>
      </w:r>
      <w:r w:rsidR="0050783C" w:rsidRPr="00845D5C">
        <w:rPr>
          <w:rFonts w:cstheme="minorHAnsi"/>
        </w:rPr>
        <w:t>especially</w:t>
      </w:r>
      <w:r w:rsidRPr="00845D5C">
        <w:rPr>
          <w:rFonts w:cstheme="minorHAnsi"/>
        </w:rPr>
        <w:t xml:space="preserve"> in the context of SOE public service delivery (PSD) mandates and </w:t>
      </w:r>
      <w:r w:rsidR="00BB3B9F" w:rsidRPr="00845D5C">
        <w:rPr>
          <w:rFonts w:cstheme="minorHAnsi"/>
        </w:rPr>
        <w:t>corporate social responsibility (CSR)</w:t>
      </w:r>
      <w:r w:rsidR="00781B88">
        <w:rPr>
          <w:rFonts w:cstheme="minorHAnsi"/>
        </w:rPr>
        <w:t xml:space="preserve"> mandates</w:t>
      </w:r>
      <w:r w:rsidR="00BB3B9F" w:rsidRPr="00845D5C">
        <w:rPr>
          <w:rFonts w:cstheme="minorHAnsi"/>
        </w:rPr>
        <w:t xml:space="preserve">. </w:t>
      </w:r>
      <w:r w:rsidRPr="00845D5C">
        <w:rPr>
          <w:rFonts w:cstheme="minorHAnsi"/>
        </w:rPr>
        <w:t xml:space="preserve">SOEs have performed </w:t>
      </w:r>
      <w:r w:rsidR="0050783C" w:rsidRPr="00845D5C">
        <w:rPr>
          <w:rFonts w:cstheme="minorHAnsi"/>
        </w:rPr>
        <w:t xml:space="preserve">a </w:t>
      </w:r>
      <w:r w:rsidR="00ED57E8" w:rsidRPr="00845D5C">
        <w:rPr>
          <w:rFonts w:cstheme="minorHAnsi"/>
        </w:rPr>
        <w:t xml:space="preserve">wide </w:t>
      </w:r>
      <w:r w:rsidR="0050783C" w:rsidRPr="00845D5C">
        <w:rPr>
          <w:rFonts w:cstheme="minorHAnsi"/>
        </w:rPr>
        <w:t>range of</w:t>
      </w:r>
      <w:r w:rsidRPr="00845D5C">
        <w:rPr>
          <w:rFonts w:cstheme="minorHAnsi"/>
        </w:rPr>
        <w:t xml:space="preserve"> important roles in most developing countries for decades, often in sectors that are considered strategic for the state and aimed at supporting economic development. As climate change presents systemic and existential risks</w:t>
      </w:r>
      <w:r w:rsidRPr="00845D5C">
        <w:rPr>
          <w:rFonts w:cstheme="minorHAnsi"/>
          <w:vertAlign w:val="superscript"/>
        </w:rPr>
        <w:footnoteReference w:id="13"/>
      </w:r>
      <w:r w:rsidRPr="00845D5C">
        <w:rPr>
          <w:rFonts w:cstheme="minorHAnsi"/>
        </w:rPr>
        <w:t>—to which the poor are disproportionately impacted</w:t>
      </w:r>
      <w:r w:rsidRPr="00845D5C">
        <w:rPr>
          <w:rFonts w:cstheme="minorHAnsi"/>
          <w:vertAlign w:val="superscript"/>
        </w:rPr>
        <w:footnoteReference w:id="14"/>
      </w:r>
      <w:r w:rsidRPr="00845D5C">
        <w:rPr>
          <w:rFonts w:cstheme="minorHAnsi"/>
        </w:rPr>
        <w:t xml:space="preserve">—de-carbonization and resilience </w:t>
      </w:r>
      <w:r w:rsidR="006B724D" w:rsidRPr="00845D5C">
        <w:rPr>
          <w:rFonts w:cstheme="minorHAnsi"/>
        </w:rPr>
        <w:t xml:space="preserve">of SOEs </w:t>
      </w:r>
      <w:r w:rsidRPr="00845D5C">
        <w:rPr>
          <w:rFonts w:cstheme="minorHAnsi"/>
        </w:rPr>
        <w:t xml:space="preserve">arguably fall squarely into the category of state strategic objectives. Indeed, given PSD mandates and </w:t>
      </w:r>
      <w:r w:rsidR="00BB3B9F" w:rsidRPr="00845D5C">
        <w:rPr>
          <w:rFonts w:cstheme="minorHAnsi"/>
        </w:rPr>
        <w:t>CSR accountability</w:t>
      </w:r>
      <w:r w:rsidRPr="00845D5C">
        <w:rPr>
          <w:rFonts w:cstheme="minorHAnsi"/>
        </w:rPr>
        <w:t xml:space="preserve">, climate-action for SOEs is an imperative for governments. There are many growth and development considerations, e.g., including climate-co-benefits of reduced pollution and health impacts from mitigation. Diversification out of fossil fuels would </w:t>
      </w:r>
      <w:r w:rsidR="00CB71AE" w:rsidRPr="00845D5C">
        <w:rPr>
          <w:rFonts w:cstheme="minorHAnsi"/>
        </w:rPr>
        <w:t xml:space="preserve">also </w:t>
      </w:r>
      <w:r w:rsidRPr="00845D5C">
        <w:rPr>
          <w:rFonts w:cstheme="minorHAnsi"/>
        </w:rPr>
        <w:t>reduce energy dependency for hydrocarbon importers and strengthen external account positions.</w:t>
      </w:r>
      <w:r w:rsidRPr="00845D5C">
        <w:rPr>
          <w:rFonts w:cstheme="minorHAnsi"/>
          <w:vertAlign w:val="superscript"/>
        </w:rPr>
        <w:footnoteReference w:id="15"/>
      </w:r>
      <w:r w:rsidRPr="00845D5C">
        <w:rPr>
          <w:rFonts w:cstheme="minorHAnsi"/>
        </w:rPr>
        <w:t xml:space="preserve"> </w:t>
      </w:r>
    </w:p>
    <w:p w14:paraId="71BD42E1" w14:textId="77777777" w:rsidR="0069448B" w:rsidRPr="00845D5C" w:rsidRDefault="0069448B" w:rsidP="00845D5C">
      <w:pPr>
        <w:spacing w:after="0" w:line="240" w:lineRule="auto"/>
        <w:jc w:val="both"/>
        <w:rPr>
          <w:rFonts w:cstheme="minorHAnsi"/>
        </w:rPr>
      </w:pPr>
    </w:p>
    <w:p w14:paraId="50B39557" w14:textId="3FCB5362" w:rsidR="004B0874" w:rsidRPr="00845D5C" w:rsidRDefault="004B0874" w:rsidP="00845D5C">
      <w:pPr>
        <w:spacing w:after="0" w:line="240" w:lineRule="auto"/>
        <w:jc w:val="both"/>
        <w:rPr>
          <w:rFonts w:cstheme="minorHAnsi"/>
          <w:bCs/>
          <w:i/>
        </w:rPr>
      </w:pPr>
      <w:r w:rsidRPr="00845D5C">
        <w:rPr>
          <w:rFonts w:cstheme="minorHAnsi"/>
        </w:rPr>
        <w:t xml:space="preserve">Because of their critical role in both brown and green activities, SOEs can play a major role in delivering on the needed structural shift towards de-carbonization and achieving the Paris 2030 targets. </w:t>
      </w:r>
      <w:r w:rsidR="0046647E" w:rsidRPr="00F46F36">
        <w:rPr>
          <w:rFonts w:cstheme="minorHAnsi"/>
        </w:rPr>
        <w:t>T</w:t>
      </w:r>
      <w:r w:rsidRPr="007769D9">
        <w:rPr>
          <w:rFonts w:cstheme="minorHAnsi"/>
        </w:rPr>
        <w:t>h</w:t>
      </w:r>
      <w:r w:rsidRPr="00845D5C">
        <w:rPr>
          <w:rFonts w:cstheme="minorHAnsi"/>
        </w:rPr>
        <w:t xml:space="preserve">e </w:t>
      </w:r>
      <w:r w:rsidR="007A5B9A">
        <w:rPr>
          <w:rFonts w:cstheme="minorHAnsi"/>
        </w:rPr>
        <w:t xml:space="preserve">Paris </w:t>
      </w:r>
      <w:r w:rsidRPr="00845D5C">
        <w:rPr>
          <w:rFonts w:cstheme="minorHAnsi"/>
        </w:rPr>
        <w:t>mitigation target</w:t>
      </w:r>
      <w:r w:rsidR="0004415E">
        <w:rPr>
          <w:rFonts w:cstheme="minorHAnsi"/>
        </w:rPr>
        <w:t>s</w:t>
      </w:r>
      <w:r w:rsidRPr="00845D5C">
        <w:rPr>
          <w:rFonts w:cstheme="minorHAnsi"/>
        </w:rPr>
        <w:t xml:space="preserve"> could be achieved by scaling up reforms across six key sectors:  energy, industry, agriculture and food, forestry and land use, transport, and buildings and cities</w:t>
      </w:r>
      <w:r w:rsidRPr="00845D5C">
        <w:rPr>
          <w:rStyle w:val="FootnoteReference"/>
          <w:rFonts w:cstheme="minorHAnsi"/>
        </w:rPr>
        <w:footnoteReference w:id="16"/>
      </w:r>
      <w:r w:rsidRPr="00845D5C">
        <w:rPr>
          <w:rFonts w:cstheme="minorHAnsi"/>
        </w:rPr>
        <w:t>—sectors where SOEs often are the largest operators. The greening of infrastructure investment will be critical in supporting a structural shift in economic activity to achieve de-carbonization and in determining the future emissions path. Pfeiffer et al calculate that the projected future emissions from existing power plants alone will lead to an increase in temperatures of over 2</w:t>
      </w:r>
      <w:r w:rsidRPr="00845D5C">
        <w:rPr>
          <w:rFonts w:cstheme="minorHAnsi"/>
          <w:vertAlign w:val="superscript"/>
        </w:rPr>
        <w:t>o</w:t>
      </w:r>
      <w:r w:rsidRPr="00845D5C">
        <w:rPr>
          <w:rFonts w:cstheme="minorHAnsi"/>
        </w:rPr>
        <w:t>C, and, as a consequence, in order to meet the Paris and SDG targets, global infrastructure investment must nearly all be clean from now on.</w:t>
      </w:r>
      <w:r w:rsidRPr="00845D5C">
        <w:rPr>
          <w:rStyle w:val="FootnoteReference"/>
          <w:rFonts w:cstheme="minorHAnsi"/>
        </w:rPr>
        <w:footnoteReference w:id="17"/>
      </w:r>
    </w:p>
    <w:p w14:paraId="56C29087" w14:textId="77777777" w:rsidR="000A76B9" w:rsidRPr="00845D5C" w:rsidRDefault="000A76B9" w:rsidP="00845D5C">
      <w:pPr>
        <w:spacing w:after="0" w:line="240" w:lineRule="auto"/>
        <w:jc w:val="both"/>
        <w:rPr>
          <w:rFonts w:cstheme="minorHAnsi"/>
          <w:color w:val="92D050"/>
        </w:rPr>
      </w:pPr>
    </w:p>
    <w:p w14:paraId="6AD1E92F" w14:textId="0A834018" w:rsidR="0042750D" w:rsidRPr="00845D5C" w:rsidRDefault="0042750D" w:rsidP="00845D5C">
      <w:pPr>
        <w:pStyle w:val="Default"/>
        <w:jc w:val="both"/>
        <w:rPr>
          <w:rFonts w:asciiTheme="minorHAnsi" w:hAnsiTheme="minorHAnsi" w:cstheme="minorHAnsi"/>
          <w:sz w:val="22"/>
          <w:szCs w:val="22"/>
        </w:rPr>
      </w:pPr>
      <w:r w:rsidRPr="00845D5C">
        <w:rPr>
          <w:rFonts w:asciiTheme="minorHAnsi" w:hAnsiTheme="minorHAnsi" w:cstheme="minorHAnsi"/>
          <w:color w:val="auto"/>
          <w:sz w:val="22"/>
          <w:szCs w:val="22"/>
        </w:rPr>
        <w:t xml:space="preserve">There is encouraging </w:t>
      </w:r>
      <w:r w:rsidRPr="00172971">
        <w:rPr>
          <w:rFonts w:asciiTheme="minorHAnsi" w:hAnsiTheme="minorHAnsi" w:cstheme="minorHAnsi"/>
          <w:color w:val="auto"/>
          <w:sz w:val="22"/>
          <w:szCs w:val="22"/>
        </w:rPr>
        <w:t xml:space="preserve">progress in the </w:t>
      </w:r>
      <w:r w:rsidRPr="00D178AC">
        <w:rPr>
          <w:rFonts w:asciiTheme="minorHAnsi" w:hAnsiTheme="minorHAnsi" w:cstheme="minorHAnsi"/>
          <w:color w:val="auto"/>
          <w:sz w:val="22"/>
          <w:szCs w:val="22"/>
        </w:rPr>
        <w:t>greening of SOE power sector investments—</w:t>
      </w:r>
      <w:r w:rsidRPr="00845D5C">
        <w:rPr>
          <w:rFonts w:asciiTheme="minorHAnsi" w:hAnsiTheme="minorHAnsi" w:cstheme="minorHAnsi"/>
          <w:color w:val="auto"/>
          <w:sz w:val="22"/>
          <w:szCs w:val="22"/>
        </w:rPr>
        <w:t>e.g., between 2000 and 2014, SOEs in OECD and G20 countries increased the share of renewables in their electricity capacity portfolios from 9 percent to 23 percent, and SOEs account for more than half of planned investments in renewables.</w:t>
      </w:r>
      <w:r w:rsidRPr="00845D5C">
        <w:rPr>
          <w:rStyle w:val="FootnoteReference"/>
          <w:rFonts w:asciiTheme="minorHAnsi" w:hAnsiTheme="minorHAnsi" w:cstheme="minorHAnsi"/>
          <w:color w:val="auto"/>
          <w:sz w:val="22"/>
          <w:szCs w:val="22"/>
        </w:rPr>
        <w:footnoteReference w:id="18"/>
      </w:r>
      <w:r w:rsidRPr="00845D5C">
        <w:rPr>
          <w:rFonts w:asciiTheme="minorHAnsi" w:hAnsiTheme="minorHAnsi" w:cstheme="minorHAnsi"/>
          <w:color w:val="auto"/>
          <w:sz w:val="22"/>
          <w:szCs w:val="22"/>
        </w:rPr>
        <w:t xml:space="preserve"> However, SOEs remain heavily vested in fossil fuels and account for two-thirds of power investments underway</w:t>
      </w:r>
      <w:r w:rsidR="00C56DDD">
        <w:rPr>
          <w:rFonts w:asciiTheme="minorHAnsi" w:hAnsiTheme="minorHAnsi" w:cstheme="minorHAnsi"/>
          <w:color w:val="auto"/>
          <w:sz w:val="22"/>
          <w:szCs w:val="22"/>
        </w:rPr>
        <w:t xml:space="preserve"> worldwide</w:t>
      </w:r>
      <w:r w:rsidRPr="00845D5C">
        <w:rPr>
          <w:rFonts w:asciiTheme="minorHAnsi" w:hAnsiTheme="minorHAnsi" w:cstheme="minorHAnsi"/>
          <w:color w:val="auto"/>
          <w:sz w:val="22"/>
          <w:szCs w:val="22"/>
        </w:rPr>
        <w:t xml:space="preserve">. Of </w:t>
      </w:r>
      <w:r w:rsidRPr="00845D5C">
        <w:rPr>
          <w:rFonts w:asciiTheme="minorHAnsi" w:hAnsiTheme="minorHAnsi" w:cstheme="minorHAnsi"/>
          <w:sz w:val="22"/>
          <w:szCs w:val="22"/>
        </w:rPr>
        <w:t>particular relevance, SOEs account for around two-fifths of coal powered capacity and over half of new projects in the pipeline for coal plants.</w:t>
      </w:r>
      <w:r w:rsidRPr="00845D5C">
        <w:rPr>
          <w:rStyle w:val="FootnoteReference"/>
          <w:rFonts w:asciiTheme="minorHAnsi" w:hAnsiTheme="minorHAnsi" w:cstheme="minorHAnsi"/>
          <w:sz w:val="22"/>
          <w:szCs w:val="22"/>
        </w:rPr>
        <w:footnoteReference w:id="19"/>
      </w:r>
      <w:r w:rsidRPr="00845D5C">
        <w:rPr>
          <w:rFonts w:asciiTheme="minorHAnsi" w:hAnsiTheme="minorHAnsi" w:cstheme="minorHAnsi"/>
          <w:sz w:val="22"/>
          <w:szCs w:val="22"/>
        </w:rPr>
        <w:t xml:space="preserve"> Further, while electricity generation is becoming greener, it is doing so at a relatively modest rate, and while SOEs appear to be investing more than the private sector in renewables, they unfortunately also seem to be investing more in coal plants.</w:t>
      </w:r>
      <w:r w:rsidRPr="00845D5C">
        <w:rPr>
          <w:rFonts w:asciiTheme="minorHAnsi" w:hAnsiTheme="minorHAnsi" w:cstheme="minorHAnsi"/>
          <w:color w:val="7030A0"/>
          <w:sz w:val="22"/>
          <w:szCs w:val="22"/>
        </w:rPr>
        <w:t xml:space="preserve"> </w:t>
      </w:r>
      <w:r w:rsidRPr="00845D5C">
        <w:rPr>
          <w:rFonts w:asciiTheme="minorHAnsi" w:hAnsiTheme="minorHAnsi" w:cstheme="minorHAnsi"/>
          <w:sz w:val="22"/>
          <w:szCs w:val="22"/>
        </w:rPr>
        <w:t>Power plants have long operational lives, and there is still a greater share in the electricity plant construction pipeline for fossil fuel (1842 GW) than for renewables (1160 GW).</w:t>
      </w:r>
      <w:r w:rsidRPr="00845D5C">
        <w:rPr>
          <w:rStyle w:val="FootnoteReference"/>
          <w:rFonts w:asciiTheme="minorHAnsi" w:hAnsiTheme="minorHAnsi" w:cstheme="minorHAnsi"/>
          <w:sz w:val="22"/>
          <w:szCs w:val="22"/>
        </w:rPr>
        <w:footnoteReference w:id="20"/>
      </w:r>
    </w:p>
    <w:p w14:paraId="7F89A062" w14:textId="77777777" w:rsidR="003E38D2" w:rsidRPr="00845D5C" w:rsidRDefault="003E38D2" w:rsidP="00845D5C">
      <w:pPr>
        <w:spacing w:after="0" w:line="240" w:lineRule="auto"/>
        <w:jc w:val="both"/>
        <w:rPr>
          <w:rFonts w:cstheme="minorHAnsi"/>
        </w:rPr>
      </w:pPr>
    </w:p>
    <w:p w14:paraId="1E98A276" w14:textId="1AD6C014" w:rsidR="00E74056" w:rsidRPr="00845D5C" w:rsidRDefault="007B1EFB" w:rsidP="00845D5C">
      <w:pPr>
        <w:pStyle w:val="NoSpacing"/>
        <w:jc w:val="both"/>
        <w:rPr>
          <w:rFonts w:cstheme="minorHAnsi"/>
        </w:rPr>
      </w:pPr>
      <w:r w:rsidRPr="00845D5C">
        <w:rPr>
          <w:rFonts w:cstheme="minorHAnsi"/>
        </w:rPr>
        <w:t>The W</w:t>
      </w:r>
      <w:r w:rsidR="003C0459" w:rsidRPr="00845D5C">
        <w:rPr>
          <w:rFonts w:cstheme="minorHAnsi"/>
        </w:rPr>
        <w:t xml:space="preserve">orld Bank Group’s </w:t>
      </w:r>
      <w:r w:rsidRPr="00845D5C">
        <w:rPr>
          <w:rFonts w:cstheme="minorHAnsi"/>
        </w:rPr>
        <w:t>Public-Private Infrastructure Advisory Facility (</w:t>
      </w:r>
      <w:r w:rsidR="003E38D2" w:rsidRPr="00845D5C">
        <w:rPr>
          <w:rFonts w:cstheme="minorHAnsi"/>
        </w:rPr>
        <w:t>PPIAF</w:t>
      </w:r>
      <w:r w:rsidRPr="00845D5C">
        <w:rPr>
          <w:rFonts w:cstheme="minorHAnsi"/>
        </w:rPr>
        <w:t>)</w:t>
      </w:r>
      <w:r w:rsidR="003E38D2" w:rsidRPr="00845D5C">
        <w:rPr>
          <w:rFonts w:cstheme="minorHAnsi"/>
        </w:rPr>
        <w:t xml:space="preserve"> calculates that, as of 2017, SOEs accounted for the largest share of infrastructure investment commitments in LMICs with 55 percent </w:t>
      </w:r>
      <w:r w:rsidR="003E38D2" w:rsidRPr="00845D5C">
        <w:rPr>
          <w:rFonts w:cstheme="minorHAnsi"/>
        </w:rPr>
        <w:lastRenderedPageBreak/>
        <w:t>of overall infrastructure investment, which was conducted primarily in the transport sector (50 percent) and energy sector (45 percent).</w:t>
      </w:r>
      <w:r w:rsidR="004174C8" w:rsidRPr="00845D5C">
        <w:rPr>
          <w:rStyle w:val="FootnoteReference"/>
          <w:rFonts w:cstheme="minorHAnsi"/>
        </w:rPr>
        <w:footnoteReference w:id="21"/>
      </w:r>
      <w:r w:rsidR="003E38D2" w:rsidRPr="00845D5C">
        <w:rPr>
          <w:rFonts w:cstheme="minorHAnsi"/>
        </w:rPr>
        <w:t xml:space="preserve"> (Figure </w:t>
      </w:r>
      <w:r w:rsidR="00C01624" w:rsidRPr="00845D5C">
        <w:rPr>
          <w:rFonts w:cstheme="minorHAnsi"/>
        </w:rPr>
        <w:t>3</w:t>
      </w:r>
      <w:r w:rsidR="001F5B7D">
        <w:rPr>
          <w:rFonts w:cstheme="minorHAnsi"/>
        </w:rPr>
        <w:t>, below</w:t>
      </w:r>
      <w:r w:rsidR="003E38D2" w:rsidRPr="00845D5C">
        <w:rPr>
          <w:rFonts w:cstheme="minorHAnsi"/>
        </w:rPr>
        <w:t xml:space="preserve">). </w:t>
      </w:r>
      <w:r w:rsidR="00B92972" w:rsidRPr="00845D5C">
        <w:rPr>
          <w:rFonts w:cstheme="minorHAnsi"/>
        </w:rPr>
        <w:t xml:space="preserve">Infrastructure investment is essential to achieving both de-carbonization </w:t>
      </w:r>
      <w:r w:rsidR="00B95382" w:rsidRPr="00845D5C">
        <w:rPr>
          <w:rFonts w:cstheme="minorHAnsi"/>
        </w:rPr>
        <w:t xml:space="preserve">and adaptation </w:t>
      </w:r>
      <w:r w:rsidR="00B92972" w:rsidRPr="00845D5C">
        <w:rPr>
          <w:rFonts w:cstheme="minorHAnsi"/>
        </w:rPr>
        <w:t>targets—particularly as current investments are determining the carbon path and resilience for generations to come. The typical lifespan of an electric power station is two generations, and the expected lifespan for patterns of transport links and urban development is up to ten generations.</w:t>
      </w:r>
      <w:r w:rsidR="00A01CB4" w:rsidRPr="00845D5C">
        <w:rPr>
          <w:rStyle w:val="FootnoteReference"/>
          <w:rFonts w:cstheme="minorHAnsi"/>
        </w:rPr>
        <w:footnoteReference w:id="22"/>
      </w:r>
    </w:p>
    <w:p w14:paraId="125C813C" w14:textId="77777777" w:rsidR="004D7995" w:rsidRDefault="004D7995" w:rsidP="004D7995">
      <w:pPr>
        <w:pStyle w:val="NoSpacing"/>
        <w:jc w:val="both"/>
        <w:rPr>
          <w:rFonts w:cstheme="minorHAnsi"/>
          <w:bCs/>
          <w:iCs/>
        </w:rPr>
      </w:pPr>
    </w:p>
    <w:p w14:paraId="03B9508C" w14:textId="616C49EA" w:rsidR="004D7995" w:rsidRPr="00845D5C" w:rsidRDefault="004D7995" w:rsidP="004D7995">
      <w:pPr>
        <w:pStyle w:val="NoSpacing"/>
        <w:jc w:val="both"/>
        <w:rPr>
          <w:rFonts w:cstheme="minorHAnsi"/>
          <w:bCs/>
          <w:iCs/>
        </w:rPr>
      </w:pPr>
      <w:r w:rsidRPr="00845D5C">
        <w:rPr>
          <w:rFonts w:cstheme="minorHAnsi"/>
          <w:bCs/>
          <w:iCs/>
        </w:rPr>
        <w:t>Given their critical role in infrastructure investment, SOEs can also play a central role in strengthening resilience to climate change. The latest UNEP Global Commission on Adaptation Gap report identifies five key areas of adaptation investment:  natural environment, water, cities and urban areas, infrastructure, and food security and livelihoods of small-scale producers—areas where SOEs often play a critical role, especially in LMICs.</w:t>
      </w:r>
      <w:r w:rsidRPr="00845D5C">
        <w:rPr>
          <w:rStyle w:val="FootnoteReference"/>
          <w:rFonts w:cstheme="minorHAnsi"/>
          <w:bCs/>
          <w:iCs/>
        </w:rPr>
        <w:footnoteReference w:id="23"/>
      </w:r>
      <w:r w:rsidRPr="00845D5C">
        <w:rPr>
          <w:rFonts w:cstheme="minorHAnsi"/>
          <w:bCs/>
          <w:iCs/>
        </w:rPr>
        <w:t xml:space="preserve"> Hence to improve resilience and management of climate risks, SOEs will likely need to also participate in scaling up adaptation efforts, along with mitigation. </w:t>
      </w:r>
    </w:p>
    <w:p w14:paraId="0AF88F74" w14:textId="77777777" w:rsidR="00E74056" w:rsidRPr="00845D5C" w:rsidRDefault="00E74056" w:rsidP="00845D5C">
      <w:pPr>
        <w:pStyle w:val="NoSpacing"/>
        <w:jc w:val="both"/>
        <w:rPr>
          <w:rFonts w:cstheme="minorHAnsi"/>
          <w:bCs/>
          <w:iCs/>
        </w:rPr>
      </w:pPr>
    </w:p>
    <w:p w14:paraId="689355DC" w14:textId="2FA67723" w:rsidR="003E38D2" w:rsidRPr="00845D5C" w:rsidRDefault="003E38D2" w:rsidP="00845D5C">
      <w:pPr>
        <w:pStyle w:val="NoSpacing"/>
        <w:keepNext/>
        <w:keepLines/>
        <w:jc w:val="both"/>
        <w:rPr>
          <w:rFonts w:cstheme="minorHAnsi"/>
          <w:b/>
          <w:bCs/>
        </w:rPr>
      </w:pPr>
      <w:r w:rsidRPr="00845D5C">
        <w:rPr>
          <w:rFonts w:cstheme="minorHAnsi"/>
          <w:b/>
          <w:bCs/>
        </w:rPr>
        <w:t xml:space="preserve">Figure </w:t>
      </w:r>
      <w:r w:rsidR="007B4840" w:rsidRPr="00845D5C">
        <w:rPr>
          <w:rFonts w:cstheme="minorHAnsi"/>
          <w:b/>
          <w:bCs/>
        </w:rPr>
        <w:t>3</w:t>
      </w:r>
      <w:r w:rsidRPr="00845D5C">
        <w:rPr>
          <w:rFonts w:cstheme="minorHAnsi"/>
          <w:b/>
          <w:bCs/>
        </w:rPr>
        <w:t>.</w:t>
      </w:r>
      <w:r w:rsidR="00A52019">
        <w:rPr>
          <w:rFonts w:cstheme="minorHAnsi"/>
          <w:b/>
          <w:bCs/>
        </w:rPr>
        <w:t xml:space="preserve"> </w:t>
      </w:r>
      <w:r w:rsidRPr="00845D5C">
        <w:rPr>
          <w:rFonts w:cstheme="minorHAnsi"/>
          <w:b/>
          <w:bCs/>
        </w:rPr>
        <w:t xml:space="preserve"> SOE, Public Entity, and Private Project Investment in LMICs</w:t>
      </w:r>
    </w:p>
    <w:p w14:paraId="7751C723" w14:textId="1C0E3557" w:rsidR="003E38D2" w:rsidRPr="00845D5C" w:rsidRDefault="003E38D2" w:rsidP="00845D5C">
      <w:pPr>
        <w:pStyle w:val="NoSpacing"/>
        <w:keepNext/>
        <w:keepLines/>
        <w:jc w:val="both"/>
        <w:rPr>
          <w:rFonts w:cstheme="minorHAnsi"/>
          <w:i/>
          <w:iCs/>
        </w:rPr>
      </w:pPr>
      <w:r w:rsidRPr="00845D5C">
        <w:rPr>
          <w:rFonts w:cstheme="minorHAnsi"/>
          <w:i/>
          <w:iCs/>
        </w:rPr>
        <w:t>Percent Share of Total Infrastructure Project Investment by Region, 2017*</w:t>
      </w:r>
    </w:p>
    <w:p w14:paraId="17519156" w14:textId="03A768B8" w:rsidR="003E38D2" w:rsidRPr="00845D5C" w:rsidRDefault="003E38D2" w:rsidP="00845D5C">
      <w:pPr>
        <w:pStyle w:val="NoSpacing"/>
        <w:keepNext/>
        <w:keepLines/>
        <w:jc w:val="both"/>
        <w:rPr>
          <w:rFonts w:cstheme="minorHAnsi"/>
          <w:b/>
          <w:bCs/>
          <w:i/>
          <w:iCs/>
        </w:rPr>
      </w:pPr>
      <w:r w:rsidRPr="00845D5C">
        <w:rPr>
          <w:rFonts w:cstheme="minorHAnsi"/>
          <w:noProof/>
        </w:rPr>
        <w:drawing>
          <wp:inline distT="0" distB="0" distL="0" distR="0" wp14:anchorId="3790E3D5" wp14:editId="189B8833">
            <wp:extent cx="5980176" cy="2386584"/>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0176" cy="2386584"/>
                    </a:xfrm>
                    <a:prstGeom prst="rect">
                      <a:avLst/>
                    </a:prstGeom>
                    <a:noFill/>
                    <a:ln>
                      <a:noFill/>
                    </a:ln>
                  </pic:spPr>
                </pic:pic>
              </a:graphicData>
            </a:graphic>
          </wp:inline>
        </w:drawing>
      </w:r>
    </w:p>
    <w:p w14:paraId="2F416164" w14:textId="5828C325" w:rsidR="003E38D2" w:rsidRPr="00F46F36" w:rsidRDefault="003E38D2" w:rsidP="00845D5C">
      <w:pPr>
        <w:pStyle w:val="NoSpacing"/>
        <w:jc w:val="both"/>
        <w:rPr>
          <w:rFonts w:cstheme="minorHAnsi"/>
          <w:i/>
          <w:iCs/>
          <w:sz w:val="20"/>
          <w:szCs w:val="20"/>
        </w:rPr>
      </w:pPr>
      <w:r w:rsidRPr="00F46F36">
        <w:rPr>
          <w:rFonts w:cstheme="minorHAnsi"/>
          <w:i/>
          <w:iCs/>
          <w:sz w:val="20"/>
          <w:szCs w:val="20"/>
        </w:rPr>
        <w:t xml:space="preserve">*Ranked by SOE percent share of total. Source:  PPIF </w:t>
      </w:r>
      <w:r w:rsidR="004725AA" w:rsidRPr="00F46F36">
        <w:rPr>
          <w:rFonts w:cstheme="minorHAnsi"/>
          <w:i/>
          <w:iCs/>
          <w:sz w:val="20"/>
          <w:szCs w:val="20"/>
        </w:rPr>
        <w:t>(</w:t>
      </w:r>
      <w:r w:rsidRPr="00F46F36">
        <w:rPr>
          <w:rFonts w:cstheme="minorHAnsi"/>
          <w:i/>
          <w:iCs/>
          <w:sz w:val="20"/>
          <w:szCs w:val="20"/>
        </w:rPr>
        <w:t>2017</w:t>
      </w:r>
      <w:r w:rsidR="004725AA" w:rsidRPr="00F46F36">
        <w:rPr>
          <w:rFonts w:cstheme="minorHAnsi"/>
          <w:i/>
          <w:iCs/>
          <w:sz w:val="20"/>
          <w:szCs w:val="20"/>
        </w:rPr>
        <w:t>)</w:t>
      </w:r>
      <w:r w:rsidRPr="00F46F36">
        <w:rPr>
          <w:rFonts w:cstheme="minorHAnsi"/>
          <w:i/>
          <w:iCs/>
          <w:sz w:val="20"/>
          <w:szCs w:val="20"/>
        </w:rPr>
        <w:t>.</w:t>
      </w:r>
      <w:r w:rsidR="007932E5" w:rsidRPr="00F46F36">
        <w:rPr>
          <w:rFonts w:cstheme="minorHAnsi"/>
          <w:sz w:val="20"/>
          <w:szCs w:val="20"/>
        </w:rPr>
        <w:t xml:space="preserve"> </w:t>
      </w:r>
    </w:p>
    <w:p w14:paraId="29318448" w14:textId="6BAC9838" w:rsidR="005A5387" w:rsidRPr="00845D5C" w:rsidRDefault="005A5387" w:rsidP="00845D5C">
      <w:pPr>
        <w:pStyle w:val="NoSpacing"/>
        <w:jc w:val="both"/>
        <w:rPr>
          <w:rFonts w:cstheme="minorHAnsi"/>
          <w:bCs/>
          <w:iCs/>
        </w:rPr>
      </w:pPr>
    </w:p>
    <w:p w14:paraId="19095DE3" w14:textId="77777777" w:rsidR="005D2738" w:rsidRPr="00845D5C" w:rsidRDefault="005D2738" w:rsidP="00845D5C">
      <w:pPr>
        <w:pStyle w:val="NoSpacing"/>
        <w:jc w:val="both"/>
        <w:rPr>
          <w:rFonts w:cstheme="minorHAnsi"/>
          <w:bCs/>
          <w:iCs/>
        </w:rPr>
      </w:pPr>
    </w:p>
    <w:p w14:paraId="718B4313" w14:textId="0C24C9B1" w:rsidR="00497D98" w:rsidRPr="00845D5C" w:rsidRDefault="003E38D2" w:rsidP="00ED5DA2">
      <w:pPr>
        <w:pStyle w:val="NoSpacing"/>
        <w:keepNext/>
        <w:keepLines/>
        <w:numPr>
          <w:ilvl w:val="0"/>
          <w:numId w:val="21"/>
        </w:numPr>
        <w:jc w:val="both"/>
        <w:rPr>
          <w:rFonts w:cstheme="minorHAnsi"/>
          <w:b/>
          <w:iCs/>
          <w:color w:val="0070C0"/>
        </w:rPr>
      </w:pPr>
      <w:r w:rsidRPr="00845D5C">
        <w:rPr>
          <w:rFonts w:cstheme="minorHAnsi"/>
          <w:b/>
          <w:iCs/>
          <w:color w:val="0070C0"/>
        </w:rPr>
        <w:t xml:space="preserve"> </w:t>
      </w:r>
      <w:bookmarkStart w:id="2" w:name="_Hlk72436442"/>
      <w:bookmarkStart w:id="3" w:name="_Hlk70424276"/>
      <w:r w:rsidR="00944886" w:rsidRPr="00845D5C">
        <w:rPr>
          <w:rFonts w:cstheme="minorHAnsi"/>
          <w:b/>
          <w:iCs/>
          <w:color w:val="0070C0"/>
        </w:rPr>
        <w:t>Considerations for integrating climate into SOE</w:t>
      </w:r>
      <w:r w:rsidR="00312336" w:rsidRPr="00845D5C">
        <w:rPr>
          <w:rFonts w:cstheme="minorHAnsi"/>
          <w:b/>
          <w:iCs/>
          <w:color w:val="0070C0"/>
        </w:rPr>
        <w:t xml:space="preserve"> policies</w:t>
      </w:r>
      <w:r w:rsidR="00A32929" w:rsidRPr="00845D5C">
        <w:rPr>
          <w:rFonts w:cstheme="minorHAnsi"/>
          <w:b/>
          <w:iCs/>
          <w:color w:val="0070C0"/>
        </w:rPr>
        <w:t xml:space="preserve">:  literature and </w:t>
      </w:r>
      <w:r w:rsidR="00405C8A" w:rsidRPr="00845D5C">
        <w:rPr>
          <w:rFonts w:cstheme="minorHAnsi"/>
          <w:b/>
          <w:iCs/>
          <w:color w:val="0070C0"/>
        </w:rPr>
        <w:t>emerging</w:t>
      </w:r>
      <w:r w:rsidR="00A32929" w:rsidRPr="00845D5C">
        <w:rPr>
          <w:rFonts w:cstheme="minorHAnsi"/>
          <w:b/>
          <w:iCs/>
          <w:color w:val="0070C0"/>
        </w:rPr>
        <w:t xml:space="preserve"> </w:t>
      </w:r>
      <w:r w:rsidR="00021358" w:rsidRPr="00845D5C">
        <w:rPr>
          <w:rFonts w:cstheme="minorHAnsi"/>
          <w:b/>
          <w:iCs/>
          <w:color w:val="0070C0"/>
        </w:rPr>
        <w:t>approaches</w:t>
      </w:r>
      <w:bookmarkEnd w:id="2"/>
    </w:p>
    <w:bookmarkEnd w:id="3"/>
    <w:p w14:paraId="3E5DE36C" w14:textId="77777777" w:rsidR="00845D5C" w:rsidRPr="00F46F36" w:rsidRDefault="00845D5C" w:rsidP="00845D5C">
      <w:pPr>
        <w:spacing w:after="0" w:line="240" w:lineRule="auto"/>
        <w:jc w:val="both"/>
        <w:rPr>
          <w:rFonts w:cstheme="minorHAnsi"/>
        </w:rPr>
      </w:pPr>
    </w:p>
    <w:p w14:paraId="39398EB7" w14:textId="764AA9B2" w:rsidR="002624EE" w:rsidRPr="00F46F36" w:rsidRDefault="002624EE" w:rsidP="00845D5C">
      <w:pPr>
        <w:spacing w:after="0" w:line="240" w:lineRule="auto"/>
        <w:jc w:val="both"/>
        <w:rPr>
          <w:rFonts w:cstheme="minorHAnsi"/>
        </w:rPr>
      </w:pPr>
      <w:r w:rsidRPr="00F46F36">
        <w:rPr>
          <w:rFonts w:cstheme="minorHAnsi"/>
        </w:rPr>
        <w:t>Despite an oft</w:t>
      </w:r>
      <w:r w:rsidR="00845D5C" w:rsidRPr="00F46F36">
        <w:rPr>
          <w:rFonts w:cstheme="minorHAnsi"/>
        </w:rPr>
        <w:t xml:space="preserve">en </w:t>
      </w:r>
      <w:r w:rsidRPr="00F46F36">
        <w:rPr>
          <w:rFonts w:cstheme="minorHAnsi"/>
        </w:rPr>
        <w:t>justified reputation for inefficiencies and corruption, there is significant evidence that well-governed SOEs “can play their part in the pursuit of global public goods, such as protecting the environment (e.g., by moving toward cleaner sources of energy in the power sector).”</w:t>
      </w:r>
      <w:r w:rsidRPr="00F46F36">
        <w:rPr>
          <w:rStyle w:val="FootnoteReference"/>
          <w:rFonts w:cstheme="minorHAnsi"/>
        </w:rPr>
        <w:footnoteReference w:id="24"/>
      </w:r>
      <w:r w:rsidRPr="00F46F36">
        <w:rPr>
          <w:rFonts w:cstheme="minorHAnsi"/>
        </w:rPr>
        <w:t xml:space="preserve"> </w:t>
      </w:r>
      <w:r w:rsidR="00346AB9" w:rsidRPr="00F46F36">
        <w:rPr>
          <w:rFonts w:cstheme="minorHAnsi"/>
        </w:rPr>
        <w:t>Indeed, a</w:t>
      </w:r>
      <w:r w:rsidRPr="00F46F36">
        <w:rPr>
          <w:rFonts w:cstheme="minorHAnsi"/>
        </w:rPr>
        <w:t>lignment of climate action policies through SOE sectors</w:t>
      </w:r>
      <w:r w:rsidR="006229EC" w:rsidRPr="00F46F36">
        <w:rPr>
          <w:rFonts w:cstheme="minorHAnsi"/>
        </w:rPr>
        <w:t>,</w:t>
      </w:r>
      <w:r w:rsidRPr="00F46F36">
        <w:rPr>
          <w:rFonts w:cstheme="minorHAnsi"/>
        </w:rPr>
        <w:t xml:space="preserve"> </w:t>
      </w:r>
      <w:r w:rsidR="006229EC" w:rsidRPr="00F46F36">
        <w:rPr>
          <w:rFonts w:cstheme="minorHAnsi"/>
        </w:rPr>
        <w:t xml:space="preserve">including by lowering climate change impact and transition risks, </w:t>
      </w:r>
      <w:r w:rsidR="00346AB9" w:rsidRPr="00F46F36">
        <w:rPr>
          <w:rFonts w:cstheme="minorHAnsi"/>
        </w:rPr>
        <w:t xml:space="preserve">could </w:t>
      </w:r>
      <w:r w:rsidRPr="00F46F36">
        <w:rPr>
          <w:rFonts w:cstheme="minorHAnsi"/>
        </w:rPr>
        <w:t>strengthen SOE efficiency and competitiveness</w:t>
      </w:r>
      <w:r w:rsidR="006229EC" w:rsidRPr="00F46F36">
        <w:rPr>
          <w:rFonts w:cstheme="minorHAnsi"/>
        </w:rPr>
        <w:t xml:space="preserve"> that</w:t>
      </w:r>
      <w:r w:rsidRPr="00F46F36">
        <w:rPr>
          <w:rFonts w:cstheme="minorHAnsi"/>
        </w:rPr>
        <w:t xml:space="preserve"> are central to effective PSD and economic development. The efficacy of </w:t>
      </w:r>
      <w:r w:rsidR="00346AB9" w:rsidRPr="00F46F36">
        <w:rPr>
          <w:rFonts w:cstheme="minorHAnsi"/>
        </w:rPr>
        <w:t xml:space="preserve">climate </w:t>
      </w:r>
      <w:r w:rsidRPr="00F46F36">
        <w:rPr>
          <w:rFonts w:cstheme="minorHAnsi"/>
        </w:rPr>
        <w:t>policies</w:t>
      </w:r>
      <w:r w:rsidR="003F6E6F" w:rsidRPr="00F46F36">
        <w:rPr>
          <w:rFonts w:cstheme="minorHAnsi"/>
        </w:rPr>
        <w:t xml:space="preserve"> for SOEs</w:t>
      </w:r>
      <w:r w:rsidRPr="00F46F36">
        <w:rPr>
          <w:rFonts w:cstheme="minorHAnsi"/>
        </w:rPr>
        <w:t xml:space="preserve"> </w:t>
      </w:r>
      <w:r w:rsidR="00553B6E" w:rsidRPr="00F46F36">
        <w:rPr>
          <w:rFonts w:cstheme="minorHAnsi"/>
        </w:rPr>
        <w:t xml:space="preserve">would </w:t>
      </w:r>
      <w:r w:rsidRPr="00F46F36">
        <w:rPr>
          <w:rFonts w:cstheme="minorHAnsi"/>
        </w:rPr>
        <w:t xml:space="preserve">be supported by </w:t>
      </w:r>
      <w:r w:rsidR="004F0B4A" w:rsidRPr="00F46F36">
        <w:rPr>
          <w:rFonts w:cstheme="minorHAnsi"/>
        </w:rPr>
        <w:t xml:space="preserve">good </w:t>
      </w:r>
      <w:r w:rsidRPr="00F46F36">
        <w:rPr>
          <w:rFonts w:cstheme="minorHAnsi"/>
        </w:rPr>
        <w:t>governance practices that are essential to maximizing efficiency, e.g., through well-defined objectives and clear rationale of ownership, clear lines of accountability</w:t>
      </w:r>
      <w:r w:rsidR="00844895" w:rsidRPr="00F46F36">
        <w:rPr>
          <w:rFonts w:cstheme="minorHAnsi"/>
        </w:rPr>
        <w:t xml:space="preserve">. These practices would include </w:t>
      </w:r>
      <w:r w:rsidRPr="00F46F36">
        <w:rPr>
          <w:rFonts w:cstheme="minorHAnsi"/>
        </w:rPr>
        <w:t xml:space="preserve">ensuring economic objectives </w:t>
      </w:r>
      <w:r w:rsidRPr="00F46F36">
        <w:rPr>
          <w:rFonts w:cstheme="minorHAnsi"/>
        </w:rPr>
        <w:lastRenderedPageBreak/>
        <w:t>account</w:t>
      </w:r>
      <w:r w:rsidR="007B529D" w:rsidRPr="00F46F36">
        <w:rPr>
          <w:rFonts w:cstheme="minorHAnsi"/>
        </w:rPr>
        <w:t xml:space="preserve"> for</w:t>
      </w:r>
      <w:r w:rsidRPr="00F46F36">
        <w:rPr>
          <w:rFonts w:cstheme="minorHAnsi"/>
        </w:rPr>
        <w:t xml:space="preserve"> </w:t>
      </w:r>
      <w:r w:rsidR="00BB3B9F" w:rsidRPr="00F46F36">
        <w:rPr>
          <w:rFonts w:cstheme="minorHAnsi"/>
        </w:rPr>
        <w:t xml:space="preserve">CSR </w:t>
      </w:r>
      <w:r w:rsidRPr="00F46F36">
        <w:rPr>
          <w:rFonts w:cstheme="minorHAnsi"/>
        </w:rPr>
        <w:t xml:space="preserve">objectives, and </w:t>
      </w:r>
      <w:r w:rsidR="007906D5" w:rsidRPr="00F46F36">
        <w:rPr>
          <w:rFonts w:cstheme="minorHAnsi"/>
        </w:rPr>
        <w:t xml:space="preserve">provide for </w:t>
      </w:r>
      <w:r w:rsidRPr="00F46F36">
        <w:rPr>
          <w:rFonts w:cstheme="minorHAnsi"/>
        </w:rPr>
        <w:t>regular and publicly disclosed reporting on the performance of the SOE portfolio</w:t>
      </w:r>
      <w:r w:rsidR="00746CD8" w:rsidRPr="00F46F36">
        <w:rPr>
          <w:rFonts w:cstheme="minorHAnsi"/>
        </w:rPr>
        <w:t xml:space="preserve">, including for </w:t>
      </w:r>
      <w:r w:rsidR="00224816" w:rsidRPr="00F46F36">
        <w:rPr>
          <w:rFonts w:cstheme="minorHAnsi"/>
        </w:rPr>
        <w:t>climate-relevant activities</w:t>
      </w:r>
      <w:r w:rsidRPr="00F46F36">
        <w:rPr>
          <w:rFonts w:cstheme="minorHAnsi"/>
        </w:rPr>
        <w:t>.</w:t>
      </w:r>
      <w:r w:rsidRPr="00F46F36">
        <w:rPr>
          <w:rStyle w:val="FootnoteReference"/>
          <w:rFonts w:cstheme="minorHAnsi"/>
        </w:rPr>
        <w:footnoteReference w:id="25"/>
      </w:r>
      <w:r w:rsidRPr="00F46F36">
        <w:rPr>
          <w:rFonts w:cstheme="minorHAnsi"/>
        </w:rPr>
        <w:t xml:space="preserve"> </w:t>
      </w:r>
    </w:p>
    <w:p w14:paraId="1741755C" w14:textId="77777777" w:rsidR="002624EE" w:rsidRPr="00F46F36" w:rsidRDefault="002624EE" w:rsidP="00845D5C">
      <w:pPr>
        <w:pStyle w:val="NoSpacing"/>
        <w:jc w:val="both"/>
        <w:rPr>
          <w:rFonts w:cstheme="minorHAnsi"/>
          <w:b/>
          <w:iCs/>
          <w:color w:val="0070C0"/>
        </w:rPr>
      </w:pPr>
    </w:p>
    <w:p w14:paraId="11284449" w14:textId="0964FFAC" w:rsidR="00506669" w:rsidRPr="00F46F36" w:rsidRDefault="000844AD" w:rsidP="00506669">
      <w:pPr>
        <w:pStyle w:val="NoSpacing"/>
        <w:jc w:val="both"/>
        <w:rPr>
          <w:rFonts w:cstheme="minorHAnsi"/>
          <w:b/>
          <w:bCs/>
          <w:iCs/>
        </w:rPr>
      </w:pPr>
      <w:r w:rsidRPr="00F46F36">
        <w:rPr>
          <w:rFonts w:cstheme="minorHAnsi"/>
          <w:b/>
          <w:bCs/>
        </w:rPr>
        <w:t>With</w:t>
      </w:r>
      <w:r w:rsidR="00506669" w:rsidRPr="00F46F36">
        <w:rPr>
          <w:rFonts w:cstheme="minorHAnsi"/>
          <w:b/>
          <w:bCs/>
        </w:rPr>
        <w:t xml:space="preserve"> complex mandates</w:t>
      </w:r>
      <w:r w:rsidR="004F5055" w:rsidRPr="00F46F36">
        <w:rPr>
          <w:rFonts w:cstheme="minorHAnsi"/>
          <w:b/>
          <w:bCs/>
        </w:rPr>
        <w:t>,</w:t>
      </w:r>
      <w:r w:rsidR="00506669" w:rsidRPr="00F46F36">
        <w:rPr>
          <w:rFonts w:cstheme="minorHAnsi"/>
          <w:b/>
          <w:bCs/>
        </w:rPr>
        <w:t xml:space="preserve"> </w:t>
      </w:r>
      <w:r w:rsidRPr="00F46F36">
        <w:rPr>
          <w:rFonts w:cstheme="minorHAnsi"/>
          <w:b/>
          <w:bCs/>
        </w:rPr>
        <w:t>SOE</w:t>
      </w:r>
      <w:r w:rsidR="00506669" w:rsidRPr="00F46F36">
        <w:rPr>
          <w:rFonts w:cstheme="minorHAnsi"/>
          <w:b/>
          <w:bCs/>
        </w:rPr>
        <w:t xml:space="preserve"> </w:t>
      </w:r>
      <w:r w:rsidR="0030079C" w:rsidRPr="00F46F36">
        <w:rPr>
          <w:rFonts w:cstheme="minorHAnsi"/>
          <w:b/>
          <w:bCs/>
        </w:rPr>
        <w:t xml:space="preserve">incentive </w:t>
      </w:r>
      <w:r w:rsidR="00AA7E02" w:rsidRPr="00F46F36">
        <w:rPr>
          <w:rFonts w:cstheme="minorHAnsi"/>
          <w:b/>
          <w:bCs/>
        </w:rPr>
        <w:t>structures</w:t>
      </w:r>
      <w:r w:rsidR="00A7424C" w:rsidRPr="00F46F36">
        <w:rPr>
          <w:rFonts w:cstheme="minorHAnsi"/>
          <w:b/>
          <w:bCs/>
        </w:rPr>
        <w:t xml:space="preserve"> </w:t>
      </w:r>
      <w:r w:rsidR="00AA7E02" w:rsidRPr="00F46F36">
        <w:rPr>
          <w:rFonts w:cstheme="minorHAnsi"/>
          <w:b/>
          <w:bCs/>
        </w:rPr>
        <w:t>may not</w:t>
      </w:r>
      <w:r w:rsidR="00A7424C" w:rsidRPr="00F46F36">
        <w:rPr>
          <w:rFonts w:cstheme="minorHAnsi"/>
          <w:b/>
          <w:bCs/>
        </w:rPr>
        <w:t xml:space="preserve"> </w:t>
      </w:r>
      <w:r w:rsidR="00506669" w:rsidRPr="00F46F36">
        <w:rPr>
          <w:rFonts w:cstheme="minorHAnsi"/>
          <w:b/>
          <w:bCs/>
        </w:rPr>
        <w:t>reflect</w:t>
      </w:r>
      <w:r w:rsidRPr="00F46F36">
        <w:rPr>
          <w:rFonts w:cstheme="minorHAnsi"/>
          <w:b/>
          <w:bCs/>
        </w:rPr>
        <w:t xml:space="preserve"> government </w:t>
      </w:r>
      <w:r w:rsidR="00A7424C" w:rsidRPr="00F46F36">
        <w:rPr>
          <w:rFonts w:cstheme="minorHAnsi"/>
          <w:b/>
          <w:bCs/>
        </w:rPr>
        <w:t xml:space="preserve">climate </w:t>
      </w:r>
      <w:r w:rsidRPr="00F46F36">
        <w:rPr>
          <w:rFonts w:cstheme="minorHAnsi"/>
          <w:b/>
          <w:bCs/>
        </w:rPr>
        <w:t>objectives</w:t>
      </w:r>
      <w:r w:rsidR="00506669" w:rsidRPr="00F46F36">
        <w:rPr>
          <w:rFonts w:cstheme="minorHAnsi"/>
          <w:b/>
          <w:bCs/>
        </w:rPr>
        <w:t xml:space="preserve"> </w:t>
      </w:r>
    </w:p>
    <w:p w14:paraId="1424B788" w14:textId="77777777" w:rsidR="00250E5B" w:rsidRPr="00F46F36" w:rsidRDefault="00250E5B" w:rsidP="00845D5C">
      <w:pPr>
        <w:pStyle w:val="NoSpacing"/>
        <w:jc w:val="both"/>
        <w:rPr>
          <w:rFonts w:cstheme="minorHAnsi"/>
        </w:rPr>
      </w:pPr>
    </w:p>
    <w:p w14:paraId="34699C7F" w14:textId="295CFC5D" w:rsidR="003E38D2" w:rsidRPr="00F46F36" w:rsidRDefault="003E38D2" w:rsidP="00845D5C">
      <w:pPr>
        <w:pStyle w:val="NoSpacing"/>
        <w:jc w:val="both"/>
        <w:rPr>
          <w:rFonts w:cstheme="minorHAnsi"/>
        </w:rPr>
      </w:pPr>
      <w:r w:rsidRPr="00F46F36">
        <w:rPr>
          <w:rFonts w:cstheme="minorHAnsi"/>
        </w:rPr>
        <w:t>SOEs often face a more complex governing structure and set of incentives than private sector companies.</w:t>
      </w:r>
      <w:r w:rsidR="00B576A4" w:rsidRPr="00F46F36">
        <w:rPr>
          <w:rFonts w:cstheme="minorHAnsi"/>
        </w:rPr>
        <w:t xml:space="preserve"> </w:t>
      </w:r>
      <w:r w:rsidRPr="00F46F36">
        <w:rPr>
          <w:rFonts w:cstheme="minorHAnsi"/>
        </w:rPr>
        <w:t xml:space="preserve"> </w:t>
      </w:r>
      <w:r w:rsidR="00494C0E" w:rsidRPr="00F46F36">
        <w:rPr>
          <w:rFonts w:cstheme="minorHAnsi"/>
        </w:rPr>
        <w:t xml:space="preserve">Generally, </w:t>
      </w:r>
      <w:r w:rsidRPr="00F46F36">
        <w:rPr>
          <w:rFonts w:cstheme="minorHAnsi"/>
        </w:rPr>
        <w:t xml:space="preserve">SOEs are </w:t>
      </w:r>
      <w:r w:rsidR="006229EC" w:rsidRPr="00F46F36">
        <w:rPr>
          <w:rFonts w:cstheme="minorHAnsi"/>
        </w:rPr>
        <w:t xml:space="preserve">tasked </w:t>
      </w:r>
      <w:r w:rsidRPr="00F46F36">
        <w:rPr>
          <w:rFonts w:cstheme="minorHAnsi"/>
        </w:rPr>
        <w:t>with public service mandates—and</w:t>
      </w:r>
      <w:r w:rsidR="00B8264B" w:rsidRPr="00F46F36">
        <w:rPr>
          <w:rFonts w:cstheme="minorHAnsi"/>
        </w:rPr>
        <w:t>,</w:t>
      </w:r>
      <w:r w:rsidRPr="00F46F36">
        <w:rPr>
          <w:rFonts w:cstheme="minorHAnsi"/>
        </w:rPr>
        <w:t xml:space="preserve"> as </w:t>
      </w:r>
      <w:r w:rsidR="00B576A4" w:rsidRPr="00F46F36">
        <w:rPr>
          <w:rFonts w:cstheme="minorHAnsi"/>
        </w:rPr>
        <w:t xml:space="preserve">Prag et al </w:t>
      </w:r>
      <w:r w:rsidRPr="00F46F36">
        <w:rPr>
          <w:rFonts w:cstheme="minorHAnsi"/>
        </w:rPr>
        <w:t>argue</w:t>
      </w:r>
      <w:r w:rsidR="00224816" w:rsidRPr="00F46F36">
        <w:rPr>
          <w:rFonts w:cstheme="minorHAnsi"/>
        </w:rPr>
        <w:t xml:space="preserve"> (2018)</w:t>
      </w:r>
      <w:r w:rsidRPr="00F46F36">
        <w:rPr>
          <w:rFonts w:cstheme="minorHAnsi"/>
        </w:rPr>
        <w:t xml:space="preserve">, “[governments] with SOE holdings can pursue firm-level energy policies through mandating </w:t>
      </w:r>
      <w:r w:rsidR="00B576A4" w:rsidRPr="00F46F36">
        <w:rPr>
          <w:rFonts w:cstheme="minorHAnsi"/>
        </w:rPr>
        <w:t>SOEs</w:t>
      </w:r>
      <w:r w:rsidRPr="00F46F36">
        <w:rPr>
          <w:rFonts w:cstheme="minorHAnsi"/>
        </w:rPr>
        <w:t xml:space="preserve"> to invest in specific electricity generation technologies.”</w:t>
      </w:r>
      <w:r w:rsidR="004933B4" w:rsidRPr="00F46F36">
        <w:rPr>
          <w:rStyle w:val="FootnoteReference"/>
          <w:rFonts w:cstheme="minorHAnsi"/>
        </w:rPr>
        <w:footnoteReference w:id="26"/>
      </w:r>
      <w:r w:rsidRPr="00F46F36">
        <w:rPr>
          <w:rFonts w:cstheme="minorHAnsi"/>
        </w:rPr>
        <w:t xml:space="preserve"> However, there are many significant actors who influence corporate decision-making in SOEs</w:t>
      </w:r>
      <w:r w:rsidR="00B576A4" w:rsidRPr="00F46F36">
        <w:rPr>
          <w:rFonts w:cstheme="minorHAnsi"/>
        </w:rPr>
        <w:t xml:space="preserve">, and </w:t>
      </w:r>
      <w:r w:rsidRPr="00F46F36">
        <w:rPr>
          <w:rFonts w:cstheme="minorHAnsi"/>
        </w:rPr>
        <w:t xml:space="preserve">some political actors, for example, may represent interests that focus on keeping energy costs low despite the environmental costs. SOEs are often insulated from the disciplines of market forces—but, this can be a </w:t>
      </w:r>
      <w:r w:rsidR="00494C0E" w:rsidRPr="00F46F36">
        <w:rPr>
          <w:rFonts w:cstheme="minorHAnsi"/>
        </w:rPr>
        <w:t>double</w:t>
      </w:r>
      <w:r w:rsidRPr="00F46F36">
        <w:rPr>
          <w:rFonts w:cstheme="minorHAnsi"/>
        </w:rPr>
        <w:t>-edge</w:t>
      </w:r>
      <w:r w:rsidR="00494C0E" w:rsidRPr="00F46F36">
        <w:rPr>
          <w:rFonts w:cstheme="minorHAnsi"/>
        </w:rPr>
        <w:t>d</w:t>
      </w:r>
      <w:r w:rsidRPr="00F46F36">
        <w:rPr>
          <w:rFonts w:cstheme="minorHAnsi"/>
        </w:rPr>
        <w:t xml:space="preserve"> sword. </w:t>
      </w:r>
      <w:r w:rsidR="00494C0E" w:rsidRPr="00F46F36">
        <w:rPr>
          <w:rFonts w:cstheme="minorHAnsi"/>
        </w:rPr>
        <w:t>On the one hand, i</w:t>
      </w:r>
      <w:r w:rsidRPr="00F46F36">
        <w:rPr>
          <w:rFonts w:cstheme="minorHAnsi"/>
        </w:rPr>
        <w:t xml:space="preserve">n meeting economic development and social welfare mandates (including low prices and high employment), as well as expectations of some SOEs to generate fiscal revenue for the government, SOEs can be at a competitive disadvantage relative to their private sector counterparts, limiting their capacity to invest in green technologies. On the other hand, of course, SOEs often receive preferential treatment—which is an important consideration, </w:t>
      </w:r>
      <w:r w:rsidR="00533BEC" w:rsidRPr="00F46F36">
        <w:rPr>
          <w:rFonts w:cstheme="minorHAnsi"/>
        </w:rPr>
        <w:t xml:space="preserve">e.g., </w:t>
      </w:r>
      <w:r w:rsidRPr="00F46F36">
        <w:rPr>
          <w:rFonts w:cstheme="minorHAnsi"/>
        </w:rPr>
        <w:t xml:space="preserve">given the large up-front capital costs of building power plants. </w:t>
      </w:r>
      <w:r w:rsidR="003F550A" w:rsidRPr="00F46F36">
        <w:rPr>
          <w:rFonts w:cstheme="minorHAnsi"/>
        </w:rPr>
        <w:t xml:space="preserve">SOEs often benefit from government protections and financial support, which may also limit their responsiveness to carbon-pricing mechanisms. </w:t>
      </w:r>
      <w:r w:rsidRPr="00F46F36">
        <w:rPr>
          <w:rFonts w:cstheme="minorHAnsi"/>
        </w:rPr>
        <w:t xml:space="preserve">Nevertheless, Benoit </w:t>
      </w:r>
      <w:r w:rsidR="00224816" w:rsidRPr="00F46F36">
        <w:rPr>
          <w:rFonts w:cstheme="minorHAnsi"/>
        </w:rPr>
        <w:t xml:space="preserve">(2019) </w:t>
      </w:r>
      <w:r w:rsidRPr="00F46F36">
        <w:rPr>
          <w:rFonts w:cstheme="minorHAnsi"/>
        </w:rPr>
        <w:t>argue</w:t>
      </w:r>
      <w:r w:rsidR="002624EE" w:rsidRPr="00F46F36">
        <w:rPr>
          <w:rFonts w:cstheme="minorHAnsi"/>
        </w:rPr>
        <w:t xml:space="preserve">s </w:t>
      </w:r>
      <w:r w:rsidRPr="00F46F36">
        <w:rPr>
          <w:rFonts w:cstheme="minorHAnsi"/>
        </w:rPr>
        <w:t>that</w:t>
      </w:r>
      <w:r w:rsidR="00494C0E" w:rsidRPr="00F46F36">
        <w:rPr>
          <w:rFonts w:cstheme="minorHAnsi"/>
        </w:rPr>
        <w:t>,</w:t>
      </w:r>
      <w:r w:rsidRPr="00F46F36">
        <w:rPr>
          <w:rFonts w:cstheme="minorHAnsi"/>
        </w:rPr>
        <w:t xml:space="preserve"> while it is often assumed</w:t>
      </w:r>
      <w:r w:rsidR="00494C0E" w:rsidRPr="00F46F36">
        <w:rPr>
          <w:rFonts w:cstheme="minorHAnsi"/>
        </w:rPr>
        <w:t xml:space="preserve"> SOEs are beholden to governments, </w:t>
      </w:r>
      <w:r w:rsidRPr="00F46F36">
        <w:rPr>
          <w:rFonts w:cstheme="minorHAnsi"/>
        </w:rPr>
        <w:t>given their ownership structures and public-service mandates, many SOEs have significant political influence in their own right, and may be able to resist government policy objectives.</w:t>
      </w:r>
      <w:r w:rsidR="002624EE" w:rsidRPr="00F46F36">
        <w:rPr>
          <w:rStyle w:val="FootnoteReference"/>
          <w:rFonts w:cstheme="minorHAnsi"/>
        </w:rPr>
        <w:footnoteReference w:id="27"/>
      </w:r>
      <w:r w:rsidR="002624EE" w:rsidRPr="00F46F36">
        <w:rPr>
          <w:rFonts w:cstheme="minorHAnsi"/>
        </w:rPr>
        <w:t xml:space="preserve"> </w:t>
      </w:r>
    </w:p>
    <w:p w14:paraId="52A57506" w14:textId="443DC7BD" w:rsidR="003E38D2" w:rsidRPr="00F46F36" w:rsidRDefault="003E38D2" w:rsidP="00845D5C">
      <w:pPr>
        <w:pStyle w:val="NoSpacing"/>
        <w:jc w:val="both"/>
        <w:rPr>
          <w:rFonts w:cstheme="minorHAnsi"/>
          <w:bCs/>
          <w:iCs/>
        </w:rPr>
      </w:pPr>
    </w:p>
    <w:p w14:paraId="5190DA92" w14:textId="1D23E9FA" w:rsidR="003E38D2" w:rsidRPr="00CE791B" w:rsidRDefault="00A536AA" w:rsidP="00845D5C">
      <w:pPr>
        <w:pStyle w:val="NoSpacing"/>
        <w:jc w:val="both"/>
        <w:rPr>
          <w:rFonts w:cstheme="minorHAnsi"/>
        </w:rPr>
      </w:pPr>
      <w:r w:rsidRPr="00F46F36">
        <w:rPr>
          <w:rFonts w:cstheme="minorHAnsi"/>
        </w:rPr>
        <w:t xml:space="preserve">While </w:t>
      </w:r>
      <w:r w:rsidR="00F607DA" w:rsidRPr="00F46F36">
        <w:rPr>
          <w:rFonts w:cstheme="minorHAnsi"/>
        </w:rPr>
        <w:t>studies</w:t>
      </w:r>
      <w:r w:rsidRPr="00F46F36">
        <w:rPr>
          <w:rFonts w:cstheme="minorHAnsi"/>
        </w:rPr>
        <w:t xml:space="preserve"> on SOEs and climate policy </w:t>
      </w:r>
      <w:r w:rsidR="00F607DA" w:rsidRPr="00F46F36">
        <w:rPr>
          <w:rFonts w:cstheme="minorHAnsi"/>
        </w:rPr>
        <w:t xml:space="preserve">is </w:t>
      </w:r>
      <w:r w:rsidR="00FD117D" w:rsidRPr="00F46F36">
        <w:rPr>
          <w:rFonts w:cstheme="minorHAnsi"/>
        </w:rPr>
        <w:t xml:space="preserve">limited, </w:t>
      </w:r>
      <w:r w:rsidR="002662A3" w:rsidRPr="00F46F36">
        <w:rPr>
          <w:rFonts w:cstheme="minorHAnsi"/>
        </w:rPr>
        <w:t>especially</w:t>
      </w:r>
      <w:r w:rsidR="00FD117D" w:rsidRPr="00F46F36">
        <w:rPr>
          <w:rFonts w:cstheme="minorHAnsi"/>
        </w:rPr>
        <w:t xml:space="preserve"> for LMICs</w:t>
      </w:r>
      <w:r w:rsidR="00F607DA" w:rsidRPr="00F46F36">
        <w:rPr>
          <w:rFonts w:cstheme="minorHAnsi"/>
        </w:rPr>
        <w:t>, r</w:t>
      </w:r>
      <w:r w:rsidR="00D74EFD" w:rsidRPr="00F46F36">
        <w:rPr>
          <w:rFonts w:cstheme="minorHAnsi"/>
        </w:rPr>
        <w:t xml:space="preserve">ecent research suggests that </w:t>
      </w:r>
      <w:r w:rsidR="003E38D2" w:rsidRPr="00F46F36">
        <w:rPr>
          <w:rFonts w:cstheme="minorHAnsi"/>
        </w:rPr>
        <w:t>SOEs appear to be more climate friendly than their domestic private-sector peers</w:t>
      </w:r>
      <w:r w:rsidR="00220028" w:rsidRPr="00F46F36">
        <w:rPr>
          <w:rFonts w:cstheme="minorHAnsi"/>
        </w:rPr>
        <w:t xml:space="preserve"> </w:t>
      </w:r>
      <w:r w:rsidR="0092355C" w:rsidRPr="00F46F36">
        <w:rPr>
          <w:rFonts w:cstheme="minorHAnsi"/>
        </w:rPr>
        <w:t xml:space="preserve">in </w:t>
      </w:r>
      <w:r w:rsidR="0005768A" w:rsidRPr="00F46F36">
        <w:rPr>
          <w:rFonts w:cstheme="minorHAnsi"/>
        </w:rPr>
        <w:t>emerging</w:t>
      </w:r>
      <w:r w:rsidR="0092355C" w:rsidRPr="00F46F36">
        <w:rPr>
          <w:rFonts w:cstheme="minorHAnsi"/>
        </w:rPr>
        <w:t xml:space="preserve"> countries</w:t>
      </w:r>
      <w:r w:rsidR="002624EE" w:rsidRPr="00F46F36">
        <w:rPr>
          <w:rFonts w:cstheme="minorHAnsi"/>
        </w:rPr>
        <w:t xml:space="preserve">. </w:t>
      </w:r>
      <w:r w:rsidR="003E38D2" w:rsidRPr="00F46F36">
        <w:rPr>
          <w:rFonts w:cstheme="minorHAnsi"/>
        </w:rPr>
        <w:t xml:space="preserve">Hsu et al. (2018) analyzed publicly listed firms and SOEs across </w:t>
      </w:r>
      <w:r w:rsidR="0005768A" w:rsidRPr="00F46F36">
        <w:rPr>
          <w:rFonts w:cstheme="minorHAnsi"/>
        </w:rPr>
        <w:t xml:space="preserve">44 </w:t>
      </w:r>
      <w:r w:rsidR="003E38D2" w:rsidRPr="00F46F36">
        <w:rPr>
          <w:rFonts w:cstheme="minorHAnsi"/>
        </w:rPr>
        <w:t>countries in key sectors in which SOEs are prevalent, notably utilities and natural resources.</w:t>
      </w:r>
      <w:r w:rsidR="00155684" w:rsidRPr="00F46F36">
        <w:rPr>
          <w:rStyle w:val="FootnoteReference"/>
          <w:rFonts w:cstheme="minorHAnsi"/>
        </w:rPr>
        <w:footnoteReference w:id="28"/>
      </w:r>
      <w:r w:rsidR="003E38D2" w:rsidRPr="00F46F36">
        <w:rPr>
          <w:rFonts w:cstheme="minorHAnsi"/>
        </w:rPr>
        <w:t xml:space="preserve"> Their research finds that SOEs engage more in environmental issues than non-SOEs, with better performance metrics in areas such as CO</w:t>
      </w:r>
      <w:r w:rsidR="003E38D2" w:rsidRPr="00F46F36">
        <w:rPr>
          <w:rFonts w:cstheme="minorHAnsi"/>
          <w:vertAlign w:val="subscript"/>
        </w:rPr>
        <w:t xml:space="preserve">2 </w:t>
      </w:r>
      <w:r w:rsidR="003E38D2" w:rsidRPr="00F46F36">
        <w:rPr>
          <w:rFonts w:cstheme="minorHAnsi"/>
        </w:rPr>
        <w:t>emissions, natural resource use, and innovation in eco-efficiencies. Their research further indicates that “</w:t>
      </w:r>
      <w:r w:rsidR="00565DB1" w:rsidRPr="00F46F36">
        <w:rPr>
          <w:rFonts w:cstheme="minorHAnsi"/>
        </w:rPr>
        <w:t>…</w:t>
      </w:r>
      <w:r w:rsidR="003E38D2" w:rsidRPr="00F46F36">
        <w:rPr>
          <w:rFonts w:cstheme="minorHAnsi"/>
        </w:rPr>
        <w:t xml:space="preserve">state ownership promotes environmental engagement, rather than governments picking and keeping green companies and divesting polluting firms as political expedient.” The degree of environmental engagement also appears to reflect the political and policy inclinations of the relevant governments. They find that </w:t>
      </w:r>
      <w:r w:rsidR="001118CD" w:rsidRPr="00F46F36">
        <w:rPr>
          <w:rFonts w:cstheme="minorHAnsi"/>
        </w:rPr>
        <w:t xml:space="preserve">state-held </w:t>
      </w:r>
      <w:r w:rsidR="003E38D2" w:rsidRPr="00F46F36">
        <w:rPr>
          <w:rFonts w:cstheme="minorHAnsi"/>
        </w:rPr>
        <w:t xml:space="preserve">companies in emerging markets countries </w:t>
      </w:r>
      <w:r w:rsidR="00222BE7" w:rsidRPr="00F46F36">
        <w:rPr>
          <w:rFonts w:cstheme="minorHAnsi"/>
        </w:rPr>
        <w:t>(</w:t>
      </w:r>
      <w:r w:rsidR="005802D9" w:rsidRPr="00F46F36">
        <w:rPr>
          <w:rFonts w:cstheme="minorHAnsi"/>
        </w:rPr>
        <w:t xml:space="preserve">middle income countries) </w:t>
      </w:r>
      <w:r w:rsidR="003E38D2" w:rsidRPr="00F46F36">
        <w:rPr>
          <w:rFonts w:cstheme="minorHAnsi"/>
        </w:rPr>
        <w:t>are more likely to internalize environmental and social costs (but are less good at maximizing shareholder value)</w:t>
      </w:r>
      <w:r w:rsidR="00C842EB" w:rsidRPr="00F46F36">
        <w:rPr>
          <w:rFonts w:cstheme="minorHAnsi"/>
        </w:rPr>
        <w:t xml:space="preserve">. </w:t>
      </w:r>
      <w:r w:rsidR="003E38D2" w:rsidRPr="00F46F36">
        <w:rPr>
          <w:rFonts w:cstheme="minorHAnsi"/>
        </w:rPr>
        <w:t>They conclude that “</w:t>
      </w:r>
      <w:r w:rsidR="00565DB1" w:rsidRPr="00F46F36">
        <w:rPr>
          <w:rFonts w:cstheme="minorHAnsi"/>
        </w:rPr>
        <w:t>…</w:t>
      </w:r>
      <w:r w:rsidR="003E38D2" w:rsidRPr="00F46F36">
        <w:rPr>
          <w:rFonts w:cstheme="minorHAnsi"/>
        </w:rPr>
        <w:t>the role of state ownership is more effective in dealing with environmental issues than private ownership in emerging economies.”</w:t>
      </w:r>
      <w:r w:rsidR="00BE7F67" w:rsidRPr="00F46F36">
        <w:rPr>
          <w:rStyle w:val="FootnoteReference"/>
          <w:rFonts w:cstheme="minorHAnsi"/>
        </w:rPr>
        <w:footnoteReference w:id="29"/>
      </w:r>
      <w:r w:rsidR="00565DB1" w:rsidRPr="00F46F36">
        <w:rPr>
          <w:rFonts w:cstheme="minorHAnsi"/>
        </w:rPr>
        <w:t xml:space="preserve"> </w:t>
      </w:r>
      <w:r w:rsidR="00D10984" w:rsidRPr="00CE791B">
        <w:rPr>
          <w:rFonts w:cstheme="minorHAnsi"/>
        </w:rPr>
        <w:t>The</w:t>
      </w:r>
      <w:r w:rsidR="00777BF4" w:rsidRPr="00CE791B">
        <w:rPr>
          <w:rFonts w:cstheme="minorHAnsi"/>
        </w:rPr>
        <w:t>se findings suggest</w:t>
      </w:r>
      <w:r w:rsidR="00D10984" w:rsidRPr="00CE791B">
        <w:rPr>
          <w:rFonts w:cstheme="minorHAnsi"/>
        </w:rPr>
        <w:t xml:space="preserve"> that the driver of</w:t>
      </w:r>
      <w:r w:rsidR="00AC502A" w:rsidRPr="00CE791B">
        <w:rPr>
          <w:rFonts w:cstheme="minorHAnsi"/>
        </w:rPr>
        <w:t xml:space="preserve"> SOEs </w:t>
      </w:r>
      <w:r w:rsidR="009B264F" w:rsidRPr="00CE791B">
        <w:rPr>
          <w:rFonts w:cstheme="minorHAnsi"/>
        </w:rPr>
        <w:t xml:space="preserve">appearing </w:t>
      </w:r>
      <w:r w:rsidR="001F3AC3" w:rsidRPr="00CE791B">
        <w:rPr>
          <w:rFonts w:cstheme="minorHAnsi"/>
        </w:rPr>
        <w:t xml:space="preserve">to be </w:t>
      </w:r>
      <w:r w:rsidR="009B264F" w:rsidRPr="00CE791B">
        <w:rPr>
          <w:rFonts w:cstheme="minorHAnsi"/>
        </w:rPr>
        <w:t>more climate friendly than private-sector peers</w:t>
      </w:r>
      <w:r w:rsidR="00D10984" w:rsidRPr="00CE791B">
        <w:rPr>
          <w:rFonts w:cstheme="minorHAnsi"/>
        </w:rPr>
        <w:t xml:space="preserve"> </w:t>
      </w:r>
      <w:r w:rsidR="00A44163" w:rsidRPr="00CE791B">
        <w:rPr>
          <w:rFonts w:cstheme="minorHAnsi"/>
        </w:rPr>
        <w:t xml:space="preserve">in emerging markets </w:t>
      </w:r>
      <w:r w:rsidR="00D10984" w:rsidRPr="00CE791B">
        <w:rPr>
          <w:rFonts w:cstheme="minorHAnsi"/>
        </w:rPr>
        <w:t>is active government and regulatory oversight, and not necessarily tax and expenditure policy</w:t>
      </w:r>
      <w:r w:rsidR="00B74B94" w:rsidRPr="00CE791B">
        <w:rPr>
          <w:rFonts w:cstheme="minorHAnsi"/>
        </w:rPr>
        <w:t xml:space="preserve">. </w:t>
      </w:r>
      <w:r w:rsidR="00A81FC2" w:rsidRPr="00CE791B">
        <w:rPr>
          <w:rFonts w:cstheme="minorHAnsi"/>
        </w:rPr>
        <w:t>This may reflect that SOEs tend to be less sensitive to tax and expenditure policies</w:t>
      </w:r>
      <w:r w:rsidR="00200FA5" w:rsidRPr="00CE791B">
        <w:rPr>
          <w:rFonts w:cstheme="minorHAnsi"/>
        </w:rPr>
        <w:t xml:space="preserve">, </w:t>
      </w:r>
      <w:r w:rsidR="009009B3" w:rsidRPr="00CE791B">
        <w:rPr>
          <w:rFonts w:cstheme="minorHAnsi"/>
        </w:rPr>
        <w:t>(</w:t>
      </w:r>
      <w:r w:rsidR="00A81FC2" w:rsidRPr="00CE791B">
        <w:rPr>
          <w:rFonts w:cstheme="minorHAnsi"/>
        </w:rPr>
        <w:t>particularly among LMICs</w:t>
      </w:r>
      <w:r w:rsidR="00200FA5" w:rsidRPr="00CE791B">
        <w:rPr>
          <w:rFonts w:cstheme="minorHAnsi"/>
        </w:rPr>
        <w:t xml:space="preserve"> where </w:t>
      </w:r>
      <w:r w:rsidR="00A81FC2" w:rsidRPr="00CE791B">
        <w:rPr>
          <w:rFonts w:cstheme="minorHAnsi"/>
        </w:rPr>
        <w:t>PSD mandates</w:t>
      </w:r>
      <w:r w:rsidR="00977B35" w:rsidRPr="00CE791B">
        <w:rPr>
          <w:rFonts w:cstheme="minorHAnsi"/>
        </w:rPr>
        <w:t xml:space="preserve"> are more pervasive</w:t>
      </w:r>
      <w:r w:rsidR="009009B3" w:rsidRPr="00CE791B">
        <w:rPr>
          <w:rFonts w:cstheme="minorHAnsi"/>
        </w:rPr>
        <w:t>)</w:t>
      </w:r>
      <w:r w:rsidR="001808BB" w:rsidRPr="00CE791B">
        <w:rPr>
          <w:rFonts w:cstheme="minorHAnsi"/>
        </w:rPr>
        <w:t xml:space="preserve">, </w:t>
      </w:r>
      <w:r w:rsidR="009009B3" w:rsidRPr="00CE791B">
        <w:rPr>
          <w:rFonts w:cstheme="minorHAnsi"/>
        </w:rPr>
        <w:t xml:space="preserve">and </w:t>
      </w:r>
      <w:r w:rsidR="002B365C" w:rsidRPr="00CE791B">
        <w:rPr>
          <w:rFonts w:cstheme="minorHAnsi"/>
        </w:rPr>
        <w:t xml:space="preserve">that </w:t>
      </w:r>
      <w:r w:rsidR="009009B3" w:rsidRPr="00CE791B">
        <w:rPr>
          <w:rFonts w:cstheme="minorHAnsi"/>
        </w:rPr>
        <w:t>c</w:t>
      </w:r>
      <w:r w:rsidR="004D4C12" w:rsidRPr="00CE791B">
        <w:t>limate-aware governments may find it easier to send a directive to SOEs rather than alter the behavior of the private sector.</w:t>
      </w:r>
      <w:r w:rsidR="004D4C12" w:rsidRPr="00CE791B">
        <w:rPr>
          <w:rFonts w:cstheme="minorHAnsi"/>
        </w:rPr>
        <w:t xml:space="preserve"> </w:t>
      </w:r>
    </w:p>
    <w:p w14:paraId="42A4A7ED" w14:textId="77777777" w:rsidR="003E38D2" w:rsidRPr="00F46F36" w:rsidRDefault="003E38D2" w:rsidP="00845D5C">
      <w:pPr>
        <w:pStyle w:val="NoSpacing"/>
        <w:jc w:val="both"/>
        <w:rPr>
          <w:rFonts w:cstheme="minorHAnsi"/>
          <w:b/>
          <w:bCs/>
          <w:iCs/>
        </w:rPr>
      </w:pPr>
    </w:p>
    <w:p w14:paraId="7B489A8C" w14:textId="6F905196" w:rsidR="001A4103" w:rsidRPr="00F46F36" w:rsidRDefault="00E551CA" w:rsidP="00845D5C">
      <w:pPr>
        <w:pStyle w:val="NoSpacing"/>
        <w:jc w:val="both"/>
        <w:rPr>
          <w:rFonts w:cstheme="minorHAnsi"/>
          <w:b/>
        </w:rPr>
      </w:pPr>
      <w:r w:rsidRPr="00F46F36">
        <w:rPr>
          <w:rFonts w:cstheme="minorHAnsi"/>
          <w:b/>
        </w:rPr>
        <w:lastRenderedPageBreak/>
        <w:t>A</w:t>
      </w:r>
      <w:r w:rsidR="00036A10" w:rsidRPr="00F46F36">
        <w:rPr>
          <w:rFonts w:cstheme="minorHAnsi"/>
          <w:b/>
          <w:iCs/>
        </w:rPr>
        <w:t xml:space="preserve"> ‘whole-of-government’ approach</w:t>
      </w:r>
      <w:r w:rsidR="00467FDC" w:rsidRPr="00F46F36">
        <w:rPr>
          <w:rFonts w:cstheme="minorHAnsi"/>
          <w:b/>
          <w:iCs/>
        </w:rPr>
        <w:t xml:space="preserve"> and </w:t>
      </w:r>
      <w:r w:rsidR="003373AD" w:rsidRPr="00F46F36">
        <w:rPr>
          <w:rFonts w:cstheme="minorHAnsi"/>
          <w:b/>
          <w:iCs/>
        </w:rPr>
        <w:t xml:space="preserve">policy </w:t>
      </w:r>
      <w:r w:rsidR="00467FDC" w:rsidRPr="00F46F36">
        <w:rPr>
          <w:rFonts w:cstheme="minorHAnsi"/>
          <w:b/>
          <w:iCs/>
        </w:rPr>
        <w:t xml:space="preserve">efficacy </w:t>
      </w:r>
      <w:r w:rsidR="000844AD" w:rsidRPr="00F46F36">
        <w:rPr>
          <w:rFonts w:cstheme="minorHAnsi"/>
          <w:b/>
          <w:iCs/>
        </w:rPr>
        <w:t>call for SOE</w:t>
      </w:r>
      <w:r w:rsidRPr="00F46F36">
        <w:rPr>
          <w:rFonts w:cstheme="minorHAnsi"/>
          <w:b/>
          <w:iCs/>
        </w:rPr>
        <w:t xml:space="preserve"> climate-related reform</w:t>
      </w:r>
      <w:r w:rsidR="000844AD" w:rsidRPr="00F46F36">
        <w:rPr>
          <w:rFonts w:cstheme="minorHAnsi"/>
          <w:b/>
          <w:iCs/>
        </w:rPr>
        <w:t xml:space="preserve">s </w:t>
      </w:r>
    </w:p>
    <w:p w14:paraId="4B566583" w14:textId="77777777" w:rsidR="00250E5B" w:rsidRPr="00F46F36" w:rsidRDefault="00250E5B" w:rsidP="00845D5C">
      <w:pPr>
        <w:pStyle w:val="NoSpacing"/>
        <w:jc w:val="both"/>
        <w:rPr>
          <w:rFonts w:cstheme="minorHAnsi"/>
          <w:bCs/>
        </w:rPr>
      </w:pPr>
    </w:p>
    <w:p w14:paraId="31D79604" w14:textId="3DF17D0E" w:rsidR="00794749" w:rsidRPr="00CE791B" w:rsidRDefault="003E38D2" w:rsidP="00845D5C">
      <w:pPr>
        <w:pStyle w:val="NoSpacing"/>
        <w:jc w:val="both"/>
        <w:rPr>
          <w:rFonts w:cstheme="minorHAnsi"/>
          <w:iCs/>
        </w:rPr>
      </w:pPr>
      <w:r w:rsidRPr="00CE791B">
        <w:rPr>
          <w:rFonts w:cstheme="minorHAnsi"/>
          <w:bCs/>
        </w:rPr>
        <w:t xml:space="preserve">Climate-informed SOE reforms </w:t>
      </w:r>
      <w:r w:rsidR="00516977" w:rsidRPr="00CE791B">
        <w:rPr>
          <w:rFonts w:cstheme="minorHAnsi"/>
          <w:bCs/>
        </w:rPr>
        <w:t xml:space="preserve">could </w:t>
      </w:r>
      <w:r w:rsidR="00D8301B" w:rsidRPr="00CE791B">
        <w:rPr>
          <w:rFonts w:cstheme="minorHAnsi"/>
          <w:bCs/>
        </w:rPr>
        <w:t>strengthen</w:t>
      </w:r>
      <w:r w:rsidRPr="00CE791B">
        <w:rPr>
          <w:rFonts w:cstheme="minorHAnsi"/>
          <w:bCs/>
        </w:rPr>
        <w:t xml:space="preserve"> </w:t>
      </w:r>
      <w:r w:rsidR="005A3B75" w:rsidRPr="00CE791B">
        <w:rPr>
          <w:rFonts w:cstheme="minorHAnsi"/>
          <w:bCs/>
        </w:rPr>
        <w:t>develo</w:t>
      </w:r>
      <w:r w:rsidR="00FE493D" w:rsidRPr="00CE791B">
        <w:rPr>
          <w:rFonts w:cstheme="minorHAnsi"/>
          <w:bCs/>
        </w:rPr>
        <w:t xml:space="preserve">pment </w:t>
      </w:r>
      <w:r w:rsidRPr="00CE791B">
        <w:rPr>
          <w:rFonts w:cstheme="minorHAnsi"/>
          <w:bCs/>
        </w:rPr>
        <w:t>policy-consistency</w:t>
      </w:r>
      <w:r w:rsidR="00516977" w:rsidRPr="00CE791B">
        <w:rPr>
          <w:rFonts w:cstheme="minorHAnsi"/>
          <w:bCs/>
        </w:rPr>
        <w:t xml:space="preserve"> and PSD</w:t>
      </w:r>
      <w:r w:rsidR="002624EE" w:rsidRPr="00CE791B">
        <w:rPr>
          <w:rFonts w:cstheme="minorHAnsi"/>
          <w:bCs/>
        </w:rPr>
        <w:t>.</w:t>
      </w:r>
      <w:r w:rsidR="00E80576" w:rsidRPr="00CE791B">
        <w:rPr>
          <w:rFonts w:cstheme="minorHAnsi"/>
          <w:bCs/>
        </w:rPr>
        <w:t xml:space="preserve"> </w:t>
      </w:r>
      <w:r w:rsidR="00505694" w:rsidRPr="00CE791B">
        <w:rPr>
          <w:rFonts w:cstheme="minorHAnsi"/>
          <w:iCs/>
        </w:rPr>
        <w:t>W</w:t>
      </w:r>
      <w:r w:rsidRPr="00CE791B">
        <w:rPr>
          <w:rFonts w:cstheme="minorHAnsi"/>
          <w:iCs/>
        </w:rPr>
        <w:t>ith public ownership stakes, the SOE sector provides an important opportunity to advance government objectives for climate action that would strengthen the mainstreaming of climate policies for a ‘whole-of-government’ approach</w:t>
      </w:r>
      <w:r w:rsidR="00C9736B" w:rsidRPr="00CE791B">
        <w:rPr>
          <w:rFonts w:cstheme="minorHAnsi"/>
          <w:iCs/>
        </w:rPr>
        <w:t xml:space="preserve">. </w:t>
      </w:r>
      <w:r w:rsidR="00746B0B" w:rsidRPr="00CE791B">
        <w:rPr>
          <w:rFonts w:cstheme="minorHAnsi"/>
          <w:iCs/>
        </w:rPr>
        <w:t>In addition to direct SOE ownership mandates and oversight policies, t</w:t>
      </w:r>
      <w:r w:rsidR="002622EE" w:rsidRPr="00CE791B">
        <w:rPr>
          <w:rFonts w:cstheme="minorHAnsi"/>
          <w:iCs/>
        </w:rPr>
        <w:t xml:space="preserve">he scope </w:t>
      </w:r>
      <w:r w:rsidR="00951646" w:rsidRPr="00CE791B">
        <w:rPr>
          <w:rFonts w:cstheme="minorHAnsi"/>
          <w:iCs/>
        </w:rPr>
        <w:t xml:space="preserve">to support </w:t>
      </w:r>
      <w:r w:rsidR="00C9736B" w:rsidRPr="00CE791B">
        <w:rPr>
          <w:rFonts w:cstheme="minorHAnsi"/>
          <w:iCs/>
        </w:rPr>
        <w:t xml:space="preserve">climate related </w:t>
      </w:r>
      <w:r w:rsidR="00A43239" w:rsidRPr="00CE791B">
        <w:rPr>
          <w:rFonts w:cstheme="minorHAnsi"/>
          <w:iCs/>
        </w:rPr>
        <w:t>reforms</w:t>
      </w:r>
      <w:r w:rsidR="000D60E8" w:rsidRPr="00CE791B">
        <w:rPr>
          <w:rFonts w:cstheme="minorHAnsi"/>
          <w:iCs/>
        </w:rPr>
        <w:t xml:space="preserve"> </w:t>
      </w:r>
      <w:r w:rsidR="00DF1473" w:rsidRPr="00CE791B">
        <w:rPr>
          <w:rFonts w:cstheme="minorHAnsi"/>
          <w:iCs/>
        </w:rPr>
        <w:t xml:space="preserve">covers </w:t>
      </w:r>
      <w:r w:rsidR="00031DD5" w:rsidRPr="00CE791B">
        <w:rPr>
          <w:rFonts w:cstheme="minorHAnsi"/>
          <w:iCs/>
        </w:rPr>
        <w:t xml:space="preserve">a </w:t>
      </w:r>
      <w:r w:rsidR="001779BC" w:rsidRPr="00CE791B">
        <w:rPr>
          <w:rFonts w:cstheme="minorHAnsi"/>
          <w:iCs/>
        </w:rPr>
        <w:t>wide r</w:t>
      </w:r>
      <w:r w:rsidR="000D60E8" w:rsidRPr="00CE791B">
        <w:rPr>
          <w:rFonts w:cstheme="minorHAnsi"/>
          <w:iCs/>
        </w:rPr>
        <w:t xml:space="preserve">ange of </w:t>
      </w:r>
      <w:r w:rsidR="00951646" w:rsidRPr="00CE791B">
        <w:rPr>
          <w:rFonts w:cstheme="minorHAnsi"/>
          <w:iCs/>
        </w:rPr>
        <w:t>policy instruments</w:t>
      </w:r>
      <w:r w:rsidR="003A400E" w:rsidRPr="00CE791B">
        <w:rPr>
          <w:rFonts w:cstheme="minorHAnsi"/>
          <w:iCs/>
        </w:rPr>
        <w:t xml:space="preserve">: </w:t>
      </w:r>
      <w:r w:rsidR="00A43239" w:rsidRPr="00CE791B">
        <w:rPr>
          <w:rFonts w:cstheme="minorHAnsi"/>
          <w:iCs/>
        </w:rPr>
        <w:t xml:space="preserve"> </w:t>
      </w:r>
      <w:r w:rsidR="001061AB" w:rsidRPr="00CE791B">
        <w:rPr>
          <w:rFonts w:cstheme="minorHAnsi"/>
          <w:iCs/>
        </w:rPr>
        <w:t xml:space="preserve">tax, expenditure, </w:t>
      </w:r>
      <w:r w:rsidR="00B164D5" w:rsidRPr="00CE791B">
        <w:rPr>
          <w:rFonts w:cstheme="minorHAnsi"/>
          <w:iCs/>
        </w:rPr>
        <w:t xml:space="preserve">PFM reforms (e.g., for </w:t>
      </w:r>
      <w:r w:rsidR="00D55E34" w:rsidRPr="00CE791B">
        <w:rPr>
          <w:rFonts w:cstheme="minorHAnsi"/>
          <w:iCs/>
        </w:rPr>
        <w:t xml:space="preserve">procurement and </w:t>
      </w:r>
      <w:r w:rsidR="00E969CB" w:rsidRPr="00CE791B">
        <w:rPr>
          <w:rFonts w:cstheme="minorHAnsi"/>
          <w:iCs/>
        </w:rPr>
        <w:t>public investment management</w:t>
      </w:r>
      <w:r w:rsidR="00746B0B" w:rsidRPr="00CE791B">
        <w:rPr>
          <w:rFonts w:cstheme="minorHAnsi"/>
          <w:iCs/>
        </w:rPr>
        <w:t xml:space="preserve"> (PIM)</w:t>
      </w:r>
      <w:r w:rsidR="00B164D5" w:rsidRPr="00CE791B">
        <w:rPr>
          <w:rFonts w:cstheme="minorHAnsi"/>
          <w:iCs/>
        </w:rPr>
        <w:t>)</w:t>
      </w:r>
      <w:r w:rsidR="00E969CB" w:rsidRPr="00CE791B">
        <w:rPr>
          <w:rFonts w:cstheme="minorHAnsi"/>
          <w:iCs/>
        </w:rPr>
        <w:t xml:space="preserve">, </w:t>
      </w:r>
      <w:r w:rsidR="00243893" w:rsidRPr="00CE791B">
        <w:rPr>
          <w:rFonts w:cstheme="minorHAnsi"/>
          <w:iCs/>
        </w:rPr>
        <w:t>business incentives</w:t>
      </w:r>
      <w:r w:rsidR="00BB3513" w:rsidRPr="00CE791B">
        <w:rPr>
          <w:rFonts w:cstheme="minorHAnsi"/>
          <w:iCs/>
        </w:rPr>
        <w:t xml:space="preserve">, </w:t>
      </w:r>
      <w:r w:rsidR="00243893" w:rsidRPr="00CE791B">
        <w:rPr>
          <w:rFonts w:cstheme="minorHAnsi"/>
          <w:iCs/>
        </w:rPr>
        <w:t xml:space="preserve">and </w:t>
      </w:r>
      <w:r w:rsidR="00E969CB" w:rsidRPr="00CE791B">
        <w:rPr>
          <w:rFonts w:cstheme="minorHAnsi"/>
          <w:iCs/>
        </w:rPr>
        <w:t>regulatory policies</w:t>
      </w:r>
      <w:r w:rsidR="00BB3513" w:rsidRPr="00CE791B">
        <w:rPr>
          <w:rFonts w:cstheme="minorHAnsi"/>
          <w:iCs/>
        </w:rPr>
        <w:t xml:space="preserve"> (e.g., </w:t>
      </w:r>
      <w:r w:rsidR="0091116E" w:rsidRPr="00CE791B">
        <w:rPr>
          <w:rFonts w:cstheme="minorHAnsi"/>
          <w:iCs/>
        </w:rPr>
        <w:t xml:space="preserve">CSR mandates and ESG </w:t>
      </w:r>
      <w:r w:rsidR="00BB3513" w:rsidRPr="00CE791B">
        <w:rPr>
          <w:rFonts w:cstheme="minorHAnsi"/>
          <w:iCs/>
        </w:rPr>
        <w:t>disclosure)</w:t>
      </w:r>
      <w:r w:rsidR="000167C6" w:rsidRPr="00CE791B">
        <w:rPr>
          <w:rFonts w:cstheme="minorHAnsi"/>
          <w:iCs/>
        </w:rPr>
        <w:t xml:space="preserve">. These </w:t>
      </w:r>
      <w:r w:rsidR="00F07642" w:rsidRPr="00CE791B">
        <w:rPr>
          <w:rFonts w:cstheme="minorHAnsi"/>
          <w:iCs/>
        </w:rPr>
        <w:t xml:space="preserve">should apply </w:t>
      </w:r>
      <w:r w:rsidR="002F2156" w:rsidRPr="00CE791B">
        <w:rPr>
          <w:rFonts w:cstheme="minorHAnsi"/>
          <w:iCs/>
        </w:rPr>
        <w:t>acros</w:t>
      </w:r>
      <w:r w:rsidR="006F2161" w:rsidRPr="00CE791B">
        <w:rPr>
          <w:rFonts w:cstheme="minorHAnsi"/>
          <w:iCs/>
        </w:rPr>
        <w:t>s</w:t>
      </w:r>
      <w:r w:rsidR="002F2156" w:rsidRPr="00CE791B">
        <w:rPr>
          <w:rFonts w:cstheme="minorHAnsi"/>
          <w:iCs/>
        </w:rPr>
        <w:t xml:space="preserve"> public and private entities</w:t>
      </w:r>
      <w:r w:rsidR="00DF1473" w:rsidRPr="00CE791B">
        <w:rPr>
          <w:rFonts w:cstheme="minorHAnsi"/>
          <w:iCs/>
        </w:rPr>
        <w:t>—</w:t>
      </w:r>
      <w:r w:rsidR="000167C6" w:rsidRPr="00CE791B">
        <w:rPr>
          <w:rFonts w:cstheme="minorHAnsi"/>
          <w:iCs/>
        </w:rPr>
        <w:t>i.e., e</w:t>
      </w:r>
      <w:r w:rsidR="002302DA" w:rsidRPr="00CE791B">
        <w:rPr>
          <w:rFonts w:cstheme="minorHAnsi"/>
          <w:iCs/>
        </w:rPr>
        <w:t xml:space="preserve">ffective climate action </w:t>
      </w:r>
      <w:r w:rsidR="009D53F8" w:rsidRPr="00CE791B">
        <w:rPr>
          <w:rFonts w:cstheme="minorHAnsi"/>
          <w:iCs/>
        </w:rPr>
        <w:t>policy</w:t>
      </w:r>
      <w:r w:rsidR="00D42A79" w:rsidRPr="00CE791B">
        <w:rPr>
          <w:rFonts w:cstheme="minorHAnsi"/>
          <w:iCs/>
        </w:rPr>
        <w:t>-</w:t>
      </w:r>
      <w:r w:rsidR="009D53F8" w:rsidRPr="00CE791B">
        <w:rPr>
          <w:rFonts w:cstheme="minorHAnsi"/>
          <w:iCs/>
        </w:rPr>
        <w:t xml:space="preserve">alignment would entail that governments </w:t>
      </w:r>
      <w:r w:rsidR="002302DA" w:rsidRPr="00CE791B">
        <w:rPr>
          <w:rFonts w:cstheme="minorHAnsi"/>
          <w:iCs/>
        </w:rPr>
        <w:t>ensur</w:t>
      </w:r>
      <w:r w:rsidR="009D53F8" w:rsidRPr="00CE791B">
        <w:rPr>
          <w:rFonts w:cstheme="minorHAnsi"/>
          <w:iCs/>
        </w:rPr>
        <w:t>e</w:t>
      </w:r>
      <w:r w:rsidR="002302DA" w:rsidRPr="00CE791B">
        <w:rPr>
          <w:rFonts w:cstheme="minorHAnsi"/>
          <w:iCs/>
        </w:rPr>
        <w:t xml:space="preserve"> SOEs are subject to the same climate-aware </w:t>
      </w:r>
      <w:r w:rsidR="00B97EC2" w:rsidRPr="00CE791B">
        <w:rPr>
          <w:rFonts w:cstheme="minorHAnsi"/>
          <w:iCs/>
        </w:rPr>
        <w:t xml:space="preserve">policies </w:t>
      </w:r>
      <w:r w:rsidR="00DF1473" w:rsidRPr="00CE791B">
        <w:rPr>
          <w:rFonts w:cstheme="minorHAnsi"/>
          <w:iCs/>
        </w:rPr>
        <w:t xml:space="preserve">as </w:t>
      </w:r>
      <w:r w:rsidR="00914997" w:rsidRPr="00CE791B">
        <w:rPr>
          <w:rFonts w:cstheme="minorHAnsi"/>
          <w:iCs/>
        </w:rPr>
        <w:t xml:space="preserve">other </w:t>
      </w:r>
      <w:r w:rsidR="00DF1473" w:rsidRPr="00CE791B">
        <w:rPr>
          <w:rFonts w:cstheme="minorHAnsi"/>
          <w:iCs/>
        </w:rPr>
        <w:t xml:space="preserve">private </w:t>
      </w:r>
      <w:r w:rsidR="00914997" w:rsidRPr="00CE791B">
        <w:rPr>
          <w:rFonts w:cstheme="minorHAnsi"/>
          <w:iCs/>
        </w:rPr>
        <w:t>and public entities</w:t>
      </w:r>
      <w:r w:rsidR="00DF1473" w:rsidRPr="00CE791B">
        <w:rPr>
          <w:rFonts w:cstheme="minorHAnsi"/>
          <w:iCs/>
        </w:rPr>
        <w:t xml:space="preserve"> </w:t>
      </w:r>
      <w:r w:rsidR="00953201" w:rsidRPr="00CE791B">
        <w:rPr>
          <w:rFonts w:cstheme="minorHAnsi"/>
          <w:iCs/>
        </w:rPr>
        <w:t>(</w:t>
      </w:r>
      <w:r w:rsidR="008C3A33" w:rsidRPr="00CE791B">
        <w:rPr>
          <w:rFonts w:cstheme="minorHAnsi"/>
          <w:iCs/>
        </w:rPr>
        <w:t>e.g., with a more level playing field, such as by removing</w:t>
      </w:r>
      <w:r w:rsidR="00C22603" w:rsidRPr="00CE791B">
        <w:rPr>
          <w:rFonts w:cstheme="minorHAnsi"/>
          <w:iCs/>
        </w:rPr>
        <w:t xml:space="preserve"> government subsidies</w:t>
      </w:r>
      <w:r w:rsidR="00D55E34" w:rsidRPr="00CE791B">
        <w:rPr>
          <w:rFonts w:cstheme="minorHAnsi"/>
          <w:iCs/>
        </w:rPr>
        <w:t>)</w:t>
      </w:r>
      <w:r w:rsidR="00B819A5" w:rsidRPr="00CE791B">
        <w:rPr>
          <w:rFonts w:cstheme="minorHAnsi"/>
          <w:iCs/>
        </w:rPr>
        <w:t xml:space="preserve">, </w:t>
      </w:r>
      <w:r w:rsidR="00BA3C43" w:rsidRPr="00CE791B">
        <w:rPr>
          <w:rFonts w:cstheme="minorHAnsi"/>
          <w:iCs/>
        </w:rPr>
        <w:t>such as</w:t>
      </w:r>
      <w:r w:rsidR="00B819A5" w:rsidRPr="00CE791B">
        <w:rPr>
          <w:rFonts w:cstheme="minorHAnsi"/>
          <w:iCs/>
        </w:rPr>
        <w:t xml:space="preserve"> fiscal related measures (e.g., </w:t>
      </w:r>
      <w:r w:rsidR="0017705A" w:rsidRPr="00CE791B">
        <w:rPr>
          <w:rFonts w:cstheme="minorHAnsi"/>
          <w:iCs/>
        </w:rPr>
        <w:t>application of carbon taxes</w:t>
      </w:r>
      <w:r w:rsidR="00322FFF" w:rsidRPr="00CE791B">
        <w:rPr>
          <w:rFonts w:cstheme="minorHAnsi"/>
          <w:iCs/>
        </w:rPr>
        <w:t>,</w:t>
      </w:r>
      <w:r w:rsidR="004E6843" w:rsidRPr="00CE791B">
        <w:rPr>
          <w:rFonts w:cstheme="minorHAnsi"/>
          <w:iCs/>
        </w:rPr>
        <w:t xml:space="preserve"> and</w:t>
      </w:r>
      <w:r w:rsidR="00322FFF" w:rsidRPr="00CE791B">
        <w:rPr>
          <w:rFonts w:cstheme="minorHAnsi"/>
          <w:iCs/>
        </w:rPr>
        <w:t xml:space="preserve"> climate-informed </w:t>
      </w:r>
      <w:r w:rsidR="005B0081" w:rsidRPr="00CE791B">
        <w:rPr>
          <w:rFonts w:cstheme="minorHAnsi"/>
          <w:iCs/>
        </w:rPr>
        <w:t xml:space="preserve">public </w:t>
      </w:r>
      <w:r w:rsidR="00322FFF" w:rsidRPr="00CE791B">
        <w:rPr>
          <w:rFonts w:cstheme="minorHAnsi"/>
          <w:iCs/>
        </w:rPr>
        <w:t>procurement and investment</w:t>
      </w:r>
      <w:r w:rsidR="004E6843" w:rsidRPr="00CE791B">
        <w:rPr>
          <w:rFonts w:cstheme="minorHAnsi"/>
          <w:iCs/>
        </w:rPr>
        <w:t xml:space="preserve"> practices</w:t>
      </w:r>
      <w:r w:rsidR="0017705A" w:rsidRPr="00CE791B">
        <w:rPr>
          <w:rFonts w:cstheme="minorHAnsi"/>
          <w:iCs/>
        </w:rPr>
        <w:t>).</w:t>
      </w:r>
      <w:r w:rsidR="004E6843" w:rsidRPr="00CE791B">
        <w:rPr>
          <w:rFonts w:cstheme="minorHAnsi"/>
          <w:iCs/>
        </w:rPr>
        <w:t xml:space="preserve"> </w:t>
      </w:r>
      <w:r w:rsidRPr="00CE791B">
        <w:rPr>
          <w:rFonts w:cstheme="minorHAnsi"/>
          <w:iCs/>
        </w:rPr>
        <w:t>SOE-</w:t>
      </w:r>
      <w:r w:rsidR="00D81CE0" w:rsidRPr="00CE791B">
        <w:rPr>
          <w:rFonts w:cstheme="minorHAnsi"/>
          <w:iCs/>
        </w:rPr>
        <w:t>ownership</w:t>
      </w:r>
      <w:r w:rsidR="0034699A" w:rsidRPr="00CE791B">
        <w:rPr>
          <w:rFonts w:cstheme="minorHAnsi"/>
          <w:iCs/>
        </w:rPr>
        <w:t xml:space="preserve"> and oversight </w:t>
      </w:r>
      <w:r w:rsidR="0017705A" w:rsidRPr="00CE791B">
        <w:rPr>
          <w:rFonts w:cstheme="minorHAnsi"/>
          <w:iCs/>
        </w:rPr>
        <w:t xml:space="preserve">policies </w:t>
      </w:r>
      <w:r w:rsidR="0034699A" w:rsidRPr="00CE791B">
        <w:rPr>
          <w:rFonts w:cstheme="minorHAnsi"/>
          <w:iCs/>
        </w:rPr>
        <w:t xml:space="preserve">to support climate action would </w:t>
      </w:r>
      <w:r w:rsidRPr="00CE791B">
        <w:rPr>
          <w:rFonts w:cstheme="minorHAnsi"/>
          <w:iCs/>
        </w:rPr>
        <w:t>complement and reinforce</w:t>
      </w:r>
      <w:r w:rsidR="00F001C6" w:rsidRPr="00CE791B">
        <w:rPr>
          <w:rFonts w:cstheme="minorHAnsi"/>
          <w:iCs/>
        </w:rPr>
        <w:t xml:space="preserve"> application of</w:t>
      </w:r>
      <w:r w:rsidRPr="00CE791B">
        <w:rPr>
          <w:rFonts w:cstheme="minorHAnsi"/>
          <w:iCs/>
        </w:rPr>
        <w:t xml:space="preserve"> other </w:t>
      </w:r>
      <w:r w:rsidR="00F001C6" w:rsidRPr="00CE791B">
        <w:rPr>
          <w:rFonts w:cstheme="minorHAnsi"/>
          <w:iCs/>
        </w:rPr>
        <w:t xml:space="preserve">broader </w:t>
      </w:r>
      <w:r w:rsidRPr="00CE791B">
        <w:rPr>
          <w:rFonts w:cstheme="minorHAnsi"/>
          <w:iCs/>
        </w:rPr>
        <w:t>climate-related fiscal and regulatory policy measures</w:t>
      </w:r>
      <w:r w:rsidR="00F001C6" w:rsidRPr="00CE791B">
        <w:rPr>
          <w:rFonts w:cstheme="minorHAnsi"/>
          <w:iCs/>
        </w:rPr>
        <w:t xml:space="preserve"> to SOEs</w:t>
      </w:r>
      <w:r w:rsidRPr="00CE791B">
        <w:rPr>
          <w:rFonts w:cstheme="minorHAnsi"/>
          <w:iCs/>
        </w:rPr>
        <w:t xml:space="preserve">. This would strengthen policy consistency across entities and the efficacy of the country’s overarching climate policy implementation. </w:t>
      </w:r>
    </w:p>
    <w:p w14:paraId="20DF40A6" w14:textId="77777777" w:rsidR="00794749" w:rsidRPr="00F46F36" w:rsidRDefault="00794749" w:rsidP="00845D5C">
      <w:pPr>
        <w:pStyle w:val="NoSpacing"/>
        <w:jc w:val="both"/>
        <w:rPr>
          <w:rFonts w:cstheme="minorHAnsi"/>
          <w:iCs/>
        </w:rPr>
      </w:pPr>
    </w:p>
    <w:p w14:paraId="223D123A" w14:textId="36A2DC03" w:rsidR="003E38D2" w:rsidRPr="00F46F36" w:rsidRDefault="001C6DEC" w:rsidP="00845D5C">
      <w:pPr>
        <w:pStyle w:val="NoSpacing"/>
        <w:jc w:val="both"/>
        <w:rPr>
          <w:rFonts w:cstheme="minorHAnsi"/>
          <w:iCs/>
        </w:rPr>
      </w:pPr>
      <w:r w:rsidRPr="00F46F36">
        <w:rPr>
          <w:rFonts w:cstheme="minorHAnsi"/>
          <w:iCs/>
        </w:rPr>
        <w:t>E</w:t>
      </w:r>
      <w:r w:rsidR="003E38D2" w:rsidRPr="00F46F36">
        <w:rPr>
          <w:rFonts w:cstheme="minorHAnsi"/>
          <w:iCs/>
        </w:rPr>
        <w:t>mployment mandates for SOEs in many LMICs</w:t>
      </w:r>
      <w:r w:rsidR="0046647E" w:rsidRPr="00F46F36">
        <w:rPr>
          <w:rFonts w:cstheme="minorHAnsi"/>
          <w:iCs/>
        </w:rPr>
        <w:t xml:space="preserve"> could</w:t>
      </w:r>
      <w:r w:rsidR="003E38D2" w:rsidRPr="00F46F36">
        <w:rPr>
          <w:rFonts w:cstheme="minorHAnsi"/>
          <w:iCs/>
        </w:rPr>
        <w:t xml:space="preserve"> </w:t>
      </w:r>
      <w:r w:rsidR="00794749" w:rsidRPr="00F46F36">
        <w:rPr>
          <w:rFonts w:cstheme="minorHAnsi"/>
          <w:iCs/>
        </w:rPr>
        <w:t xml:space="preserve">also </w:t>
      </w:r>
      <w:r w:rsidR="003E38D2" w:rsidRPr="00F46F36">
        <w:rPr>
          <w:rFonts w:cstheme="minorHAnsi"/>
          <w:iCs/>
        </w:rPr>
        <w:t>play an important role in facilitating a just transition</w:t>
      </w:r>
      <w:r w:rsidRPr="00F46F36">
        <w:rPr>
          <w:rFonts w:cstheme="minorHAnsi"/>
          <w:iCs/>
        </w:rPr>
        <w:t>—in addition to implementing mitigation and adaptation measures with a focus on ensuring an equitable balance of costs and benefits</w:t>
      </w:r>
      <w:r w:rsidR="003E38D2" w:rsidRPr="00F46F36">
        <w:rPr>
          <w:rFonts w:cstheme="minorHAnsi"/>
          <w:iCs/>
        </w:rPr>
        <w:t>.</w:t>
      </w:r>
      <w:r w:rsidR="00B870F2" w:rsidRPr="00F46F36">
        <w:rPr>
          <w:rFonts w:cstheme="minorHAnsi"/>
          <w:iCs/>
        </w:rPr>
        <w:t xml:space="preserve"> </w:t>
      </w:r>
      <w:r w:rsidR="00E91A5B" w:rsidRPr="00F46F36">
        <w:rPr>
          <w:rFonts w:cstheme="minorHAnsi"/>
          <w:iCs/>
        </w:rPr>
        <w:t xml:space="preserve">Investing in adaptation for enhanced resilience and in renewables for carbon neutral development </w:t>
      </w:r>
      <w:r w:rsidR="00F80C3C" w:rsidRPr="00F46F36">
        <w:rPr>
          <w:rFonts w:cstheme="minorHAnsi"/>
          <w:iCs/>
        </w:rPr>
        <w:t xml:space="preserve">could </w:t>
      </w:r>
      <w:r w:rsidR="00E91A5B" w:rsidRPr="00F46F36">
        <w:rPr>
          <w:rFonts w:cstheme="minorHAnsi"/>
          <w:iCs/>
        </w:rPr>
        <w:t xml:space="preserve">also strengthen PSD by boosting productivity and efficiency in SOE-sector output and productivity for the wider economy. Lower carbon emissions </w:t>
      </w:r>
      <w:r w:rsidR="001578E7" w:rsidRPr="00F46F36">
        <w:rPr>
          <w:rFonts w:cstheme="minorHAnsi"/>
          <w:iCs/>
        </w:rPr>
        <w:t xml:space="preserve">could </w:t>
      </w:r>
      <w:r w:rsidR="00E91A5B" w:rsidRPr="00F46F36">
        <w:rPr>
          <w:rFonts w:cstheme="minorHAnsi"/>
          <w:iCs/>
        </w:rPr>
        <w:t>also boost productivity through co-benefits, such as reduced air pollution and traffic congestion.</w:t>
      </w:r>
    </w:p>
    <w:p w14:paraId="2DAFA762" w14:textId="24F092E3" w:rsidR="008F7F97" w:rsidRPr="00F46F36" w:rsidRDefault="008F7F97" w:rsidP="00845D5C">
      <w:pPr>
        <w:pStyle w:val="NoSpacing"/>
        <w:jc w:val="both"/>
        <w:rPr>
          <w:rFonts w:cstheme="minorHAnsi"/>
          <w:iCs/>
        </w:rPr>
      </w:pPr>
    </w:p>
    <w:p w14:paraId="543C1B58" w14:textId="23DA39E0" w:rsidR="008C0CCC" w:rsidRPr="00CE791B" w:rsidRDefault="001C2B49" w:rsidP="00845D5C">
      <w:pPr>
        <w:shd w:val="clear" w:color="auto" w:fill="FFFFFF"/>
        <w:spacing w:after="0" w:line="240" w:lineRule="auto"/>
        <w:jc w:val="both"/>
        <w:rPr>
          <w:rFonts w:cstheme="minorHAnsi"/>
          <w:iCs/>
        </w:rPr>
      </w:pPr>
      <w:r w:rsidRPr="00F46F36">
        <w:rPr>
          <w:rFonts w:cstheme="minorHAnsi"/>
          <w:bCs/>
        </w:rPr>
        <w:t xml:space="preserve">SOE climate action is </w:t>
      </w:r>
      <w:r w:rsidR="00BD12EF" w:rsidRPr="00F46F36">
        <w:rPr>
          <w:rFonts w:cstheme="minorHAnsi"/>
          <w:bCs/>
        </w:rPr>
        <w:t xml:space="preserve">also </w:t>
      </w:r>
      <w:r w:rsidRPr="00F46F36">
        <w:rPr>
          <w:rFonts w:cstheme="minorHAnsi"/>
          <w:bCs/>
        </w:rPr>
        <w:t>good for business, including through responsible investment and risk mitigation</w:t>
      </w:r>
      <w:r w:rsidR="00BD12EF" w:rsidRPr="00F46F36">
        <w:rPr>
          <w:rFonts w:cstheme="minorHAnsi"/>
          <w:bCs/>
        </w:rPr>
        <w:t xml:space="preserve"> that ca</w:t>
      </w:r>
      <w:r w:rsidR="005A6651" w:rsidRPr="00F46F36">
        <w:rPr>
          <w:rFonts w:cstheme="minorHAnsi"/>
          <w:bCs/>
        </w:rPr>
        <w:t>n boost productivity</w:t>
      </w:r>
      <w:r w:rsidR="002624EE" w:rsidRPr="00F46F36">
        <w:rPr>
          <w:rFonts w:cstheme="minorHAnsi"/>
          <w:iCs/>
        </w:rPr>
        <w:t xml:space="preserve">. </w:t>
      </w:r>
      <w:r w:rsidR="003374C9" w:rsidRPr="00F46F36">
        <w:rPr>
          <w:rFonts w:cstheme="minorHAnsi"/>
          <w:iCs/>
        </w:rPr>
        <w:t>For exampl</w:t>
      </w:r>
      <w:r w:rsidR="00FA0070" w:rsidRPr="00F46F36">
        <w:rPr>
          <w:rFonts w:cstheme="minorHAnsi"/>
          <w:iCs/>
        </w:rPr>
        <w:t>e, c</w:t>
      </w:r>
      <w:r w:rsidRPr="00F46F36">
        <w:rPr>
          <w:rFonts w:cstheme="minorHAnsi"/>
          <w:iCs/>
        </w:rPr>
        <w:t xml:space="preserve">limate change impacts present significant implicit and explicit contingent risk liabilities, including for SOEs, e.g., through disruptions in service delivery, output, asset damages and losses, and higher financing costs. These risks contribute to higher operational costs, as </w:t>
      </w:r>
      <w:r w:rsidRPr="00CE791B">
        <w:rPr>
          <w:rFonts w:cstheme="minorHAnsi"/>
          <w:iCs/>
        </w:rPr>
        <w:t>vulnerability to climate change impacts contributes to increased real and perceived higher investment risks, which translates into higher prevailing interest rates.</w:t>
      </w:r>
      <w:r w:rsidRPr="00CE791B">
        <w:rPr>
          <w:rStyle w:val="FootnoteReference"/>
          <w:rFonts w:cstheme="minorHAnsi"/>
          <w:iCs/>
        </w:rPr>
        <w:footnoteReference w:id="30"/>
      </w:r>
      <w:r w:rsidRPr="00CE791B">
        <w:rPr>
          <w:rFonts w:cstheme="minorHAnsi"/>
          <w:iCs/>
        </w:rPr>
        <w:t xml:space="preserve"> Correspondingly, companies that engage in low-carbon activities face lower cost of capital.</w:t>
      </w:r>
      <w:r w:rsidRPr="00CE791B">
        <w:rPr>
          <w:rStyle w:val="FootnoteReference"/>
          <w:rFonts w:cstheme="minorHAnsi"/>
          <w:iCs/>
        </w:rPr>
        <w:footnoteReference w:id="31"/>
      </w:r>
      <w:r w:rsidRPr="00CE791B">
        <w:rPr>
          <w:rFonts w:cstheme="minorHAnsi"/>
          <w:iCs/>
        </w:rPr>
        <w:t xml:space="preserve"> </w:t>
      </w:r>
      <w:r w:rsidR="00914997" w:rsidRPr="00CE791B">
        <w:rPr>
          <w:rFonts w:cstheme="minorHAnsi"/>
          <w:iCs/>
        </w:rPr>
        <w:t>These factors are leading to more climate</w:t>
      </w:r>
      <w:r w:rsidR="00080FEF" w:rsidRPr="00CE791B">
        <w:rPr>
          <w:rFonts w:cstheme="minorHAnsi"/>
          <w:iCs/>
        </w:rPr>
        <w:t>-</w:t>
      </w:r>
      <w:r w:rsidR="00914997" w:rsidRPr="00CE791B">
        <w:rPr>
          <w:rFonts w:cstheme="minorHAnsi"/>
          <w:iCs/>
        </w:rPr>
        <w:t>aware business</w:t>
      </w:r>
      <w:r w:rsidR="00721DE3" w:rsidRPr="00CE791B">
        <w:rPr>
          <w:rFonts w:cstheme="minorHAnsi"/>
          <w:iCs/>
        </w:rPr>
        <w:t xml:space="preserve"> investment </w:t>
      </w:r>
      <w:r w:rsidR="00914997" w:rsidRPr="00CE791B">
        <w:rPr>
          <w:rFonts w:cstheme="minorHAnsi"/>
          <w:iCs/>
        </w:rPr>
        <w:t xml:space="preserve">practices. Similarly, governments are increasingly adopting climate-informed </w:t>
      </w:r>
      <w:r w:rsidR="00721DE3" w:rsidRPr="00CE791B">
        <w:rPr>
          <w:rFonts w:cstheme="minorHAnsi"/>
          <w:iCs/>
        </w:rPr>
        <w:t>screening</w:t>
      </w:r>
      <w:r w:rsidR="00080FEF" w:rsidRPr="00CE791B">
        <w:rPr>
          <w:rFonts w:cstheme="minorHAnsi"/>
          <w:iCs/>
        </w:rPr>
        <w:t xml:space="preserve"> </w:t>
      </w:r>
      <w:r w:rsidR="008B0225" w:rsidRPr="00CE791B">
        <w:rPr>
          <w:rFonts w:cstheme="minorHAnsi"/>
          <w:iCs/>
        </w:rPr>
        <w:t xml:space="preserve">for </w:t>
      </w:r>
      <w:r w:rsidR="00914997" w:rsidRPr="00CE791B">
        <w:rPr>
          <w:rFonts w:cstheme="minorHAnsi"/>
          <w:iCs/>
        </w:rPr>
        <w:t>public procurement and investment management</w:t>
      </w:r>
      <w:r w:rsidR="008B0225" w:rsidRPr="00CE791B">
        <w:rPr>
          <w:rFonts w:cstheme="minorHAnsi"/>
          <w:iCs/>
        </w:rPr>
        <w:t>,</w:t>
      </w:r>
      <w:r w:rsidR="00CE0A85" w:rsidRPr="00CE791B">
        <w:rPr>
          <w:rStyle w:val="FootnoteReference"/>
          <w:rFonts w:cstheme="minorHAnsi"/>
          <w:iCs/>
        </w:rPr>
        <w:footnoteReference w:id="32"/>
      </w:r>
      <w:r w:rsidR="00914997" w:rsidRPr="00CE791B">
        <w:rPr>
          <w:rFonts w:cstheme="minorHAnsi"/>
          <w:iCs/>
        </w:rPr>
        <w:t xml:space="preserve"> which should be </w:t>
      </w:r>
      <w:r w:rsidR="00721DE3" w:rsidRPr="00CE791B">
        <w:rPr>
          <w:rFonts w:cstheme="minorHAnsi"/>
          <w:iCs/>
        </w:rPr>
        <w:t>adopted by</w:t>
      </w:r>
      <w:r w:rsidR="00914997" w:rsidRPr="00CE791B">
        <w:rPr>
          <w:rFonts w:cstheme="minorHAnsi"/>
          <w:iCs/>
        </w:rPr>
        <w:t xml:space="preserve"> SOEs</w:t>
      </w:r>
      <w:r w:rsidR="00721DE3" w:rsidRPr="00CE791B">
        <w:rPr>
          <w:rFonts w:cstheme="minorHAnsi"/>
          <w:iCs/>
        </w:rPr>
        <w:t xml:space="preserve"> to strengthen policy consistency</w:t>
      </w:r>
      <w:r w:rsidR="00CE0A85" w:rsidRPr="00CE791B">
        <w:rPr>
          <w:rFonts w:cstheme="minorHAnsi"/>
          <w:iCs/>
        </w:rPr>
        <w:t xml:space="preserve"> </w:t>
      </w:r>
      <w:r w:rsidR="00721DE3" w:rsidRPr="00CE791B">
        <w:rPr>
          <w:rFonts w:cstheme="minorHAnsi"/>
          <w:iCs/>
        </w:rPr>
        <w:t xml:space="preserve">and efficacy </w:t>
      </w:r>
      <w:r w:rsidR="00CE0A85" w:rsidRPr="00CE791B">
        <w:rPr>
          <w:rFonts w:cstheme="minorHAnsi"/>
          <w:iCs/>
        </w:rPr>
        <w:t xml:space="preserve">(although the extent </w:t>
      </w:r>
      <w:r w:rsidR="00AB2DA0" w:rsidRPr="00CE791B">
        <w:rPr>
          <w:rFonts w:cstheme="minorHAnsi"/>
          <w:iCs/>
        </w:rPr>
        <w:t xml:space="preserve">of adoption </w:t>
      </w:r>
      <w:r w:rsidR="00CE0A85" w:rsidRPr="00CE791B">
        <w:rPr>
          <w:rFonts w:cstheme="minorHAnsi"/>
          <w:iCs/>
        </w:rPr>
        <w:t>is</w:t>
      </w:r>
      <w:r w:rsidR="008B0225" w:rsidRPr="00CE791B">
        <w:rPr>
          <w:rFonts w:cstheme="minorHAnsi"/>
          <w:iCs/>
        </w:rPr>
        <w:t xml:space="preserve"> un</w:t>
      </w:r>
      <w:r w:rsidR="00CE0A85" w:rsidRPr="00CE791B">
        <w:rPr>
          <w:rFonts w:cstheme="minorHAnsi"/>
          <w:iCs/>
        </w:rPr>
        <w:t>clear)</w:t>
      </w:r>
      <w:r w:rsidR="00914997" w:rsidRPr="00CE791B">
        <w:rPr>
          <w:rFonts w:cstheme="minorHAnsi"/>
          <w:iCs/>
        </w:rPr>
        <w:t xml:space="preserve">. </w:t>
      </w:r>
    </w:p>
    <w:p w14:paraId="7D13C0F5" w14:textId="77777777" w:rsidR="008C0CCC" w:rsidRPr="00CE791B" w:rsidRDefault="008C0CCC" w:rsidP="00845D5C">
      <w:pPr>
        <w:shd w:val="clear" w:color="auto" w:fill="FFFFFF"/>
        <w:spacing w:after="0" w:line="240" w:lineRule="auto"/>
        <w:jc w:val="both"/>
        <w:rPr>
          <w:rFonts w:cstheme="minorHAnsi"/>
          <w:iCs/>
        </w:rPr>
      </w:pPr>
    </w:p>
    <w:p w14:paraId="5A6E3BE5" w14:textId="05EB1ECB" w:rsidR="001C2B49" w:rsidRPr="00F46F36" w:rsidRDefault="001C2B49" w:rsidP="00845D5C">
      <w:pPr>
        <w:shd w:val="clear" w:color="auto" w:fill="FFFFFF"/>
        <w:spacing w:after="0" w:line="240" w:lineRule="auto"/>
        <w:jc w:val="both"/>
        <w:rPr>
          <w:rFonts w:cstheme="minorHAnsi"/>
          <w:iCs/>
        </w:rPr>
      </w:pPr>
      <w:r w:rsidRPr="00F46F36">
        <w:rPr>
          <w:rFonts w:cstheme="minorHAnsi"/>
          <w:iCs/>
        </w:rPr>
        <w:t xml:space="preserve">Further, there is a growing recognition of significant business opportunities for corporations, including SOEs, in pursuing responsible investing, i.e., by considering </w:t>
      </w:r>
      <w:r w:rsidR="00C91BD0" w:rsidRPr="00F46F36">
        <w:rPr>
          <w:rFonts w:cstheme="minorHAnsi"/>
          <w:iCs/>
        </w:rPr>
        <w:t>and disclosing environmental, social and governance (</w:t>
      </w:r>
      <w:r w:rsidRPr="00F46F36">
        <w:rPr>
          <w:rFonts w:cstheme="minorHAnsi"/>
          <w:iCs/>
        </w:rPr>
        <w:t>ESG</w:t>
      </w:r>
      <w:r w:rsidR="00C91BD0" w:rsidRPr="00F46F36">
        <w:rPr>
          <w:rFonts w:cstheme="minorHAnsi"/>
          <w:iCs/>
        </w:rPr>
        <w:t>)</w:t>
      </w:r>
      <w:r w:rsidRPr="00F46F36">
        <w:rPr>
          <w:rFonts w:cstheme="minorHAnsi"/>
          <w:iCs/>
        </w:rPr>
        <w:t xml:space="preserve"> factors, especially in the infrastructure sector. ESG factors, for example, can have important linkages to returns over time, long-term liabilities, and reputational risk.</w:t>
      </w:r>
      <w:r w:rsidR="002249E6" w:rsidRPr="00F46F36">
        <w:rPr>
          <w:rFonts w:cstheme="minorHAnsi"/>
          <w:iCs/>
        </w:rPr>
        <w:t xml:space="preserve"> </w:t>
      </w:r>
      <w:r w:rsidR="0044709C" w:rsidRPr="00F46F36">
        <w:rPr>
          <w:rFonts w:cstheme="minorHAnsi"/>
          <w:iCs/>
        </w:rPr>
        <w:t>The</w:t>
      </w:r>
      <w:r w:rsidR="00623314" w:rsidRPr="00F46F36">
        <w:rPr>
          <w:rFonts w:cstheme="minorHAnsi"/>
          <w:iCs/>
        </w:rPr>
        <w:t xml:space="preserve"> </w:t>
      </w:r>
      <w:r w:rsidR="0044709C" w:rsidRPr="00F46F36">
        <w:rPr>
          <w:rFonts w:cstheme="minorHAnsi"/>
          <w:iCs/>
        </w:rPr>
        <w:t xml:space="preserve">increase in internationalization of SOEs in recent years could lead to increased </w:t>
      </w:r>
      <w:r w:rsidR="00905210" w:rsidRPr="00F46F36">
        <w:rPr>
          <w:rFonts w:cstheme="minorHAnsi"/>
          <w:iCs/>
        </w:rPr>
        <w:t>scrutiny</w:t>
      </w:r>
      <w:r w:rsidR="0044709C" w:rsidRPr="00F46F36">
        <w:rPr>
          <w:rFonts w:cstheme="minorHAnsi"/>
          <w:iCs/>
        </w:rPr>
        <w:t xml:space="preserve"> of </w:t>
      </w:r>
      <w:r w:rsidR="00905210" w:rsidRPr="00F46F36">
        <w:rPr>
          <w:rFonts w:cstheme="minorHAnsi"/>
          <w:iCs/>
        </w:rPr>
        <w:t xml:space="preserve">CSR mandates and </w:t>
      </w:r>
      <w:r w:rsidR="0044709C" w:rsidRPr="00F46F36">
        <w:rPr>
          <w:rFonts w:cstheme="minorHAnsi"/>
          <w:iCs/>
        </w:rPr>
        <w:t xml:space="preserve">ESG </w:t>
      </w:r>
      <w:r w:rsidR="00905210" w:rsidRPr="00F46F36">
        <w:rPr>
          <w:rFonts w:cstheme="minorHAnsi"/>
          <w:iCs/>
        </w:rPr>
        <w:t>disclosure.</w:t>
      </w:r>
      <w:r w:rsidRPr="00F46F36">
        <w:rPr>
          <w:rFonts w:cstheme="minorHAnsi"/>
          <w:iCs/>
        </w:rPr>
        <w:t xml:space="preserve"> </w:t>
      </w:r>
      <w:r w:rsidR="00350836" w:rsidRPr="00F46F36">
        <w:rPr>
          <w:rFonts w:cstheme="minorHAnsi"/>
          <w:iCs/>
        </w:rPr>
        <w:t xml:space="preserve">The need to adopt responsible investment practices and </w:t>
      </w:r>
      <w:r w:rsidR="00EB5918" w:rsidRPr="00F46F36">
        <w:rPr>
          <w:rFonts w:cstheme="minorHAnsi"/>
          <w:iCs/>
        </w:rPr>
        <w:t xml:space="preserve">provide </w:t>
      </w:r>
      <w:r w:rsidR="00036BCA" w:rsidRPr="00F46F36">
        <w:rPr>
          <w:rFonts w:cstheme="minorHAnsi"/>
          <w:iCs/>
        </w:rPr>
        <w:t>ESG disclosure</w:t>
      </w:r>
      <w:r w:rsidR="00C449FC" w:rsidRPr="00F46F36">
        <w:rPr>
          <w:rFonts w:cstheme="minorHAnsi"/>
          <w:iCs/>
        </w:rPr>
        <w:t xml:space="preserve"> </w:t>
      </w:r>
      <w:r w:rsidR="00036BCA" w:rsidRPr="00F46F36">
        <w:rPr>
          <w:rFonts w:cstheme="minorHAnsi"/>
          <w:iCs/>
        </w:rPr>
        <w:t>is also becoming i</w:t>
      </w:r>
      <w:r w:rsidR="00F749A8" w:rsidRPr="00F46F36">
        <w:rPr>
          <w:rFonts w:cstheme="minorHAnsi"/>
          <w:iCs/>
        </w:rPr>
        <w:t>mportant for financ</w:t>
      </w:r>
      <w:r w:rsidR="00634B39" w:rsidRPr="00F46F36">
        <w:rPr>
          <w:rFonts w:cstheme="minorHAnsi"/>
          <w:iCs/>
        </w:rPr>
        <w:t>ial sector entities</w:t>
      </w:r>
      <w:r w:rsidR="00587385" w:rsidRPr="00F46F36">
        <w:rPr>
          <w:rFonts w:cstheme="minorHAnsi"/>
          <w:iCs/>
        </w:rPr>
        <w:t xml:space="preserve">—including </w:t>
      </w:r>
      <w:r w:rsidR="00E83658" w:rsidRPr="00F46F36">
        <w:rPr>
          <w:rFonts w:cstheme="minorHAnsi"/>
          <w:iCs/>
        </w:rPr>
        <w:t>f</w:t>
      </w:r>
      <w:r w:rsidRPr="00F46F36">
        <w:rPr>
          <w:rFonts w:cstheme="minorHAnsi"/>
          <w:iCs/>
        </w:rPr>
        <w:t>or countries</w:t>
      </w:r>
      <w:r w:rsidR="00E83658" w:rsidRPr="00F46F36">
        <w:rPr>
          <w:rFonts w:cstheme="minorHAnsi"/>
          <w:iCs/>
        </w:rPr>
        <w:t xml:space="preserve"> that have state-held sovereign </w:t>
      </w:r>
      <w:r w:rsidR="00E83658" w:rsidRPr="00F46F36">
        <w:rPr>
          <w:rFonts w:cstheme="minorHAnsi"/>
          <w:iCs/>
        </w:rPr>
        <w:lastRenderedPageBreak/>
        <w:t>wealth funds (SWF)</w:t>
      </w:r>
      <w:r w:rsidR="00B85DE6" w:rsidRPr="00F46F36">
        <w:rPr>
          <w:rFonts w:cstheme="minorHAnsi"/>
          <w:iCs/>
        </w:rPr>
        <w:t>, including LMICs (such as Chile, Ghana, Mexico, Nigeria)</w:t>
      </w:r>
      <w:r w:rsidR="00EB5918" w:rsidRPr="00F46F36">
        <w:rPr>
          <w:rFonts w:cstheme="minorHAnsi"/>
          <w:iCs/>
        </w:rPr>
        <w:t>. SWFs</w:t>
      </w:r>
      <w:r w:rsidR="00E83658" w:rsidRPr="00F46F36">
        <w:rPr>
          <w:rFonts w:cstheme="minorHAnsi"/>
          <w:iCs/>
        </w:rPr>
        <w:t xml:space="preserve"> are typically funded by excess fossil fuel revenues</w:t>
      </w:r>
      <w:r w:rsidR="00B85DE6" w:rsidRPr="00F46F36">
        <w:rPr>
          <w:rFonts w:cstheme="minorHAnsi"/>
          <w:iCs/>
        </w:rPr>
        <w:t xml:space="preserve"> </w:t>
      </w:r>
      <w:r w:rsidRPr="00F46F36">
        <w:rPr>
          <w:rFonts w:cstheme="minorHAnsi"/>
          <w:iCs/>
        </w:rPr>
        <w:t xml:space="preserve">and </w:t>
      </w:r>
      <w:r w:rsidR="00A85F66" w:rsidRPr="00F46F36">
        <w:rPr>
          <w:rFonts w:cstheme="minorHAnsi"/>
          <w:iCs/>
        </w:rPr>
        <w:t xml:space="preserve">can be </w:t>
      </w:r>
      <w:r w:rsidRPr="00F46F36">
        <w:rPr>
          <w:rFonts w:cstheme="minorHAnsi"/>
          <w:iCs/>
        </w:rPr>
        <w:t>among the largest investors globally</w:t>
      </w:r>
      <w:r w:rsidR="00587385" w:rsidRPr="00F46F36">
        <w:rPr>
          <w:rFonts w:cstheme="minorHAnsi"/>
          <w:iCs/>
        </w:rPr>
        <w:t>.</w:t>
      </w:r>
      <w:r w:rsidRPr="00F46F36">
        <w:rPr>
          <w:rStyle w:val="FootnoteReference"/>
          <w:rFonts w:cstheme="minorHAnsi"/>
          <w:iCs/>
        </w:rPr>
        <w:footnoteReference w:id="33"/>
      </w:r>
      <w:r w:rsidRPr="00F46F36">
        <w:rPr>
          <w:rFonts w:cstheme="minorHAnsi"/>
          <w:iCs/>
        </w:rPr>
        <w:t xml:space="preserve"> </w:t>
      </w:r>
    </w:p>
    <w:p w14:paraId="51FCB980" w14:textId="21606DD5" w:rsidR="001C2B49" w:rsidRPr="00F46F36" w:rsidRDefault="001C2B49" w:rsidP="00845D5C">
      <w:pPr>
        <w:pStyle w:val="NoSpacing"/>
        <w:jc w:val="both"/>
        <w:rPr>
          <w:rFonts w:cstheme="minorHAnsi"/>
          <w:bCs/>
          <w:iCs/>
        </w:rPr>
      </w:pPr>
    </w:p>
    <w:p w14:paraId="10EC4883" w14:textId="7ED0D146" w:rsidR="00923BCE" w:rsidRPr="00F46F36" w:rsidRDefault="00EF406E" w:rsidP="00C22603">
      <w:pPr>
        <w:pStyle w:val="NoSpacing"/>
        <w:jc w:val="both"/>
        <w:rPr>
          <w:rFonts w:cstheme="minorHAnsi"/>
        </w:rPr>
      </w:pPr>
      <w:r w:rsidRPr="00CE791B">
        <w:rPr>
          <w:rFonts w:cstheme="minorHAnsi"/>
          <w:bCs/>
          <w:iCs/>
        </w:rPr>
        <w:t>Strengthening the consistency in the</w:t>
      </w:r>
      <w:r w:rsidR="00EE5612" w:rsidRPr="00CE791B">
        <w:rPr>
          <w:rFonts w:cstheme="minorHAnsi"/>
          <w:bCs/>
          <w:iCs/>
        </w:rPr>
        <w:t xml:space="preserve"> climate-related</w:t>
      </w:r>
      <w:r w:rsidRPr="00CE791B">
        <w:rPr>
          <w:rFonts w:cstheme="minorHAnsi"/>
          <w:bCs/>
          <w:iCs/>
        </w:rPr>
        <w:t xml:space="preserve"> incentives structures that SOEs and private companies face </w:t>
      </w:r>
      <w:r w:rsidR="004B1B0A" w:rsidRPr="00CE791B">
        <w:rPr>
          <w:rFonts w:cstheme="minorHAnsi"/>
          <w:bCs/>
          <w:iCs/>
        </w:rPr>
        <w:t>is a critical area</w:t>
      </w:r>
      <w:r w:rsidR="00B2537B" w:rsidRPr="00CE791B">
        <w:rPr>
          <w:rFonts w:cstheme="minorHAnsi"/>
          <w:bCs/>
          <w:iCs/>
        </w:rPr>
        <w:t xml:space="preserve"> of reform to support policy efficacy</w:t>
      </w:r>
      <w:r w:rsidR="00FF0330" w:rsidRPr="00CE791B">
        <w:rPr>
          <w:rFonts w:cstheme="minorHAnsi"/>
          <w:bCs/>
          <w:iCs/>
        </w:rPr>
        <w:t xml:space="preserve"> and a more level playing field</w:t>
      </w:r>
      <w:r w:rsidR="00B2537B" w:rsidRPr="00CE791B">
        <w:rPr>
          <w:rFonts w:cstheme="minorHAnsi"/>
          <w:bCs/>
          <w:iCs/>
        </w:rPr>
        <w:t>.</w:t>
      </w:r>
      <w:r w:rsidR="004B1B0A" w:rsidRPr="00CE791B">
        <w:rPr>
          <w:rFonts w:cstheme="minorHAnsi"/>
          <w:bCs/>
          <w:iCs/>
        </w:rPr>
        <w:t xml:space="preserve"> </w:t>
      </w:r>
      <w:r w:rsidR="0068580F" w:rsidRPr="00CE791B">
        <w:rPr>
          <w:rFonts w:cstheme="minorHAnsi"/>
          <w:bCs/>
          <w:iCs/>
        </w:rPr>
        <w:t>Two important</w:t>
      </w:r>
      <w:r w:rsidR="00FF0330" w:rsidRPr="00CE791B">
        <w:rPr>
          <w:rFonts w:cstheme="minorHAnsi"/>
          <w:bCs/>
          <w:iCs/>
        </w:rPr>
        <w:t xml:space="preserve"> example</w:t>
      </w:r>
      <w:r w:rsidR="0068580F" w:rsidRPr="00CE791B">
        <w:rPr>
          <w:rFonts w:cstheme="minorHAnsi"/>
          <w:bCs/>
          <w:iCs/>
        </w:rPr>
        <w:t xml:space="preserve">s are subsidy and </w:t>
      </w:r>
      <w:r w:rsidR="00DF4E6A" w:rsidRPr="00CE791B">
        <w:rPr>
          <w:rFonts w:cstheme="minorHAnsi"/>
          <w:bCs/>
          <w:iCs/>
        </w:rPr>
        <w:t xml:space="preserve">environmental tax reforms.  </w:t>
      </w:r>
      <w:r w:rsidR="003E38D2" w:rsidRPr="00F46F36">
        <w:rPr>
          <w:rFonts w:cstheme="minorHAnsi"/>
          <w:bCs/>
          <w:iCs/>
        </w:rPr>
        <w:t>SOE</w:t>
      </w:r>
      <w:r w:rsidR="00ED393E" w:rsidRPr="00F46F36">
        <w:rPr>
          <w:rFonts w:cstheme="minorHAnsi"/>
          <w:bCs/>
          <w:iCs/>
        </w:rPr>
        <w:t xml:space="preserve"> </w:t>
      </w:r>
      <w:r w:rsidR="00AA44AE" w:rsidRPr="00F46F36">
        <w:rPr>
          <w:rFonts w:cstheme="minorHAnsi"/>
          <w:bCs/>
          <w:iCs/>
        </w:rPr>
        <w:t>subsid</w:t>
      </w:r>
      <w:r w:rsidR="004D7239" w:rsidRPr="00F46F36">
        <w:rPr>
          <w:rFonts w:cstheme="minorHAnsi"/>
          <w:bCs/>
          <w:iCs/>
        </w:rPr>
        <w:t>y</w:t>
      </w:r>
      <w:r w:rsidR="00ED393E" w:rsidRPr="00F46F36">
        <w:rPr>
          <w:rFonts w:cstheme="minorHAnsi"/>
          <w:bCs/>
          <w:iCs/>
        </w:rPr>
        <w:t>-</w:t>
      </w:r>
      <w:r w:rsidR="004D7239" w:rsidRPr="00F46F36">
        <w:rPr>
          <w:rFonts w:cstheme="minorHAnsi"/>
          <w:bCs/>
          <w:iCs/>
        </w:rPr>
        <w:t>reforms</w:t>
      </w:r>
      <w:r w:rsidR="00AA44AE" w:rsidRPr="00F46F36">
        <w:rPr>
          <w:rFonts w:cstheme="minorHAnsi"/>
          <w:bCs/>
          <w:iCs/>
        </w:rPr>
        <w:t xml:space="preserve"> </w:t>
      </w:r>
      <w:r w:rsidR="00575E22" w:rsidRPr="00F46F36">
        <w:rPr>
          <w:rFonts w:cstheme="minorHAnsi"/>
          <w:bCs/>
          <w:iCs/>
        </w:rPr>
        <w:t xml:space="preserve">for </w:t>
      </w:r>
      <w:r w:rsidR="00C707B7" w:rsidRPr="00F46F36">
        <w:rPr>
          <w:rFonts w:cstheme="minorHAnsi"/>
          <w:bCs/>
          <w:iCs/>
        </w:rPr>
        <w:t>fossil fuels</w:t>
      </w:r>
      <w:r w:rsidR="004D7239" w:rsidRPr="00F46F36">
        <w:rPr>
          <w:rFonts w:cstheme="minorHAnsi"/>
          <w:bCs/>
          <w:iCs/>
        </w:rPr>
        <w:t xml:space="preserve"> </w:t>
      </w:r>
      <w:r w:rsidR="003E38D2" w:rsidRPr="00F46F36">
        <w:rPr>
          <w:rFonts w:cstheme="minorHAnsi"/>
          <w:bCs/>
          <w:iCs/>
        </w:rPr>
        <w:t>could help catalyze</w:t>
      </w:r>
      <w:r w:rsidR="007F056E" w:rsidRPr="00F46F36">
        <w:rPr>
          <w:rFonts w:cstheme="minorHAnsi"/>
          <w:bCs/>
          <w:iCs/>
        </w:rPr>
        <w:t xml:space="preserve"> </w:t>
      </w:r>
      <w:r w:rsidR="003E38D2" w:rsidRPr="00F46F36">
        <w:rPr>
          <w:rFonts w:cstheme="minorHAnsi"/>
          <w:bCs/>
          <w:iCs/>
        </w:rPr>
        <w:t>private sector de-carbonization</w:t>
      </w:r>
      <w:r w:rsidR="00EB6F03" w:rsidRPr="00F46F36">
        <w:rPr>
          <w:rFonts w:cstheme="minorHAnsi"/>
          <w:bCs/>
          <w:iCs/>
        </w:rPr>
        <w:t>.</w:t>
      </w:r>
      <w:r w:rsidR="00EB6F03" w:rsidRPr="00F46F36">
        <w:rPr>
          <w:rFonts w:cstheme="minorHAnsi"/>
        </w:rPr>
        <w:t xml:space="preserve"> </w:t>
      </w:r>
      <w:r w:rsidR="003E38D2" w:rsidRPr="00F46F36">
        <w:rPr>
          <w:rFonts w:cstheme="minorHAnsi"/>
        </w:rPr>
        <w:t>SOEs often receive numerous benefits in terms of business requirements and incentives that are not extended to the private sector</w:t>
      </w:r>
      <w:r w:rsidR="000F6B9E" w:rsidRPr="00F46F36">
        <w:rPr>
          <w:rFonts w:cstheme="minorHAnsi"/>
        </w:rPr>
        <w:t xml:space="preserve"> (e.g., </w:t>
      </w:r>
      <w:r w:rsidR="00AD7E0C" w:rsidRPr="00F46F36">
        <w:rPr>
          <w:rFonts w:cstheme="minorHAnsi"/>
        </w:rPr>
        <w:t xml:space="preserve">preferential access to land, government loan guarantees, </w:t>
      </w:r>
      <w:r w:rsidR="000F6B9E" w:rsidRPr="00F46F36">
        <w:rPr>
          <w:rFonts w:cstheme="minorHAnsi"/>
        </w:rPr>
        <w:t>import duty waivers</w:t>
      </w:r>
      <w:r w:rsidR="00AD7E0C" w:rsidRPr="00F46F36">
        <w:rPr>
          <w:rFonts w:cstheme="minorHAnsi"/>
        </w:rPr>
        <w:t>, etc</w:t>
      </w:r>
      <w:r w:rsidR="00745029" w:rsidRPr="00F46F36">
        <w:rPr>
          <w:rFonts w:cstheme="minorHAnsi"/>
        </w:rPr>
        <w:t>.</w:t>
      </w:r>
      <w:r w:rsidR="00AD7E0C" w:rsidRPr="00F46F36">
        <w:rPr>
          <w:rFonts w:cstheme="minorHAnsi"/>
        </w:rPr>
        <w:t>)</w:t>
      </w:r>
      <w:r w:rsidR="003E38D2" w:rsidRPr="00F46F36">
        <w:rPr>
          <w:rFonts w:cstheme="minorHAnsi"/>
        </w:rPr>
        <w:t xml:space="preserve">. </w:t>
      </w:r>
      <w:r w:rsidR="00702451" w:rsidRPr="00F46F36">
        <w:rPr>
          <w:rFonts w:cstheme="minorHAnsi"/>
        </w:rPr>
        <w:t xml:space="preserve">These benefits </w:t>
      </w:r>
      <w:r w:rsidR="00CA77B4" w:rsidRPr="00F46F36">
        <w:rPr>
          <w:rFonts w:cstheme="minorHAnsi"/>
        </w:rPr>
        <w:t>are essentially implicit or explicit subsidies</w:t>
      </w:r>
      <w:r w:rsidR="005F2EC5" w:rsidRPr="00F46F36">
        <w:rPr>
          <w:rFonts w:cstheme="minorHAnsi"/>
        </w:rPr>
        <w:t>, and</w:t>
      </w:r>
      <w:r w:rsidR="00C707B7" w:rsidRPr="00F46F36">
        <w:rPr>
          <w:rFonts w:cstheme="minorHAnsi"/>
        </w:rPr>
        <w:t xml:space="preserve"> are often extended to </w:t>
      </w:r>
      <w:r w:rsidR="003C1EE8" w:rsidRPr="00F46F36">
        <w:rPr>
          <w:rFonts w:cstheme="minorHAnsi"/>
        </w:rPr>
        <w:t>carbon-intensive activities</w:t>
      </w:r>
      <w:r w:rsidR="00C707B7" w:rsidRPr="00F46F36">
        <w:rPr>
          <w:rFonts w:cstheme="minorHAnsi"/>
        </w:rPr>
        <w:t>, which</w:t>
      </w:r>
      <w:r w:rsidR="003C1EE8" w:rsidRPr="00F46F36">
        <w:rPr>
          <w:rFonts w:cstheme="minorHAnsi"/>
        </w:rPr>
        <w:t xml:space="preserve"> </w:t>
      </w:r>
      <w:r w:rsidR="00733E03" w:rsidRPr="00F46F36">
        <w:rPr>
          <w:rFonts w:cstheme="minorHAnsi"/>
        </w:rPr>
        <w:t>contribute</w:t>
      </w:r>
      <w:r w:rsidR="00C707B7" w:rsidRPr="00F46F36">
        <w:rPr>
          <w:rFonts w:cstheme="minorHAnsi"/>
        </w:rPr>
        <w:t>s</w:t>
      </w:r>
      <w:r w:rsidR="00733E03" w:rsidRPr="00F46F36">
        <w:rPr>
          <w:rFonts w:cstheme="minorHAnsi"/>
        </w:rPr>
        <w:t xml:space="preserve"> to the locking in of </w:t>
      </w:r>
      <w:r w:rsidR="00913278" w:rsidRPr="00F46F36">
        <w:rPr>
          <w:rFonts w:cstheme="minorHAnsi"/>
        </w:rPr>
        <w:t xml:space="preserve">a </w:t>
      </w:r>
      <w:r w:rsidR="00632FC4" w:rsidRPr="00F46F36">
        <w:rPr>
          <w:rFonts w:cstheme="minorHAnsi"/>
        </w:rPr>
        <w:t>carbon</w:t>
      </w:r>
      <w:r w:rsidR="00913278" w:rsidRPr="00F46F36">
        <w:rPr>
          <w:rFonts w:cstheme="minorHAnsi"/>
        </w:rPr>
        <w:t>-intensive development path.</w:t>
      </w:r>
      <w:r w:rsidR="00632FC4" w:rsidRPr="00F46F36">
        <w:rPr>
          <w:rFonts w:cstheme="minorHAnsi"/>
        </w:rPr>
        <w:t xml:space="preserve"> </w:t>
      </w:r>
      <w:r w:rsidR="003E38D2" w:rsidRPr="00F46F36">
        <w:rPr>
          <w:rFonts w:cstheme="minorHAnsi"/>
        </w:rPr>
        <w:t xml:space="preserve">In the context of climate action policy, aside from addressing the fiscal burden, </w:t>
      </w:r>
      <w:r w:rsidR="00913278" w:rsidRPr="00F46F36">
        <w:rPr>
          <w:rFonts w:cstheme="minorHAnsi"/>
        </w:rPr>
        <w:t xml:space="preserve">many </w:t>
      </w:r>
      <w:r w:rsidR="003E38D2" w:rsidRPr="00F46F36">
        <w:rPr>
          <w:rFonts w:cstheme="minorHAnsi"/>
        </w:rPr>
        <w:t>such benefits may need to be rationalized in order to remove distortions and to align incentives structures with climate action policies and to level the playing field for private sector companies.</w:t>
      </w:r>
      <w:r w:rsidR="00EB6F03" w:rsidRPr="00F46F36">
        <w:rPr>
          <w:rFonts w:cstheme="minorHAnsi"/>
        </w:rPr>
        <w:t xml:space="preserve"> </w:t>
      </w:r>
      <w:r w:rsidR="003E38D2" w:rsidRPr="00F46F36">
        <w:rPr>
          <w:rFonts w:cstheme="minorHAnsi"/>
        </w:rPr>
        <w:t>There tends to be aversion to SOE pricing and subsidy reforms</w:t>
      </w:r>
      <w:r w:rsidR="00863C41" w:rsidRPr="00F46F36">
        <w:rPr>
          <w:rFonts w:cstheme="minorHAnsi"/>
        </w:rPr>
        <w:t xml:space="preserve">, </w:t>
      </w:r>
      <w:r w:rsidR="003E38D2" w:rsidRPr="00F46F36">
        <w:rPr>
          <w:rFonts w:cstheme="minorHAnsi"/>
        </w:rPr>
        <w:t>as they often involve significant stakeholder engagement that may become political. However, current low fossil fuel prices provide an important opportunity for governments to address these challenges and phase-out fossil fuel subsidies</w:t>
      </w:r>
      <w:r w:rsidR="0083411E" w:rsidRPr="00F46F36">
        <w:rPr>
          <w:rFonts w:cstheme="minorHAnsi"/>
        </w:rPr>
        <w:t xml:space="preserve">, </w:t>
      </w:r>
      <w:r w:rsidR="007E778A" w:rsidRPr="00F46F36">
        <w:rPr>
          <w:rFonts w:cstheme="minorHAnsi"/>
        </w:rPr>
        <w:t>along with</w:t>
      </w:r>
      <w:r w:rsidR="0083411E" w:rsidRPr="00F46F36">
        <w:rPr>
          <w:rFonts w:cstheme="minorHAnsi"/>
        </w:rPr>
        <w:t xml:space="preserve"> </w:t>
      </w:r>
      <w:r w:rsidR="00BF51EB" w:rsidRPr="00F46F36">
        <w:rPr>
          <w:rFonts w:cstheme="minorHAnsi"/>
        </w:rPr>
        <w:t>introduc</w:t>
      </w:r>
      <w:r w:rsidR="00B15958" w:rsidRPr="00F46F36">
        <w:rPr>
          <w:rFonts w:cstheme="minorHAnsi"/>
        </w:rPr>
        <w:t>ing</w:t>
      </w:r>
      <w:r w:rsidR="00BF51EB" w:rsidRPr="00F46F36">
        <w:rPr>
          <w:rFonts w:cstheme="minorHAnsi"/>
        </w:rPr>
        <w:t xml:space="preserve"> environmental tax</w:t>
      </w:r>
      <w:r w:rsidR="00B0518F" w:rsidRPr="00F46F36">
        <w:rPr>
          <w:rFonts w:cstheme="minorHAnsi"/>
        </w:rPr>
        <w:t xml:space="preserve"> reform</w:t>
      </w:r>
      <w:r w:rsidR="00BF51EB" w:rsidRPr="00F46F36">
        <w:rPr>
          <w:rFonts w:cstheme="minorHAnsi"/>
        </w:rPr>
        <w:t>s</w:t>
      </w:r>
      <w:r w:rsidR="003E38D2" w:rsidRPr="00F46F36">
        <w:rPr>
          <w:rFonts w:cstheme="minorHAnsi"/>
        </w:rPr>
        <w:t xml:space="preserve">. </w:t>
      </w:r>
      <w:r w:rsidR="001D5F06" w:rsidRPr="00F46F36">
        <w:rPr>
          <w:rFonts w:cstheme="minorHAnsi"/>
        </w:rPr>
        <w:t>Taylor (2020) has estimated the supply-side subsidies for renewable energy to have been around US$ 167 billion in 2017, while total direct fossil-fuel subsidies in 2017 were around US$ 447 billion.</w:t>
      </w:r>
      <w:r w:rsidR="001D5F06" w:rsidRPr="00F46F36">
        <w:rPr>
          <w:rStyle w:val="FootnoteReference"/>
          <w:rFonts w:cstheme="minorHAnsi"/>
        </w:rPr>
        <w:footnoteReference w:id="34"/>
      </w:r>
    </w:p>
    <w:p w14:paraId="1BDB5364" w14:textId="77777777" w:rsidR="00923BCE" w:rsidRPr="00F46F36" w:rsidRDefault="00923BCE" w:rsidP="00C22603">
      <w:pPr>
        <w:pStyle w:val="NoSpacing"/>
        <w:jc w:val="both"/>
        <w:rPr>
          <w:rFonts w:cstheme="minorHAnsi"/>
        </w:rPr>
      </w:pPr>
    </w:p>
    <w:p w14:paraId="298DB302" w14:textId="57B770CA" w:rsidR="003E38D2" w:rsidRPr="00F46F36" w:rsidRDefault="0068580F" w:rsidP="00845D5C">
      <w:pPr>
        <w:pStyle w:val="NoSpacing"/>
        <w:jc w:val="both"/>
        <w:rPr>
          <w:rFonts w:cstheme="minorHAnsi"/>
          <w:bCs/>
          <w:iCs/>
        </w:rPr>
      </w:pPr>
      <w:r w:rsidRPr="00CE791B">
        <w:rPr>
          <w:rFonts w:cstheme="minorHAnsi"/>
          <w:bCs/>
          <w:iCs/>
        </w:rPr>
        <w:t>C</w:t>
      </w:r>
      <w:r w:rsidR="002B51F1" w:rsidRPr="00CE791B">
        <w:rPr>
          <w:rFonts w:cstheme="minorHAnsi"/>
        </w:rPr>
        <w:t xml:space="preserve">hanges to </w:t>
      </w:r>
      <w:r w:rsidR="00CD0523" w:rsidRPr="00CE791B">
        <w:rPr>
          <w:rFonts w:cstheme="minorHAnsi"/>
        </w:rPr>
        <w:t>subs</w:t>
      </w:r>
      <w:r w:rsidR="00103CD6" w:rsidRPr="00CE791B">
        <w:rPr>
          <w:rFonts w:cstheme="minorHAnsi"/>
        </w:rPr>
        <w:t xml:space="preserve">idies and </w:t>
      </w:r>
      <w:r w:rsidR="002B51F1" w:rsidRPr="00CE791B">
        <w:rPr>
          <w:rFonts w:cstheme="minorHAnsi"/>
        </w:rPr>
        <w:t>e</w:t>
      </w:r>
      <w:r w:rsidR="009168A3" w:rsidRPr="00CE791B">
        <w:rPr>
          <w:rFonts w:cstheme="minorHAnsi"/>
        </w:rPr>
        <w:t xml:space="preserve">nvironmental taxes and subsidies designed to </w:t>
      </w:r>
      <w:r w:rsidR="007E778A" w:rsidRPr="00CE791B">
        <w:rPr>
          <w:rFonts w:cstheme="minorHAnsi"/>
        </w:rPr>
        <w:t>recalibrate</w:t>
      </w:r>
      <w:r w:rsidR="009168A3" w:rsidRPr="00CE791B">
        <w:rPr>
          <w:rFonts w:cstheme="minorHAnsi"/>
        </w:rPr>
        <w:t xml:space="preserve"> relative price signals in favor of preserving natural capital and limiting carbon-output are two of the most important climate-effective fiscal levers available to governments. </w:t>
      </w:r>
      <w:r w:rsidR="00026E43" w:rsidRPr="00CE791B">
        <w:rPr>
          <w:rFonts w:cstheme="minorHAnsi"/>
        </w:rPr>
        <w:t>Environmental taxes can both change economic behavior and raise revenue</w:t>
      </w:r>
      <w:r w:rsidR="00152B0F" w:rsidRPr="00CE791B">
        <w:rPr>
          <w:rFonts w:cstheme="minorHAnsi"/>
        </w:rPr>
        <w:t>. T</w:t>
      </w:r>
      <w:r w:rsidR="00026E43" w:rsidRPr="00CE791B">
        <w:rPr>
          <w:rFonts w:cstheme="minorHAnsi"/>
        </w:rPr>
        <w:t>axes on goods and activities that produce negative externalities—such as pollution—increase economic efficiency</w:t>
      </w:r>
      <w:r w:rsidR="009A63E8" w:rsidRPr="00CE791B">
        <w:rPr>
          <w:rFonts w:cstheme="minorHAnsi"/>
        </w:rPr>
        <w:t>.</w:t>
      </w:r>
      <w:r w:rsidR="00026E43" w:rsidRPr="00CE791B">
        <w:rPr>
          <w:rFonts w:cstheme="minorHAnsi"/>
        </w:rPr>
        <w:t xml:space="preserve"> While fuel demand is relatively price insensitive in the near term, heavier taxation of fossil fuels could also shift innovation and consumption of SOEs toward renewable energy sources, although research in this area </w:t>
      </w:r>
      <w:r w:rsidR="0014787C" w:rsidRPr="00CE791B">
        <w:rPr>
          <w:rFonts w:cstheme="minorHAnsi"/>
        </w:rPr>
        <w:t xml:space="preserve">for SOEs </w:t>
      </w:r>
      <w:r w:rsidR="007E778A" w:rsidRPr="00CE791B">
        <w:rPr>
          <w:rFonts w:cstheme="minorHAnsi"/>
        </w:rPr>
        <w:t>is limited</w:t>
      </w:r>
      <w:r w:rsidR="00026E43" w:rsidRPr="00CE791B">
        <w:rPr>
          <w:rFonts w:cstheme="minorHAnsi"/>
        </w:rPr>
        <w:t>.</w:t>
      </w:r>
      <w:r w:rsidR="00293AE1" w:rsidRPr="00CE791B">
        <w:rPr>
          <w:rStyle w:val="FootnoteReference"/>
          <w:rFonts w:cstheme="minorHAnsi"/>
          <w:bCs/>
          <w:iCs/>
        </w:rPr>
        <w:footnoteReference w:id="35"/>
      </w:r>
      <w:r w:rsidR="00026E43" w:rsidRPr="00CE791B">
        <w:rPr>
          <w:rFonts w:cstheme="minorHAnsi"/>
        </w:rPr>
        <w:t xml:space="preserve"> </w:t>
      </w:r>
      <w:r w:rsidR="00A13D58" w:rsidRPr="00CE791B">
        <w:rPr>
          <w:rFonts w:cstheme="minorHAnsi"/>
        </w:rPr>
        <w:t>There is</w:t>
      </w:r>
      <w:r w:rsidR="0052130D" w:rsidRPr="00CE791B">
        <w:rPr>
          <w:rFonts w:cstheme="minorHAnsi"/>
        </w:rPr>
        <w:t xml:space="preserve">, however, </w:t>
      </w:r>
      <w:r w:rsidR="00A13D58" w:rsidRPr="00CE791B">
        <w:rPr>
          <w:rFonts w:cstheme="minorHAnsi"/>
        </w:rPr>
        <w:t>e</w:t>
      </w:r>
      <w:r w:rsidR="003E38D2" w:rsidRPr="00CE791B">
        <w:rPr>
          <w:rFonts w:cstheme="minorHAnsi"/>
        </w:rPr>
        <w:t xml:space="preserve">vidence that environmental </w:t>
      </w:r>
      <w:r w:rsidR="008722DD" w:rsidRPr="00CE791B">
        <w:rPr>
          <w:rFonts w:cstheme="minorHAnsi"/>
        </w:rPr>
        <w:t xml:space="preserve">taxes and </w:t>
      </w:r>
      <w:r w:rsidR="003E38D2" w:rsidRPr="00CE791B">
        <w:rPr>
          <w:rFonts w:cstheme="minorHAnsi"/>
        </w:rPr>
        <w:t>regulation spur innovation for low-carbon technologies</w:t>
      </w:r>
      <w:r w:rsidR="003E38D2" w:rsidRPr="00CE791B">
        <w:rPr>
          <w:rFonts w:cstheme="minorHAnsi"/>
          <w:b/>
          <w:i/>
        </w:rPr>
        <w:t xml:space="preserve"> </w:t>
      </w:r>
      <w:r w:rsidR="003E38D2" w:rsidRPr="00CE791B">
        <w:rPr>
          <w:rFonts w:cstheme="minorHAnsi"/>
          <w:bCs/>
          <w:iCs/>
        </w:rPr>
        <w:t>and have knowledge spillovers for other sectors.</w:t>
      </w:r>
      <w:r w:rsidR="003E38D2" w:rsidRPr="00CE791B">
        <w:rPr>
          <w:rStyle w:val="FootnoteReference"/>
          <w:rFonts w:cstheme="minorHAnsi"/>
          <w:bCs/>
          <w:iCs/>
        </w:rPr>
        <w:footnoteReference w:id="36"/>
      </w:r>
      <w:r w:rsidR="003E38D2" w:rsidRPr="00CE791B">
        <w:rPr>
          <w:rFonts w:cstheme="minorHAnsi"/>
          <w:bCs/>
          <w:iCs/>
        </w:rPr>
        <w:t xml:space="preserve"> </w:t>
      </w:r>
      <w:r w:rsidR="0052130D" w:rsidRPr="00CE791B">
        <w:rPr>
          <w:rFonts w:cstheme="minorHAnsi"/>
          <w:bCs/>
          <w:iCs/>
        </w:rPr>
        <w:t xml:space="preserve">For example, </w:t>
      </w:r>
      <w:r w:rsidR="003E38D2" w:rsidRPr="00CE791B">
        <w:rPr>
          <w:rFonts w:cstheme="minorHAnsi"/>
          <w:bCs/>
          <w:iCs/>
        </w:rPr>
        <w:t xml:space="preserve">Dechezleprêtre et al., (2014) researched the impact of the European Union Emissions Trading System (EU ETS) on low-carbon patenting activity as a measure of </w:t>
      </w:r>
      <w:r w:rsidR="003E38D2" w:rsidRPr="00F46F36">
        <w:rPr>
          <w:rFonts w:cstheme="minorHAnsi"/>
          <w:bCs/>
          <w:iCs/>
        </w:rPr>
        <w:t>innovation among regulated firms, and show that the EU ETS has increased innovation activity by 10 per cent in low-carbon technologies among regulated companies.</w:t>
      </w:r>
      <w:r w:rsidR="003E38D2" w:rsidRPr="00F46F36">
        <w:rPr>
          <w:rStyle w:val="FootnoteReference"/>
          <w:rFonts w:cstheme="minorHAnsi"/>
          <w:bCs/>
          <w:iCs/>
        </w:rPr>
        <w:footnoteReference w:id="37"/>
      </w:r>
      <w:r w:rsidR="00EE5DA1" w:rsidRPr="00F46F36">
        <w:rPr>
          <w:rStyle w:val="FootnoteReference"/>
          <w:rFonts w:cstheme="minorHAnsi"/>
        </w:rPr>
        <w:t xml:space="preserve"> </w:t>
      </w:r>
      <w:r w:rsidR="003E38D2" w:rsidRPr="00F46F36">
        <w:rPr>
          <w:rFonts w:cstheme="minorHAnsi"/>
          <w:bCs/>
          <w:iCs/>
        </w:rPr>
        <w:t xml:space="preserve">  </w:t>
      </w:r>
    </w:p>
    <w:p w14:paraId="3328E91C" w14:textId="77777777" w:rsidR="003B5054" w:rsidRPr="00F46F36" w:rsidRDefault="003B5054" w:rsidP="00845D5C">
      <w:pPr>
        <w:spacing w:after="0" w:line="240" w:lineRule="auto"/>
        <w:jc w:val="both"/>
        <w:rPr>
          <w:rFonts w:cstheme="minorHAnsi"/>
        </w:rPr>
      </w:pPr>
    </w:p>
    <w:p w14:paraId="00CD0C1F" w14:textId="2F26EB31" w:rsidR="00746009" w:rsidRPr="00F46F36" w:rsidRDefault="008802FB" w:rsidP="00845D5C">
      <w:pPr>
        <w:pStyle w:val="ListParagraph"/>
        <w:shd w:val="clear" w:color="auto" w:fill="FFFFFF"/>
        <w:spacing w:after="0" w:line="240" w:lineRule="auto"/>
        <w:ind w:left="0"/>
        <w:jc w:val="both"/>
        <w:rPr>
          <w:rFonts w:cstheme="minorHAnsi"/>
          <w:b/>
          <w:bCs/>
        </w:rPr>
      </w:pPr>
      <w:r w:rsidRPr="00F46F36">
        <w:rPr>
          <w:rFonts w:cstheme="minorHAnsi"/>
          <w:b/>
          <w:bCs/>
        </w:rPr>
        <w:t xml:space="preserve">Varied </w:t>
      </w:r>
      <w:r w:rsidR="00611C76" w:rsidRPr="00F46F36">
        <w:rPr>
          <w:rFonts w:cstheme="minorHAnsi"/>
          <w:b/>
          <w:bCs/>
        </w:rPr>
        <w:t>SOE</w:t>
      </w:r>
      <w:r w:rsidR="008919C7" w:rsidRPr="00F46F36">
        <w:rPr>
          <w:rFonts w:cstheme="minorHAnsi"/>
          <w:b/>
          <w:bCs/>
        </w:rPr>
        <w:t xml:space="preserve"> reform</w:t>
      </w:r>
      <w:r w:rsidR="00611C76" w:rsidRPr="00F46F36">
        <w:rPr>
          <w:rFonts w:cstheme="minorHAnsi"/>
          <w:b/>
          <w:bCs/>
        </w:rPr>
        <w:t xml:space="preserve">s </w:t>
      </w:r>
      <w:r w:rsidR="00FE2535" w:rsidRPr="00F46F36">
        <w:rPr>
          <w:rFonts w:cstheme="minorHAnsi"/>
          <w:b/>
          <w:bCs/>
        </w:rPr>
        <w:t xml:space="preserve">have </w:t>
      </w:r>
      <w:r w:rsidR="00374B27" w:rsidRPr="00F46F36">
        <w:rPr>
          <w:rFonts w:cstheme="minorHAnsi"/>
          <w:b/>
          <w:bCs/>
        </w:rPr>
        <w:t>incorporat</w:t>
      </w:r>
      <w:r w:rsidR="00611C76" w:rsidRPr="00F46F36">
        <w:rPr>
          <w:rFonts w:cstheme="minorHAnsi"/>
          <w:b/>
          <w:bCs/>
        </w:rPr>
        <w:t>e</w:t>
      </w:r>
      <w:r w:rsidR="00FE2535" w:rsidRPr="00F46F36">
        <w:rPr>
          <w:rFonts w:cstheme="minorHAnsi"/>
          <w:b/>
          <w:bCs/>
        </w:rPr>
        <w:t>d</w:t>
      </w:r>
      <w:r w:rsidR="00374B27" w:rsidRPr="00F46F36">
        <w:rPr>
          <w:rFonts w:cstheme="minorHAnsi"/>
          <w:b/>
          <w:bCs/>
        </w:rPr>
        <w:t xml:space="preserve"> climate-related mandates and targets </w:t>
      </w:r>
    </w:p>
    <w:p w14:paraId="6EB9A6A0" w14:textId="77777777" w:rsidR="006A5983" w:rsidRPr="00F46F36" w:rsidRDefault="006A5983" w:rsidP="00845D5C">
      <w:pPr>
        <w:pStyle w:val="ListParagraph"/>
        <w:shd w:val="clear" w:color="auto" w:fill="FFFFFF"/>
        <w:spacing w:after="0" w:line="240" w:lineRule="auto"/>
        <w:ind w:left="0"/>
        <w:jc w:val="both"/>
        <w:rPr>
          <w:rFonts w:cstheme="minorHAnsi"/>
        </w:rPr>
      </w:pPr>
    </w:p>
    <w:p w14:paraId="4D2F5556" w14:textId="2994F144" w:rsidR="00407A45" w:rsidRPr="00845D5C" w:rsidRDefault="008F2160" w:rsidP="00845D5C">
      <w:pPr>
        <w:pStyle w:val="ListParagraph"/>
        <w:shd w:val="clear" w:color="auto" w:fill="FFFFFF"/>
        <w:spacing w:after="0" w:line="240" w:lineRule="auto"/>
        <w:ind w:left="0"/>
        <w:jc w:val="both"/>
        <w:rPr>
          <w:rFonts w:cstheme="minorHAnsi"/>
        </w:rPr>
      </w:pPr>
      <w:r w:rsidRPr="00036E7C">
        <w:rPr>
          <w:rFonts w:cs="Calibri"/>
        </w:rPr>
        <w:t>While information is often ad hoc, a growing number of countries are pursuing SOE policy reforms to adopt climate-related policies</w:t>
      </w:r>
      <w:r w:rsidR="00891F30">
        <w:rPr>
          <w:rFonts w:cs="Calibri"/>
        </w:rPr>
        <w:t>,</w:t>
      </w:r>
      <w:r w:rsidR="00891F30" w:rsidRPr="00891F30">
        <w:rPr>
          <w:rFonts w:cstheme="minorHAnsi"/>
        </w:rPr>
        <w:t xml:space="preserve"> </w:t>
      </w:r>
      <w:r w:rsidR="00891F30" w:rsidRPr="00845D5C">
        <w:rPr>
          <w:rFonts w:cstheme="minorHAnsi"/>
        </w:rPr>
        <w:t>which have tended to focus on mitigation</w:t>
      </w:r>
      <w:r w:rsidR="00B37D94">
        <w:rPr>
          <w:rFonts w:cstheme="minorHAnsi"/>
        </w:rPr>
        <w:t>. E</w:t>
      </w:r>
      <w:r w:rsidR="00B37D94">
        <w:rPr>
          <w:rFonts w:cs="Calibri"/>
        </w:rPr>
        <w:t xml:space="preserve">xamples are primarily </w:t>
      </w:r>
      <w:r w:rsidR="00A87FEE">
        <w:rPr>
          <w:rFonts w:cs="Calibri"/>
        </w:rPr>
        <w:t>from</w:t>
      </w:r>
      <w:r w:rsidR="00B37D94">
        <w:rPr>
          <w:rFonts w:cs="Calibri"/>
        </w:rPr>
        <w:t xml:space="preserve"> HICs, a</w:t>
      </w:r>
      <w:r>
        <w:rPr>
          <w:rFonts w:cs="Calibri"/>
        </w:rPr>
        <w:t xml:space="preserve">lthough there are some </w:t>
      </w:r>
      <w:r w:rsidR="00A87FEE">
        <w:rPr>
          <w:rFonts w:cs="Calibri"/>
        </w:rPr>
        <w:t>example</w:t>
      </w:r>
      <w:r>
        <w:rPr>
          <w:rFonts w:cs="Calibri"/>
        </w:rPr>
        <w:t xml:space="preserve">s </w:t>
      </w:r>
      <w:r w:rsidR="00A87FEE">
        <w:rPr>
          <w:rFonts w:cs="Calibri"/>
        </w:rPr>
        <w:t>from</w:t>
      </w:r>
      <w:r>
        <w:rPr>
          <w:rFonts w:cs="Calibri"/>
        </w:rPr>
        <w:t xml:space="preserve"> upper-middle income developing countries (e.g., China, Malaysia</w:t>
      </w:r>
      <w:r w:rsidR="00501A0F">
        <w:rPr>
          <w:rFonts w:cs="Calibri"/>
        </w:rPr>
        <w:t>, Peru</w:t>
      </w:r>
      <w:r>
        <w:rPr>
          <w:rFonts w:cs="Calibri"/>
        </w:rPr>
        <w:t>)</w:t>
      </w:r>
      <w:r w:rsidRPr="00036E7C">
        <w:rPr>
          <w:rFonts w:cs="Calibri"/>
        </w:rPr>
        <w:t xml:space="preserve">. For instance, according to a recent OECD report, eighteen of the 28 countries surveyed (mainly HICs) have made material progress in recent years in national </w:t>
      </w:r>
      <w:r w:rsidRPr="00177B3A">
        <w:rPr>
          <w:rFonts w:cs="Calibri"/>
        </w:rPr>
        <w:t>practices “concerning the integration of sustainability-related values” into</w:t>
      </w:r>
      <w:r w:rsidRPr="00036E7C">
        <w:rPr>
          <w:rFonts w:cs="Calibri"/>
        </w:rPr>
        <w:t xml:space="preserve"> government policies, requirements</w:t>
      </w:r>
      <w:r>
        <w:rPr>
          <w:rFonts w:cs="Calibri"/>
        </w:rPr>
        <w:t>,</w:t>
      </w:r>
      <w:r w:rsidRPr="00036E7C">
        <w:rPr>
          <w:rFonts w:cs="Calibri"/>
        </w:rPr>
        <w:t xml:space="preserve"> and expectations </w:t>
      </w:r>
      <w:r w:rsidRPr="00036E7C">
        <w:rPr>
          <w:rFonts w:cs="Calibri"/>
        </w:rPr>
        <w:lastRenderedPageBreak/>
        <w:t>with regard to the</w:t>
      </w:r>
      <w:r>
        <w:rPr>
          <w:rFonts w:cs="Calibri"/>
        </w:rPr>
        <w:t xml:space="preserve"> </w:t>
      </w:r>
      <w:r w:rsidRPr="00055844">
        <w:rPr>
          <w:rFonts w:cs="Calibri"/>
        </w:rPr>
        <w:t>SOE sector.</w:t>
      </w:r>
      <w:r w:rsidRPr="00055844">
        <w:rPr>
          <w:rStyle w:val="FootnoteReference"/>
          <w:rFonts w:cs="Calibri"/>
        </w:rPr>
        <w:footnoteReference w:id="38"/>
      </w:r>
      <w:r>
        <w:rPr>
          <w:rFonts w:cs="Calibri"/>
        </w:rPr>
        <w:t xml:space="preserve"> </w:t>
      </w:r>
      <w:r w:rsidR="00C07BAF" w:rsidRPr="00845D5C">
        <w:rPr>
          <w:rFonts w:cstheme="minorHAnsi"/>
        </w:rPr>
        <w:t xml:space="preserve">Countries are </w:t>
      </w:r>
      <w:r w:rsidR="004E5FA3" w:rsidRPr="00845D5C">
        <w:rPr>
          <w:rFonts w:cstheme="minorHAnsi"/>
        </w:rPr>
        <w:t>taking a</w:t>
      </w:r>
      <w:r w:rsidR="00E45B40" w:rsidRPr="00845D5C">
        <w:rPr>
          <w:rFonts w:cstheme="minorHAnsi"/>
        </w:rPr>
        <w:t xml:space="preserve"> variety of approaches </w:t>
      </w:r>
      <w:r w:rsidR="00D46864" w:rsidRPr="00845D5C">
        <w:rPr>
          <w:rFonts w:cstheme="minorHAnsi"/>
        </w:rPr>
        <w:t xml:space="preserve">to implement </w:t>
      </w:r>
      <w:r w:rsidR="004E5FA3" w:rsidRPr="00845D5C">
        <w:rPr>
          <w:rFonts w:cstheme="minorHAnsi"/>
        </w:rPr>
        <w:t>reforms</w:t>
      </w:r>
      <w:r w:rsidR="00D46864" w:rsidRPr="00845D5C">
        <w:rPr>
          <w:rFonts w:cstheme="minorHAnsi"/>
        </w:rPr>
        <w:t>—</w:t>
      </w:r>
      <w:r w:rsidR="00154636" w:rsidRPr="00845D5C">
        <w:rPr>
          <w:rFonts w:cstheme="minorHAnsi"/>
        </w:rPr>
        <w:t>includ</w:t>
      </w:r>
      <w:r w:rsidR="007E1772" w:rsidRPr="00845D5C">
        <w:rPr>
          <w:rFonts w:cstheme="minorHAnsi"/>
        </w:rPr>
        <w:t>ing</w:t>
      </w:r>
      <w:r w:rsidR="00154636" w:rsidRPr="00845D5C">
        <w:rPr>
          <w:rFonts w:cstheme="minorHAnsi"/>
        </w:rPr>
        <w:t xml:space="preserve"> through state-ownership policy</w:t>
      </w:r>
      <w:r w:rsidR="00615700" w:rsidRPr="00845D5C">
        <w:rPr>
          <w:rFonts w:cstheme="minorHAnsi"/>
        </w:rPr>
        <w:t xml:space="preserve">, </w:t>
      </w:r>
      <w:r w:rsidR="00154636" w:rsidRPr="00845D5C">
        <w:rPr>
          <w:rFonts w:cstheme="minorHAnsi"/>
        </w:rPr>
        <w:t>oversight and reporting mechanisms, national climate</w:t>
      </w:r>
      <w:r w:rsidR="00A525CF">
        <w:rPr>
          <w:rFonts w:cstheme="minorHAnsi"/>
        </w:rPr>
        <w:t xml:space="preserve"> </w:t>
      </w:r>
      <w:r w:rsidR="00154636" w:rsidRPr="00845D5C">
        <w:rPr>
          <w:rFonts w:cstheme="minorHAnsi"/>
        </w:rPr>
        <w:t xml:space="preserve">related strategies and plans, </w:t>
      </w:r>
      <w:r w:rsidR="00615700" w:rsidRPr="00845D5C">
        <w:rPr>
          <w:rFonts w:cstheme="minorHAnsi"/>
        </w:rPr>
        <w:t xml:space="preserve">applying CSR policies to SOEs, </w:t>
      </w:r>
      <w:r w:rsidR="00154636" w:rsidRPr="00845D5C">
        <w:rPr>
          <w:rFonts w:cstheme="minorHAnsi"/>
        </w:rPr>
        <w:t xml:space="preserve">and enterprise specific </w:t>
      </w:r>
      <w:r w:rsidR="00154636" w:rsidRPr="001D473D">
        <w:rPr>
          <w:rFonts w:cstheme="minorHAnsi"/>
        </w:rPr>
        <w:t>reforms.</w:t>
      </w:r>
      <w:r w:rsidR="004335CF" w:rsidRPr="00845D5C">
        <w:rPr>
          <w:rFonts w:cstheme="minorHAnsi"/>
        </w:rPr>
        <w:t xml:space="preserve"> </w:t>
      </w:r>
    </w:p>
    <w:p w14:paraId="3B822764" w14:textId="77777777" w:rsidR="00407A45" w:rsidRPr="00845D5C" w:rsidRDefault="00407A45" w:rsidP="00845D5C">
      <w:pPr>
        <w:pStyle w:val="ListParagraph"/>
        <w:shd w:val="clear" w:color="auto" w:fill="FFFFFF"/>
        <w:spacing w:after="0" w:line="240" w:lineRule="auto"/>
        <w:ind w:left="0"/>
        <w:jc w:val="both"/>
        <w:rPr>
          <w:rFonts w:cstheme="minorHAnsi"/>
        </w:rPr>
      </w:pPr>
    </w:p>
    <w:p w14:paraId="7B4C4A31" w14:textId="1D3389C3" w:rsidR="00407A45" w:rsidRPr="00845D5C" w:rsidRDefault="004335CF" w:rsidP="00845D5C">
      <w:pPr>
        <w:pStyle w:val="ListParagraph"/>
        <w:shd w:val="clear" w:color="auto" w:fill="FFFFFF"/>
        <w:spacing w:after="0" w:line="240" w:lineRule="auto"/>
        <w:ind w:left="0"/>
        <w:jc w:val="both"/>
        <w:rPr>
          <w:rFonts w:cstheme="minorHAnsi"/>
          <w:bCs/>
          <w:iCs/>
        </w:rPr>
      </w:pPr>
      <w:r w:rsidRPr="00845D5C">
        <w:rPr>
          <w:rFonts w:cstheme="minorHAnsi"/>
        </w:rPr>
        <w:t>A</w:t>
      </w:r>
      <w:r w:rsidR="00C4542D" w:rsidRPr="00845D5C">
        <w:rPr>
          <w:rFonts w:cstheme="minorHAnsi"/>
        </w:rPr>
        <w:t>mong these approaches,</w:t>
      </w:r>
      <w:r w:rsidR="00B10711" w:rsidRPr="00845D5C">
        <w:rPr>
          <w:rFonts w:cstheme="minorHAnsi"/>
        </w:rPr>
        <w:t xml:space="preserve"> a</w:t>
      </w:r>
      <w:r w:rsidRPr="00845D5C">
        <w:rPr>
          <w:rFonts w:cstheme="minorHAnsi"/>
        </w:rPr>
        <w:t xml:space="preserve"> recognized best practice for SOE governance is to explicitly identify a country’s objectives for state ownership, </w:t>
      </w:r>
      <w:r w:rsidR="00B10711" w:rsidRPr="00845D5C">
        <w:rPr>
          <w:rFonts w:cstheme="minorHAnsi"/>
        </w:rPr>
        <w:t>e.g.,</w:t>
      </w:r>
      <w:r w:rsidRPr="00845D5C">
        <w:rPr>
          <w:rFonts w:cstheme="minorHAnsi"/>
        </w:rPr>
        <w:t xml:space="preserve"> by adopting state ownership policies.</w:t>
      </w:r>
      <w:r w:rsidR="001D4BC4" w:rsidRPr="00845D5C">
        <w:rPr>
          <w:rStyle w:val="FootnoteReference"/>
          <w:rFonts w:cstheme="minorHAnsi"/>
        </w:rPr>
        <w:footnoteReference w:id="39"/>
      </w:r>
      <w:r w:rsidR="00016051" w:rsidRPr="00845D5C">
        <w:rPr>
          <w:rFonts w:cstheme="minorHAnsi"/>
        </w:rPr>
        <w:t xml:space="preserve"> Nordic countries</w:t>
      </w:r>
      <w:r w:rsidR="007C2B2F" w:rsidRPr="00845D5C">
        <w:rPr>
          <w:rFonts w:cstheme="minorHAnsi"/>
        </w:rPr>
        <w:t xml:space="preserve">, (e.g., Sweden) </w:t>
      </w:r>
      <w:r w:rsidR="00016051" w:rsidRPr="00845D5C">
        <w:rPr>
          <w:rFonts w:cstheme="minorHAnsi"/>
        </w:rPr>
        <w:t xml:space="preserve">have led the way in </w:t>
      </w:r>
      <w:r w:rsidR="002B3D32" w:rsidRPr="00845D5C">
        <w:rPr>
          <w:rFonts w:cstheme="minorHAnsi"/>
        </w:rPr>
        <w:t xml:space="preserve">using </w:t>
      </w:r>
      <w:r w:rsidR="0052390B" w:rsidRPr="00845D5C">
        <w:rPr>
          <w:rFonts w:cstheme="minorHAnsi"/>
        </w:rPr>
        <w:t xml:space="preserve">state </w:t>
      </w:r>
      <w:r w:rsidR="002B3D32" w:rsidRPr="00845D5C">
        <w:rPr>
          <w:rFonts w:cstheme="minorHAnsi"/>
        </w:rPr>
        <w:t xml:space="preserve">ownership policies </w:t>
      </w:r>
      <w:r w:rsidR="002E2ABC" w:rsidRPr="00845D5C">
        <w:rPr>
          <w:rFonts w:cstheme="minorHAnsi"/>
        </w:rPr>
        <w:t>to incorporat</w:t>
      </w:r>
      <w:r w:rsidR="00B10711" w:rsidRPr="00845D5C">
        <w:rPr>
          <w:rFonts w:cstheme="minorHAnsi"/>
        </w:rPr>
        <w:t>e</w:t>
      </w:r>
      <w:r w:rsidR="002E2ABC" w:rsidRPr="00845D5C">
        <w:rPr>
          <w:rFonts w:cstheme="minorHAnsi"/>
        </w:rPr>
        <w:t xml:space="preserve"> climate-related mandates and targets </w:t>
      </w:r>
      <w:r w:rsidR="00B10711" w:rsidRPr="00845D5C">
        <w:rPr>
          <w:rFonts w:cstheme="minorHAnsi"/>
        </w:rPr>
        <w:t xml:space="preserve">for their SOEs </w:t>
      </w:r>
      <w:r w:rsidR="002B3D32" w:rsidRPr="00845D5C">
        <w:rPr>
          <w:rFonts w:cstheme="minorHAnsi"/>
        </w:rPr>
        <w:t xml:space="preserve">as a </w:t>
      </w:r>
      <w:r w:rsidR="00E172F4" w:rsidRPr="00845D5C">
        <w:rPr>
          <w:rFonts w:cstheme="minorHAnsi"/>
        </w:rPr>
        <w:t xml:space="preserve">key </w:t>
      </w:r>
      <w:r w:rsidR="002E2ABC" w:rsidRPr="00845D5C">
        <w:rPr>
          <w:rFonts w:cstheme="minorHAnsi"/>
        </w:rPr>
        <w:t>elem</w:t>
      </w:r>
      <w:r w:rsidR="005E4E50" w:rsidRPr="00845D5C">
        <w:rPr>
          <w:rFonts w:cstheme="minorHAnsi"/>
        </w:rPr>
        <w:t>ent</w:t>
      </w:r>
      <w:r w:rsidR="00E172F4" w:rsidRPr="00845D5C">
        <w:rPr>
          <w:rFonts w:cstheme="minorHAnsi"/>
        </w:rPr>
        <w:t xml:space="preserve"> of </w:t>
      </w:r>
      <w:r w:rsidR="00CB3F1D" w:rsidRPr="00845D5C">
        <w:rPr>
          <w:rFonts w:cstheme="minorHAnsi"/>
        </w:rPr>
        <w:t xml:space="preserve">a ‘whole-of-government’ </w:t>
      </w:r>
      <w:r w:rsidR="00E172F4" w:rsidRPr="00845D5C">
        <w:rPr>
          <w:rFonts w:cstheme="minorHAnsi"/>
        </w:rPr>
        <w:t>approach</w:t>
      </w:r>
      <w:r w:rsidR="00B10711" w:rsidRPr="00845D5C">
        <w:rPr>
          <w:rFonts w:cstheme="minorHAnsi"/>
        </w:rPr>
        <w:t xml:space="preserve"> to</w:t>
      </w:r>
      <w:r w:rsidR="002E2ABC" w:rsidRPr="00845D5C">
        <w:rPr>
          <w:rFonts w:cstheme="minorHAnsi"/>
        </w:rPr>
        <w:t xml:space="preserve"> </w:t>
      </w:r>
      <w:r w:rsidR="005E4E50" w:rsidRPr="00845D5C">
        <w:rPr>
          <w:rFonts w:cstheme="minorHAnsi"/>
        </w:rPr>
        <w:t>strengthen</w:t>
      </w:r>
      <w:r w:rsidR="00B3260C" w:rsidRPr="00845D5C">
        <w:rPr>
          <w:rFonts w:cstheme="minorHAnsi"/>
        </w:rPr>
        <w:t xml:space="preserve"> policy consistency</w:t>
      </w:r>
      <w:r w:rsidR="001159D0" w:rsidRPr="00845D5C">
        <w:rPr>
          <w:rFonts w:cstheme="minorHAnsi"/>
        </w:rPr>
        <w:t xml:space="preserve">, </w:t>
      </w:r>
      <w:r w:rsidR="00AC617E" w:rsidRPr="00845D5C">
        <w:rPr>
          <w:rFonts w:cstheme="minorHAnsi"/>
        </w:rPr>
        <w:t>accountability</w:t>
      </w:r>
      <w:r w:rsidR="002E2ABC" w:rsidRPr="00845D5C">
        <w:rPr>
          <w:rFonts w:cstheme="minorHAnsi"/>
        </w:rPr>
        <w:t>,</w:t>
      </w:r>
      <w:r w:rsidR="00AC617E" w:rsidRPr="00845D5C">
        <w:rPr>
          <w:rFonts w:cstheme="minorHAnsi"/>
        </w:rPr>
        <w:t xml:space="preserve"> and</w:t>
      </w:r>
      <w:r w:rsidR="001159D0" w:rsidRPr="00845D5C">
        <w:rPr>
          <w:rFonts w:cstheme="minorHAnsi"/>
        </w:rPr>
        <w:t xml:space="preserve"> transparency</w:t>
      </w:r>
      <w:r w:rsidR="00AC617E" w:rsidRPr="00845D5C">
        <w:rPr>
          <w:rFonts w:cstheme="minorHAnsi"/>
        </w:rPr>
        <w:t>.</w:t>
      </w:r>
      <w:r w:rsidR="001159D0" w:rsidRPr="00845D5C">
        <w:rPr>
          <w:rFonts w:cstheme="minorHAnsi"/>
        </w:rPr>
        <w:t xml:space="preserve"> </w:t>
      </w:r>
      <w:r w:rsidR="009D2982" w:rsidRPr="00845D5C">
        <w:rPr>
          <w:rFonts w:cstheme="minorHAnsi"/>
        </w:rPr>
        <w:t xml:space="preserve">In many countries, state-owned banks (SOBs) are mandated to extend project finance to support specific development objectives, including climate action, which can be extended across sectors for a variety of activities (e.g., the United Kingdom). </w:t>
      </w:r>
      <w:r w:rsidR="00AC2A77" w:rsidRPr="00845D5C">
        <w:rPr>
          <w:rFonts w:cstheme="minorHAnsi"/>
        </w:rPr>
        <w:t>Countries are also</w:t>
      </w:r>
      <w:r w:rsidR="00093296" w:rsidRPr="00845D5C">
        <w:rPr>
          <w:rFonts w:cstheme="minorHAnsi"/>
        </w:rPr>
        <w:t xml:space="preserve"> </w:t>
      </w:r>
      <w:r w:rsidR="001E74F2" w:rsidRPr="00845D5C">
        <w:rPr>
          <w:rFonts w:cstheme="minorHAnsi"/>
          <w:bCs/>
          <w:iCs/>
        </w:rPr>
        <w:t>adopting</w:t>
      </w:r>
      <w:r w:rsidR="00417A58" w:rsidRPr="00845D5C">
        <w:rPr>
          <w:rFonts w:cstheme="minorHAnsi"/>
          <w:bCs/>
          <w:iCs/>
        </w:rPr>
        <w:t xml:space="preserve"> SOE-climate reforms </w:t>
      </w:r>
      <w:r w:rsidR="001E74F2" w:rsidRPr="00845D5C">
        <w:rPr>
          <w:rFonts w:cstheme="minorHAnsi"/>
          <w:bCs/>
          <w:iCs/>
        </w:rPr>
        <w:t>through</w:t>
      </w:r>
      <w:r w:rsidRPr="00845D5C">
        <w:rPr>
          <w:rFonts w:cstheme="minorHAnsi"/>
          <w:bCs/>
          <w:iCs/>
        </w:rPr>
        <w:t xml:space="preserve"> oversight and reporting mechanisms</w:t>
      </w:r>
      <w:r w:rsidR="008B73B2" w:rsidRPr="00845D5C">
        <w:rPr>
          <w:rFonts w:cstheme="minorHAnsi"/>
          <w:bCs/>
          <w:iCs/>
        </w:rPr>
        <w:t xml:space="preserve">, which are considered essential </w:t>
      </w:r>
      <w:r w:rsidR="00DC0CCD" w:rsidRPr="00845D5C">
        <w:rPr>
          <w:rFonts w:cstheme="minorHAnsi"/>
          <w:bCs/>
          <w:iCs/>
        </w:rPr>
        <w:t xml:space="preserve">for good governance and </w:t>
      </w:r>
      <w:r w:rsidR="00AC2A77" w:rsidRPr="00845D5C">
        <w:rPr>
          <w:rFonts w:cstheme="minorHAnsi"/>
          <w:bCs/>
          <w:iCs/>
        </w:rPr>
        <w:t xml:space="preserve">to </w:t>
      </w:r>
      <w:r w:rsidR="00B91A56" w:rsidRPr="00845D5C">
        <w:rPr>
          <w:rFonts w:cstheme="minorHAnsi"/>
          <w:bCs/>
          <w:iCs/>
        </w:rPr>
        <w:t>strengthening</w:t>
      </w:r>
      <w:r w:rsidR="00AC2A77" w:rsidRPr="00845D5C">
        <w:rPr>
          <w:rFonts w:cstheme="minorHAnsi"/>
          <w:bCs/>
          <w:iCs/>
        </w:rPr>
        <w:t xml:space="preserve"> accountability and efficacy</w:t>
      </w:r>
      <w:r w:rsidR="001D4BC4" w:rsidRPr="00845D5C">
        <w:rPr>
          <w:rStyle w:val="FootnoteReference"/>
          <w:rFonts w:cstheme="minorHAnsi"/>
          <w:bCs/>
          <w:iCs/>
        </w:rPr>
        <w:footnoteReference w:id="40"/>
      </w:r>
      <w:r w:rsidR="00AC2A77" w:rsidRPr="00845D5C">
        <w:rPr>
          <w:rFonts w:cstheme="minorHAnsi"/>
          <w:bCs/>
          <w:iCs/>
        </w:rPr>
        <w:t>,</w:t>
      </w:r>
      <w:r w:rsidR="00093296" w:rsidRPr="00845D5C">
        <w:rPr>
          <w:rFonts w:cstheme="minorHAnsi"/>
          <w:bCs/>
          <w:iCs/>
        </w:rPr>
        <w:t xml:space="preserve"> </w:t>
      </w:r>
      <w:r w:rsidR="00B91A56" w:rsidRPr="00845D5C">
        <w:rPr>
          <w:rFonts w:cstheme="minorHAnsi"/>
          <w:bCs/>
          <w:iCs/>
        </w:rPr>
        <w:t xml:space="preserve">and </w:t>
      </w:r>
      <w:r w:rsidR="0034562F" w:rsidRPr="00845D5C">
        <w:rPr>
          <w:rFonts w:cstheme="minorHAnsi"/>
          <w:bCs/>
          <w:iCs/>
        </w:rPr>
        <w:t xml:space="preserve">these </w:t>
      </w:r>
      <w:r w:rsidR="00B91A56" w:rsidRPr="00845D5C">
        <w:rPr>
          <w:rFonts w:cstheme="minorHAnsi"/>
          <w:bCs/>
          <w:iCs/>
        </w:rPr>
        <w:t>are often</w:t>
      </w:r>
      <w:r w:rsidR="00EB13DD" w:rsidRPr="00845D5C">
        <w:rPr>
          <w:rFonts w:cstheme="minorHAnsi"/>
          <w:bCs/>
          <w:iCs/>
        </w:rPr>
        <w:t xml:space="preserve"> </w:t>
      </w:r>
      <w:r w:rsidR="00805055" w:rsidRPr="00845D5C">
        <w:rPr>
          <w:rFonts w:cstheme="minorHAnsi"/>
          <w:bCs/>
          <w:iCs/>
        </w:rPr>
        <w:t>appl</w:t>
      </w:r>
      <w:r w:rsidR="00B91A56" w:rsidRPr="00845D5C">
        <w:rPr>
          <w:rFonts w:cstheme="minorHAnsi"/>
          <w:bCs/>
          <w:iCs/>
        </w:rPr>
        <w:t>ied</w:t>
      </w:r>
      <w:r w:rsidR="00805055" w:rsidRPr="00845D5C">
        <w:rPr>
          <w:rFonts w:cstheme="minorHAnsi"/>
          <w:bCs/>
          <w:iCs/>
        </w:rPr>
        <w:t xml:space="preserve"> to a cross-section of </w:t>
      </w:r>
      <w:r w:rsidR="0031157C" w:rsidRPr="00845D5C">
        <w:rPr>
          <w:rFonts w:cstheme="minorHAnsi"/>
          <w:bCs/>
          <w:iCs/>
        </w:rPr>
        <w:t xml:space="preserve">sectors </w:t>
      </w:r>
      <w:r w:rsidRPr="00845D5C">
        <w:rPr>
          <w:rFonts w:cstheme="minorHAnsi"/>
          <w:bCs/>
          <w:iCs/>
        </w:rPr>
        <w:t>(e.g., China)</w:t>
      </w:r>
      <w:r w:rsidR="0042638A" w:rsidRPr="00845D5C">
        <w:rPr>
          <w:rFonts w:cstheme="minorHAnsi"/>
          <w:bCs/>
          <w:iCs/>
        </w:rPr>
        <w:t xml:space="preserve">. </w:t>
      </w:r>
      <w:r w:rsidR="0034562F" w:rsidRPr="00845D5C">
        <w:rPr>
          <w:rFonts w:cstheme="minorHAnsi"/>
          <w:bCs/>
          <w:iCs/>
        </w:rPr>
        <w:t xml:space="preserve">At the </w:t>
      </w:r>
      <w:r w:rsidR="0042638A" w:rsidRPr="00845D5C">
        <w:rPr>
          <w:rFonts w:cstheme="minorHAnsi"/>
          <w:bCs/>
          <w:iCs/>
        </w:rPr>
        <w:t>sector</w:t>
      </w:r>
      <w:r w:rsidR="00C22603" w:rsidRPr="00333EC3">
        <w:rPr>
          <w:rFonts w:cstheme="minorHAnsi"/>
          <w:bCs/>
          <w:iCs/>
        </w:rPr>
        <w:t>-s</w:t>
      </w:r>
      <w:r w:rsidR="0042638A" w:rsidRPr="00F46F36">
        <w:rPr>
          <w:rFonts w:cstheme="minorHAnsi"/>
          <w:bCs/>
          <w:iCs/>
        </w:rPr>
        <w:t>pecific</w:t>
      </w:r>
      <w:r w:rsidR="0046647E" w:rsidRPr="00F46F36">
        <w:rPr>
          <w:rFonts w:cstheme="minorHAnsi"/>
          <w:bCs/>
          <w:iCs/>
        </w:rPr>
        <w:t xml:space="preserve"> </w:t>
      </w:r>
      <w:r w:rsidR="0034562F" w:rsidRPr="00F46F36">
        <w:rPr>
          <w:rFonts w:cstheme="minorHAnsi"/>
          <w:bCs/>
          <w:iCs/>
        </w:rPr>
        <w:t>level</w:t>
      </w:r>
      <w:r w:rsidR="004C78EA" w:rsidRPr="00845D5C">
        <w:rPr>
          <w:rFonts w:cstheme="minorHAnsi"/>
          <w:bCs/>
          <w:iCs/>
        </w:rPr>
        <w:t xml:space="preserve">, </w:t>
      </w:r>
      <w:r w:rsidR="00ED0F9A" w:rsidRPr="00845D5C">
        <w:rPr>
          <w:rFonts w:cstheme="minorHAnsi"/>
          <w:bCs/>
          <w:iCs/>
        </w:rPr>
        <w:t xml:space="preserve">there are multiple approaches, including by </w:t>
      </w:r>
      <w:r w:rsidR="004C78EA" w:rsidRPr="00845D5C">
        <w:rPr>
          <w:rFonts w:cstheme="minorHAnsi"/>
          <w:bCs/>
          <w:iCs/>
        </w:rPr>
        <w:t>explicitly adopt</w:t>
      </w:r>
      <w:r w:rsidR="00ED0F9A" w:rsidRPr="00845D5C">
        <w:rPr>
          <w:rFonts w:cstheme="minorHAnsi"/>
          <w:bCs/>
          <w:iCs/>
        </w:rPr>
        <w:t xml:space="preserve">ing </w:t>
      </w:r>
      <w:r w:rsidR="005063FA" w:rsidRPr="00845D5C">
        <w:rPr>
          <w:rFonts w:cstheme="minorHAnsi"/>
          <w:bCs/>
          <w:iCs/>
        </w:rPr>
        <w:t xml:space="preserve">SOE </w:t>
      </w:r>
      <w:r w:rsidR="00ED0F9A" w:rsidRPr="00845D5C">
        <w:rPr>
          <w:rFonts w:cstheme="minorHAnsi"/>
          <w:bCs/>
          <w:iCs/>
        </w:rPr>
        <w:t xml:space="preserve">climate reforms </w:t>
      </w:r>
      <w:r w:rsidR="004C78EA" w:rsidRPr="00845D5C">
        <w:rPr>
          <w:rFonts w:cstheme="minorHAnsi"/>
          <w:bCs/>
          <w:iCs/>
        </w:rPr>
        <w:t xml:space="preserve">through national sector policies—especially </w:t>
      </w:r>
      <w:r w:rsidR="004C78EA" w:rsidRPr="00F46F36">
        <w:rPr>
          <w:rFonts w:cstheme="minorHAnsi"/>
          <w:bCs/>
          <w:iCs/>
        </w:rPr>
        <w:t>for high-emission s</w:t>
      </w:r>
      <w:r w:rsidR="004C78EA" w:rsidRPr="00845D5C">
        <w:rPr>
          <w:rFonts w:cstheme="minorHAnsi"/>
          <w:bCs/>
          <w:iCs/>
        </w:rPr>
        <w:t>ectors such as energy</w:t>
      </w:r>
      <w:r w:rsidR="00B8100F" w:rsidRPr="00845D5C">
        <w:rPr>
          <w:rFonts w:cstheme="minorHAnsi"/>
          <w:bCs/>
          <w:iCs/>
        </w:rPr>
        <w:t xml:space="preserve"> (e.g.</w:t>
      </w:r>
      <w:r w:rsidR="004C78EA" w:rsidRPr="00845D5C">
        <w:rPr>
          <w:rFonts w:cstheme="minorHAnsi"/>
          <w:bCs/>
          <w:iCs/>
        </w:rPr>
        <w:t>, the Ukraine</w:t>
      </w:r>
      <w:r w:rsidR="00B8100F" w:rsidRPr="00845D5C">
        <w:rPr>
          <w:rFonts w:cstheme="minorHAnsi"/>
          <w:bCs/>
          <w:iCs/>
        </w:rPr>
        <w:t xml:space="preserve">). </w:t>
      </w:r>
      <w:r w:rsidR="00ED0F9A" w:rsidRPr="00845D5C">
        <w:rPr>
          <w:rFonts w:cstheme="minorHAnsi"/>
          <w:bCs/>
          <w:iCs/>
        </w:rPr>
        <w:t xml:space="preserve">Another sector specific approach is </w:t>
      </w:r>
      <w:r w:rsidR="00E424DB" w:rsidRPr="00845D5C">
        <w:rPr>
          <w:rFonts w:cstheme="minorHAnsi"/>
          <w:bCs/>
          <w:iCs/>
        </w:rPr>
        <w:t xml:space="preserve">implementing </w:t>
      </w:r>
      <w:r w:rsidR="00AE0F6B" w:rsidRPr="00845D5C">
        <w:rPr>
          <w:rFonts w:cstheme="minorHAnsi"/>
          <w:bCs/>
          <w:iCs/>
        </w:rPr>
        <w:t xml:space="preserve">climate reforms </w:t>
      </w:r>
      <w:r w:rsidR="00B442B9" w:rsidRPr="00845D5C">
        <w:rPr>
          <w:rFonts w:cstheme="minorHAnsi"/>
          <w:bCs/>
          <w:iCs/>
        </w:rPr>
        <w:t>as part of</w:t>
      </w:r>
      <w:r w:rsidR="00AE0F6B" w:rsidRPr="00845D5C">
        <w:rPr>
          <w:rFonts w:cstheme="minorHAnsi"/>
          <w:bCs/>
          <w:iCs/>
        </w:rPr>
        <w:t xml:space="preserve"> </w:t>
      </w:r>
      <w:r w:rsidR="00C5012F" w:rsidRPr="00845D5C">
        <w:rPr>
          <w:rFonts w:cstheme="minorHAnsi"/>
          <w:bCs/>
          <w:iCs/>
        </w:rPr>
        <w:t xml:space="preserve">a </w:t>
      </w:r>
      <w:r w:rsidR="00C05FF6" w:rsidRPr="00845D5C">
        <w:rPr>
          <w:rFonts w:cstheme="minorHAnsi"/>
          <w:bCs/>
          <w:iCs/>
        </w:rPr>
        <w:t xml:space="preserve">broader SOE </w:t>
      </w:r>
      <w:r w:rsidR="00AE0F6B" w:rsidRPr="00845D5C">
        <w:rPr>
          <w:rFonts w:cstheme="minorHAnsi"/>
          <w:bCs/>
          <w:iCs/>
        </w:rPr>
        <w:t xml:space="preserve">restructuring </w:t>
      </w:r>
      <w:r w:rsidR="0034562F" w:rsidRPr="00845D5C">
        <w:rPr>
          <w:rFonts w:cstheme="minorHAnsi"/>
          <w:bCs/>
          <w:iCs/>
        </w:rPr>
        <w:t>program</w:t>
      </w:r>
      <w:r w:rsidR="00C05FF6" w:rsidRPr="00845D5C">
        <w:rPr>
          <w:rFonts w:cstheme="minorHAnsi"/>
          <w:bCs/>
          <w:iCs/>
        </w:rPr>
        <w:t xml:space="preserve"> </w:t>
      </w:r>
      <w:r w:rsidR="00AE0F6B" w:rsidRPr="00845D5C">
        <w:rPr>
          <w:rFonts w:cstheme="minorHAnsi"/>
          <w:bCs/>
          <w:iCs/>
        </w:rPr>
        <w:t xml:space="preserve">(e.g., Malaysia). </w:t>
      </w:r>
      <w:r w:rsidR="00C05FF6" w:rsidRPr="00845D5C">
        <w:rPr>
          <w:rFonts w:cstheme="minorHAnsi"/>
          <w:bCs/>
          <w:iCs/>
        </w:rPr>
        <w:t>(</w:t>
      </w:r>
      <w:r w:rsidR="00C05FF6" w:rsidRPr="00845D5C">
        <w:rPr>
          <w:rFonts w:cstheme="minorHAnsi"/>
        </w:rPr>
        <w:t>Box 1)</w:t>
      </w:r>
      <w:r w:rsidR="00AA4D6C" w:rsidRPr="00845D5C">
        <w:rPr>
          <w:rFonts w:cstheme="minorHAnsi"/>
        </w:rPr>
        <w:t>.</w:t>
      </w:r>
      <w:r w:rsidR="00AE0F6B" w:rsidRPr="00845D5C">
        <w:rPr>
          <w:rFonts w:cstheme="minorHAnsi"/>
          <w:bCs/>
          <w:iCs/>
        </w:rPr>
        <w:t xml:space="preserve"> </w:t>
      </w:r>
    </w:p>
    <w:p w14:paraId="4CD857D1" w14:textId="77777777" w:rsidR="00407A45" w:rsidRPr="00845D5C" w:rsidRDefault="00407A45" w:rsidP="00845D5C">
      <w:pPr>
        <w:pStyle w:val="ListParagraph"/>
        <w:shd w:val="clear" w:color="auto" w:fill="FFFFFF"/>
        <w:spacing w:after="0" w:line="240" w:lineRule="auto"/>
        <w:ind w:left="0"/>
        <w:jc w:val="both"/>
        <w:rPr>
          <w:rFonts w:cstheme="minorHAnsi"/>
          <w:bCs/>
          <w:iCs/>
        </w:rPr>
      </w:pPr>
    </w:p>
    <w:p w14:paraId="3F011F98" w14:textId="66137E46" w:rsidR="002F79E5" w:rsidRPr="00CE791B" w:rsidRDefault="00C05FF6" w:rsidP="00845D5C">
      <w:pPr>
        <w:pStyle w:val="ListParagraph"/>
        <w:shd w:val="clear" w:color="auto" w:fill="FFFFFF"/>
        <w:spacing w:after="0" w:line="240" w:lineRule="auto"/>
        <w:ind w:left="0"/>
        <w:jc w:val="both"/>
        <w:rPr>
          <w:rFonts w:cstheme="minorHAnsi"/>
          <w:bCs/>
          <w:iCs/>
        </w:rPr>
      </w:pPr>
      <w:r w:rsidRPr="00CE791B">
        <w:rPr>
          <w:rFonts w:cstheme="minorHAnsi"/>
          <w:bCs/>
          <w:iCs/>
        </w:rPr>
        <w:t xml:space="preserve">With many governments extending backstopping due to the </w:t>
      </w:r>
      <w:r w:rsidR="00AA4D6C" w:rsidRPr="00CE791B">
        <w:rPr>
          <w:rFonts w:cstheme="minorHAnsi"/>
          <w:bCs/>
          <w:iCs/>
        </w:rPr>
        <w:t xml:space="preserve">evolving </w:t>
      </w:r>
      <w:r w:rsidRPr="00CE791B">
        <w:rPr>
          <w:rFonts w:cstheme="minorHAnsi"/>
          <w:bCs/>
          <w:iCs/>
        </w:rPr>
        <w:t xml:space="preserve">COVID-19 </w:t>
      </w:r>
      <w:r w:rsidR="00AA4D6C" w:rsidRPr="00CE791B">
        <w:rPr>
          <w:rFonts w:cstheme="minorHAnsi"/>
          <w:bCs/>
          <w:iCs/>
        </w:rPr>
        <w:t>crisis</w:t>
      </w:r>
      <w:r w:rsidRPr="00CE791B">
        <w:rPr>
          <w:rFonts w:cstheme="minorHAnsi"/>
          <w:bCs/>
          <w:iCs/>
        </w:rPr>
        <w:t xml:space="preserve"> (e.g., airlines and NOCs)</w:t>
      </w:r>
      <w:r w:rsidR="00071783" w:rsidRPr="00CE791B">
        <w:rPr>
          <w:rStyle w:val="FootnoteReference"/>
          <w:rFonts w:cstheme="minorHAnsi"/>
          <w:bCs/>
          <w:iCs/>
        </w:rPr>
        <w:footnoteReference w:id="41"/>
      </w:r>
      <w:r w:rsidRPr="00CE791B">
        <w:rPr>
          <w:rFonts w:cstheme="minorHAnsi"/>
          <w:bCs/>
          <w:iCs/>
        </w:rPr>
        <w:t xml:space="preserve">, </w:t>
      </w:r>
      <w:r w:rsidR="00850686" w:rsidRPr="00CE791B">
        <w:rPr>
          <w:rFonts w:cstheme="minorHAnsi"/>
          <w:bCs/>
          <w:iCs/>
        </w:rPr>
        <w:t xml:space="preserve">emergent SOE restructurings </w:t>
      </w:r>
      <w:r w:rsidR="00AE0F6B" w:rsidRPr="00CE791B">
        <w:rPr>
          <w:rFonts w:cstheme="minorHAnsi"/>
          <w:bCs/>
          <w:iCs/>
        </w:rPr>
        <w:t xml:space="preserve">may present a unique </w:t>
      </w:r>
      <w:r w:rsidR="009473BC" w:rsidRPr="00CE791B">
        <w:rPr>
          <w:rFonts w:cstheme="minorHAnsi"/>
          <w:bCs/>
          <w:iCs/>
        </w:rPr>
        <w:t xml:space="preserve">occasion </w:t>
      </w:r>
      <w:r w:rsidR="00AA4D6C" w:rsidRPr="00CE791B">
        <w:rPr>
          <w:rFonts w:cstheme="minorHAnsi"/>
          <w:bCs/>
          <w:iCs/>
        </w:rPr>
        <w:t>to reassess SOE ownership policies and PSD mandates and</w:t>
      </w:r>
      <w:r w:rsidR="00322558" w:rsidRPr="00CE791B">
        <w:rPr>
          <w:rFonts w:cstheme="minorHAnsi"/>
          <w:bCs/>
          <w:iCs/>
        </w:rPr>
        <w:t xml:space="preserve"> to</w:t>
      </w:r>
      <w:r w:rsidR="00AE0F6B" w:rsidRPr="00CE791B">
        <w:rPr>
          <w:rFonts w:cstheme="minorHAnsi"/>
          <w:bCs/>
          <w:iCs/>
        </w:rPr>
        <w:t xml:space="preserve"> </w:t>
      </w:r>
      <w:r w:rsidR="00BF02EB" w:rsidRPr="00CE791B">
        <w:rPr>
          <w:rFonts w:cstheme="minorHAnsi"/>
          <w:bCs/>
          <w:iCs/>
        </w:rPr>
        <w:t>integrate climate action into SOEs. This would support a ‘</w:t>
      </w:r>
      <w:r w:rsidR="00AE0F6B" w:rsidRPr="00CE791B">
        <w:rPr>
          <w:rFonts w:cstheme="minorHAnsi"/>
          <w:bCs/>
          <w:iCs/>
        </w:rPr>
        <w:t>green</w:t>
      </w:r>
      <w:r w:rsidR="00BF02EB" w:rsidRPr="00CE791B">
        <w:rPr>
          <w:rFonts w:cstheme="minorHAnsi"/>
          <w:bCs/>
          <w:iCs/>
        </w:rPr>
        <w:t>ing</w:t>
      </w:r>
      <w:r w:rsidR="00AE0F6B" w:rsidRPr="00CE791B">
        <w:rPr>
          <w:rFonts w:cstheme="minorHAnsi"/>
          <w:bCs/>
          <w:iCs/>
        </w:rPr>
        <w:t xml:space="preserve"> the recovery</w:t>
      </w:r>
      <w:r w:rsidR="00BF02EB" w:rsidRPr="00CE791B">
        <w:rPr>
          <w:rFonts w:cstheme="minorHAnsi"/>
          <w:bCs/>
          <w:iCs/>
        </w:rPr>
        <w:t>’ from COVID-19</w:t>
      </w:r>
      <w:r w:rsidR="00F033DA" w:rsidRPr="00CE791B">
        <w:rPr>
          <w:rFonts w:cstheme="minorHAnsi"/>
          <w:bCs/>
          <w:iCs/>
        </w:rPr>
        <w:t>, and</w:t>
      </w:r>
      <w:r w:rsidR="00AE0F6B" w:rsidRPr="00CE791B">
        <w:rPr>
          <w:rFonts w:cstheme="minorHAnsi"/>
          <w:bCs/>
          <w:iCs/>
        </w:rPr>
        <w:t xml:space="preserve"> SOE policy could also function as an automatic stabilizer.</w:t>
      </w:r>
      <w:r w:rsidR="00FA6958" w:rsidRPr="00CE791B">
        <w:rPr>
          <w:rFonts w:cstheme="minorHAnsi"/>
          <w:bCs/>
          <w:iCs/>
        </w:rPr>
        <w:t xml:space="preserve"> Policies supporting climate change mitigation and adaptation</w:t>
      </w:r>
      <w:r w:rsidR="0020784C" w:rsidRPr="00CE791B">
        <w:rPr>
          <w:rFonts w:cstheme="minorHAnsi"/>
          <w:bCs/>
          <w:iCs/>
        </w:rPr>
        <w:t xml:space="preserve"> and aimed at </w:t>
      </w:r>
      <w:r w:rsidR="003718B5" w:rsidRPr="00CE791B">
        <w:rPr>
          <w:rFonts w:cstheme="minorHAnsi"/>
          <w:bCs/>
          <w:iCs/>
        </w:rPr>
        <w:t>addressing decarbonization transition risks</w:t>
      </w:r>
      <w:r w:rsidR="00CF323F" w:rsidRPr="00CE791B">
        <w:rPr>
          <w:rFonts w:cstheme="minorHAnsi"/>
          <w:bCs/>
          <w:iCs/>
        </w:rPr>
        <w:t xml:space="preserve"> may be </w:t>
      </w:r>
      <w:r w:rsidR="00B346C7" w:rsidRPr="00CE791B">
        <w:rPr>
          <w:rFonts w:cstheme="minorHAnsi"/>
          <w:bCs/>
          <w:iCs/>
        </w:rPr>
        <w:t xml:space="preserve">significant, e.g., </w:t>
      </w:r>
      <w:r w:rsidR="00FA6958" w:rsidRPr="00CE791B">
        <w:rPr>
          <w:rFonts w:cstheme="minorHAnsi"/>
          <w:bCs/>
          <w:iCs/>
        </w:rPr>
        <w:t xml:space="preserve">particularly </w:t>
      </w:r>
      <w:r w:rsidR="00FB5968" w:rsidRPr="00CE791B">
        <w:rPr>
          <w:rFonts w:cstheme="minorHAnsi"/>
          <w:bCs/>
          <w:iCs/>
        </w:rPr>
        <w:t>for energy</w:t>
      </w:r>
      <w:r w:rsidR="0097600A" w:rsidRPr="00CE791B">
        <w:rPr>
          <w:rFonts w:cstheme="minorHAnsi"/>
          <w:bCs/>
          <w:iCs/>
        </w:rPr>
        <w:t xml:space="preserve"> </w:t>
      </w:r>
      <w:r w:rsidR="00FB5968" w:rsidRPr="00CE791B">
        <w:rPr>
          <w:rFonts w:cstheme="minorHAnsi"/>
          <w:bCs/>
          <w:iCs/>
        </w:rPr>
        <w:t>intensive SOEs</w:t>
      </w:r>
      <w:r w:rsidR="002613E6" w:rsidRPr="00CE791B">
        <w:rPr>
          <w:rFonts w:cstheme="minorHAnsi"/>
          <w:bCs/>
          <w:iCs/>
        </w:rPr>
        <w:t>, and related impacts on SOE financial viability and operational performance would be important to consider</w:t>
      </w:r>
      <w:r w:rsidR="008E1125" w:rsidRPr="00CE791B">
        <w:rPr>
          <w:rFonts w:cstheme="minorHAnsi"/>
          <w:bCs/>
          <w:iCs/>
        </w:rPr>
        <w:t xml:space="preserve"> (and </w:t>
      </w:r>
      <w:r w:rsidR="00341B9E" w:rsidRPr="00CE791B">
        <w:rPr>
          <w:rFonts w:cstheme="minorHAnsi"/>
          <w:bCs/>
          <w:iCs/>
        </w:rPr>
        <w:t>for example included in SOE</w:t>
      </w:r>
      <w:r w:rsidR="0097600A" w:rsidRPr="00CE791B">
        <w:rPr>
          <w:rFonts w:cstheme="minorHAnsi"/>
          <w:bCs/>
          <w:iCs/>
        </w:rPr>
        <w:t xml:space="preserve"> </w:t>
      </w:r>
      <w:r w:rsidR="00341B9E" w:rsidRPr="00CE791B">
        <w:rPr>
          <w:rFonts w:cstheme="minorHAnsi"/>
          <w:bCs/>
          <w:iCs/>
        </w:rPr>
        <w:t xml:space="preserve">business plans and strategies). </w:t>
      </w:r>
      <w:r w:rsidR="00B346C7" w:rsidRPr="00CE791B">
        <w:rPr>
          <w:rFonts w:cstheme="minorHAnsi"/>
          <w:bCs/>
          <w:iCs/>
        </w:rPr>
        <w:t>C</w:t>
      </w:r>
      <w:r w:rsidR="002B2D31" w:rsidRPr="00CE791B">
        <w:rPr>
          <w:rFonts w:cstheme="minorHAnsi"/>
          <w:bCs/>
          <w:iCs/>
        </w:rPr>
        <w:t>limate</w:t>
      </w:r>
      <w:r w:rsidR="00D6679A" w:rsidRPr="00CE791B">
        <w:rPr>
          <w:rFonts w:cstheme="minorHAnsi"/>
          <w:bCs/>
          <w:iCs/>
        </w:rPr>
        <w:t>-related</w:t>
      </w:r>
      <w:r w:rsidR="002B2D31" w:rsidRPr="00CE791B">
        <w:rPr>
          <w:rFonts w:cstheme="minorHAnsi"/>
          <w:bCs/>
          <w:iCs/>
        </w:rPr>
        <w:t xml:space="preserve"> considerations</w:t>
      </w:r>
      <w:r w:rsidR="0097600A" w:rsidRPr="00CE791B">
        <w:rPr>
          <w:rFonts w:cstheme="minorHAnsi"/>
          <w:bCs/>
          <w:iCs/>
        </w:rPr>
        <w:t xml:space="preserve"> </w:t>
      </w:r>
      <w:r w:rsidR="00050296" w:rsidRPr="00CE791B">
        <w:rPr>
          <w:rFonts w:cstheme="minorHAnsi"/>
          <w:bCs/>
          <w:iCs/>
        </w:rPr>
        <w:t>could</w:t>
      </w:r>
      <w:r w:rsidR="00B346C7" w:rsidRPr="00CE791B">
        <w:rPr>
          <w:rFonts w:cstheme="minorHAnsi"/>
          <w:bCs/>
          <w:iCs/>
        </w:rPr>
        <w:t xml:space="preserve"> </w:t>
      </w:r>
      <w:r w:rsidR="005660D2" w:rsidRPr="00CE791B">
        <w:rPr>
          <w:rFonts w:cstheme="minorHAnsi"/>
          <w:bCs/>
          <w:iCs/>
        </w:rPr>
        <w:t xml:space="preserve">also </w:t>
      </w:r>
      <w:r w:rsidR="00050296" w:rsidRPr="00CE791B">
        <w:rPr>
          <w:rFonts w:cstheme="minorHAnsi"/>
          <w:bCs/>
          <w:iCs/>
        </w:rPr>
        <w:t>pose contingent risks and</w:t>
      </w:r>
      <w:r w:rsidR="00D6679A" w:rsidRPr="00CE791B">
        <w:rPr>
          <w:rFonts w:cstheme="minorHAnsi"/>
          <w:bCs/>
          <w:iCs/>
        </w:rPr>
        <w:t xml:space="preserve"> </w:t>
      </w:r>
      <w:r w:rsidR="0097600A" w:rsidRPr="00CE791B">
        <w:rPr>
          <w:rFonts w:cstheme="minorHAnsi"/>
          <w:bCs/>
          <w:iCs/>
        </w:rPr>
        <w:t>costs</w:t>
      </w:r>
      <w:r w:rsidR="0004202F" w:rsidRPr="00CE791B">
        <w:rPr>
          <w:rFonts w:cstheme="minorHAnsi"/>
          <w:bCs/>
          <w:iCs/>
        </w:rPr>
        <w:t xml:space="preserve"> for SOEs</w:t>
      </w:r>
      <w:r w:rsidR="0097600A" w:rsidRPr="00CE791B">
        <w:rPr>
          <w:rFonts w:cstheme="minorHAnsi"/>
          <w:bCs/>
          <w:iCs/>
        </w:rPr>
        <w:t xml:space="preserve"> </w:t>
      </w:r>
      <w:r w:rsidR="00050296" w:rsidRPr="00CE791B">
        <w:rPr>
          <w:rFonts w:cstheme="minorHAnsi"/>
          <w:bCs/>
          <w:iCs/>
        </w:rPr>
        <w:t xml:space="preserve">that the government </w:t>
      </w:r>
      <w:r w:rsidR="00CF323F" w:rsidRPr="00CE791B">
        <w:rPr>
          <w:rFonts w:cstheme="minorHAnsi"/>
          <w:bCs/>
          <w:iCs/>
        </w:rPr>
        <w:t>may have to cover</w:t>
      </w:r>
      <w:r w:rsidR="0004202F" w:rsidRPr="00CE791B">
        <w:rPr>
          <w:rFonts w:cstheme="minorHAnsi"/>
          <w:bCs/>
          <w:iCs/>
        </w:rPr>
        <w:t xml:space="preserve"> (and be considered in fiscal risk analysis</w:t>
      </w:r>
      <w:r w:rsidR="00866B43" w:rsidRPr="00CE791B">
        <w:rPr>
          <w:rFonts w:cstheme="minorHAnsi"/>
          <w:bCs/>
          <w:iCs/>
        </w:rPr>
        <w:t>)</w:t>
      </w:r>
      <w:r w:rsidR="00CF323F" w:rsidRPr="00CE791B">
        <w:rPr>
          <w:rFonts w:cstheme="minorHAnsi"/>
          <w:bCs/>
          <w:iCs/>
        </w:rPr>
        <w:t>.</w:t>
      </w:r>
      <w:r w:rsidR="005660D2" w:rsidRPr="00CE791B">
        <w:rPr>
          <w:rStyle w:val="FootnoteReference"/>
          <w:rFonts w:cstheme="minorHAnsi"/>
          <w:bCs/>
          <w:iCs/>
        </w:rPr>
        <w:footnoteReference w:id="42"/>
      </w:r>
    </w:p>
    <w:p w14:paraId="11707CF8" w14:textId="77777777" w:rsidR="008919C7" w:rsidRPr="00845D5C" w:rsidRDefault="008919C7" w:rsidP="00845D5C">
      <w:pPr>
        <w:pStyle w:val="ListParagraph"/>
        <w:shd w:val="clear" w:color="auto" w:fill="FFFFFF"/>
        <w:spacing w:after="0" w:line="240" w:lineRule="auto"/>
        <w:ind w:left="0"/>
        <w:jc w:val="both"/>
        <w:rPr>
          <w:rFonts w:cstheme="minorHAnsi"/>
          <w:bCs/>
          <w:iCs/>
        </w:rPr>
      </w:pPr>
    </w:p>
    <w:p w14:paraId="11206219" w14:textId="4EEB518E" w:rsidR="002F79E5" w:rsidRPr="005C5061" w:rsidRDefault="002F79E5" w:rsidP="00823F16">
      <w:pPr>
        <w:pStyle w:val="NoSpacing"/>
        <w:pBdr>
          <w:top w:val="single" w:sz="4" w:space="1" w:color="auto"/>
        </w:pBdr>
        <w:shd w:val="clear" w:color="auto" w:fill="D9E2F3" w:themeFill="accent5" w:themeFillTint="33"/>
        <w:jc w:val="both"/>
        <w:rPr>
          <w:rFonts w:cstheme="minorHAnsi"/>
          <w:b/>
          <w:iCs/>
          <w:color w:val="000000" w:themeColor="text1"/>
        </w:rPr>
      </w:pPr>
      <w:r w:rsidRPr="005C5061">
        <w:rPr>
          <w:rFonts w:cstheme="minorHAnsi"/>
          <w:b/>
          <w:iCs/>
          <w:color w:val="000000" w:themeColor="text1"/>
        </w:rPr>
        <w:t>Box 1. Examples of country approaches to SOE climate-policy reforms</w:t>
      </w:r>
    </w:p>
    <w:p w14:paraId="34A4A1FB" w14:textId="77777777" w:rsidR="000F7373" w:rsidRPr="005C5061" w:rsidRDefault="000F7373" w:rsidP="0058496F">
      <w:pPr>
        <w:pStyle w:val="NoSpacing"/>
        <w:shd w:val="clear" w:color="auto" w:fill="D9E2F3" w:themeFill="accent5" w:themeFillTint="33"/>
        <w:spacing w:line="120" w:lineRule="exact"/>
        <w:jc w:val="both"/>
        <w:rPr>
          <w:rFonts w:cstheme="minorHAnsi"/>
          <w:b/>
          <w:iCs/>
          <w:color w:val="000000" w:themeColor="text1"/>
        </w:rPr>
      </w:pPr>
    </w:p>
    <w:p w14:paraId="22602224" w14:textId="6AD0A64E" w:rsidR="002F79E5" w:rsidRPr="005C5061" w:rsidRDefault="002F79E5" w:rsidP="00823F16">
      <w:pPr>
        <w:pStyle w:val="NoSpacing"/>
        <w:shd w:val="clear" w:color="auto" w:fill="D9E2F3" w:themeFill="accent5" w:themeFillTint="33"/>
        <w:jc w:val="both"/>
        <w:rPr>
          <w:rFonts w:cstheme="minorHAnsi"/>
          <w:bCs/>
          <w:iCs/>
        </w:rPr>
      </w:pPr>
      <w:r w:rsidRPr="005C5061">
        <w:rPr>
          <w:rFonts w:cstheme="minorHAnsi"/>
          <w:b/>
          <w:i/>
          <w:color w:val="000000" w:themeColor="text1"/>
        </w:rPr>
        <w:t>A whole-of-government approach:  Integrating Paris and SDG targets into state ownership policy</w:t>
      </w:r>
      <w:r w:rsidR="00D1364E" w:rsidRPr="005C5061">
        <w:rPr>
          <w:rFonts w:cstheme="minorHAnsi"/>
          <w:b/>
          <w:i/>
          <w:color w:val="000000" w:themeColor="text1"/>
        </w:rPr>
        <w:t>.</w:t>
      </w:r>
      <w:r w:rsidR="006000B7" w:rsidRPr="005C5061">
        <w:rPr>
          <w:rFonts w:cstheme="minorHAnsi"/>
        </w:rPr>
        <w:t xml:space="preserve"> </w:t>
      </w:r>
      <w:r w:rsidRPr="005C5061">
        <w:rPr>
          <w:rFonts w:cstheme="minorHAnsi"/>
        </w:rPr>
        <w:t xml:space="preserve">Sweden has adopted a comprehensive set of climate reforms for the entire SOE-portfolio through its state ownership policy </w:t>
      </w:r>
      <w:r w:rsidR="00A4610F" w:rsidRPr="005C5061">
        <w:rPr>
          <w:rFonts w:cstheme="minorHAnsi"/>
          <w:bCs/>
          <w:iCs/>
        </w:rPr>
        <w:t>that</w:t>
      </w:r>
      <w:r w:rsidRPr="005C5061">
        <w:rPr>
          <w:rFonts w:cstheme="minorHAnsi"/>
          <w:bCs/>
          <w:iCs/>
        </w:rPr>
        <w:t xml:space="preserve"> explicitly task</w:t>
      </w:r>
      <w:r w:rsidR="00A4610F" w:rsidRPr="005C5061">
        <w:rPr>
          <w:rFonts w:cstheme="minorHAnsi"/>
          <w:bCs/>
          <w:iCs/>
        </w:rPr>
        <w:t>s enterprises</w:t>
      </w:r>
      <w:r w:rsidRPr="005C5061">
        <w:rPr>
          <w:rFonts w:cstheme="minorHAnsi"/>
          <w:bCs/>
          <w:iCs/>
        </w:rPr>
        <w:t xml:space="preserve"> with achievement of the national environmental and climate objectives</w:t>
      </w:r>
      <w:r w:rsidR="00CF0CB8" w:rsidRPr="005C5061">
        <w:rPr>
          <w:rFonts w:cstheme="minorHAnsi"/>
          <w:bCs/>
          <w:iCs/>
        </w:rPr>
        <w:t>, including the 2030 Agenda</w:t>
      </w:r>
      <w:r w:rsidR="006026C6" w:rsidRPr="005C5061">
        <w:rPr>
          <w:rFonts w:cstheme="minorHAnsi"/>
          <w:bCs/>
          <w:iCs/>
        </w:rPr>
        <w:t xml:space="preserve"> for the</w:t>
      </w:r>
      <w:r w:rsidRPr="005C5061">
        <w:rPr>
          <w:rFonts w:cstheme="minorHAnsi"/>
          <w:bCs/>
          <w:iCs/>
        </w:rPr>
        <w:t xml:space="preserve"> SDGs. Enterprises must provide identification, assessment, management, and transparent reporting of climate-related financial risks and opportunities in their operations. Each enterprise is required to analyze the SDGs and identify goals that </w:t>
      </w:r>
      <w:r w:rsidR="00CF0CB8" w:rsidRPr="005C5061">
        <w:rPr>
          <w:rFonts w:cstheme="minorHAnsi"/>
          <w:bCs/>
          <w:iCs/>
        </w:rPr>
        <w:t xml:space="preserve">it </w:t>
      </w:r>
      <w:r w:rsidRPr="005C5061">
        <w:rPr>
          <w:rFonts w:cstheme="minorHAnsi"/>
          <w:bCs/>
          <w:iCs/>
        </w:rPr>
        <w:t>has an impact on and can contribute to achieving through its operations. Enterprises identify targets that are then vetted to ensure they align with Paris.</w:t>
      </w:r>
      <w:r w:rsidR="006000B7" w:rsidRPr="005C5061">
        <w:rPr>
          <w:rStyle w:val="FootnoteReference"/>
          <w:rFonts w:cstheme="minorHAnsi"/>
          <w:bCs/>
          <w:iCs/>
          <w:color w:val="000000" w:themeColor="text1"/>
        </w:rPr>
        <w:footnoteReference w:id="43"/>
      </w:r>
      <w:r w:rsidRPr="005C5061">
        <w:rPr>
          <w:rFonts w:cstheme="minorHAnsi"/>
          <w:bCs/>
          <w:iCs/>
        </w:rPr>
        <w:t xml:space="preserve"> Notably, the lion’s share—over 80 percent—of the direct GHG emissions from Sweden’s SOE portfolio are from enterprises with targets that have been independently approved</w:t>
      </w:r>
      <w:r w:rsidR="005179EA" w:rsidRPr="005C5061">
        <w:rPr>
          <w:rStyle w:val="FootnoteReference"/>
          <w:rFonts w:cstheme="minorHAnsi"/>
          <w:bCs/>
          <w:iCs/>
        </w:rPr>
        <w:footnoteReference w:id="44"/>
      </w:r>
      <w:r w:rsidRPr="005C5061">
        <w:rPr>
          <w:rFonts w:cstheme="minorHAnsi"/>
          <w:bCs/>
          <w:iCs/>
        </w:rPr>
        <w:t xml:space="preserve"> by the Science Based Targets (SBT)</w:t>
      </w:r>
      <w:r w:rsidR="00396F14" w:rsidRPr="005C5061">
        <w:rPr>
          <w:rStyle w:val="FootnoteReference"/>
          <w:rFonts w:cstheme="minorHAnsi"/>
          <w:bCs/>
          <w:iCs/>
        </w:rPr>
        <w:footnoteReference w:id="45"/>
      </w:r>
      <w:r w:rsidRPr="005C5061">
        <w:rPr>
          <w:rFonts w:cstheme="minorHAnsi"/>
          <w:bCs/>
          <w:iCs/>
        </w:rPr>
        <w:t xml:space="preserve"> initiative. </w:t>
      </w:r>
      <w:r w:rsidRPr="005C5061">
        <w:rPr>
          <w:rFonts w:cstheme="minorHAnsi"/>
        </w:rPr>
        <w:t>The</w:t>
      </w:r>
      <w:r w:rsidR="00641962" w:rsidRPr="005C5061">
        <w:rPr>
          <w:rFonts w:cstheme="minorHAnsi"/>
        </w:rPr>
        <w:t>se state own</w:t>
      </w:r>
      <w:r w:rsidRPr="005C5061">
        <w:rPr>
          <w:rFonts w:cstheme="minorHAnsi"/>
        </w:rPr>
        <w:t xml:space="preserve">ership </w:t>
      </w:r>
      <w:r w:rsidR="00CF0CB8" w:rsidRPr="005C5061">
        <w:rPr>
          <w:rFonts w:cstheme="minorHAnsi"/>
        </w:rPr>
        <w:t xml:space="preserve">reforms </w:t>
      </w:r>
      <w:r w:rsidRPr="005C5061">
        <w:rPr>
          <w:rFonts w:cstheme="minorHAnsi"/>
        </w:rPr>
        <w:t xml:space="preserve">complement </w:t>
      </w:r>
      <w:r w:rsidRPr="005C5061">
        <w:rPr>
          <w:rFonts w:cstheme="minorHAnsi"/>
          <w:bCs/>
          <w:iCs/>
        </w:rPr>
        <w:t xml:space="preserve">other national </w:t>
      </w:r>
      <w:r w:rsidRPr="005C5061">
        <w:rPr>
          <w:rFonts w:cstheme="minorHAnsi"/>
          <w:bCs/>
          <w:iCs/>
        </w:rPr>
        <w:lastRenderedPageBreak/>
        <w:t>interventions (e.g., energy and CO</w:t>
      </w:r>
      <w:r w:rsidRPr="005C5061">
        <w:rPr>
          <w:rFonts w:cstheme="minorHAnsi"/>
          <w:bCs/>
          <w:iCs/>
          <w:vertAlign w:val="subscript"/>
        </w:rPr>
        <w:t>2</w:t>
      </w:r>
      <w:r w:rsidRPr="005C5061">
        <w:rPr>
          <w:rFonts w:cstheme="minorHAnsi"/>
          <w:bCs/>
          <w:iCs/>
        </w:rPr>
        <w:t xml:space="preserve"> taxes) and sectoral interventions</w:t>
      </w:r>
      <w:r w:rsidR="00641962" w:rsidRPr="005C5061">
        <w:rPr>
          <w:rFonts w:cstheme="minorHAnsi"/>
          <w:bCs/>
          <w:iCs/>
        </w:rPr>
        <w:t xml:space="preserve"> (e.g., </w:t>
      </w:r>
      <w:r w:rsidR="00D1148A" w:rsidRPr="005C5061">
        <w:rPr>
          <w:rFonts w:cstheme="minorHAnsi"/>
          <w:bCs/>
          <w:iCs/>
        </w:rPr>
        <w:t>v</w:t>
      </w:r>
      <w:r w:rsidRPr="005C5061">
        <w:rPr>
          <w:rFonts w:cstheme="minorHAnsi"/>
          <w:bCs/>
          <w:iCs/>
        </w:rPr>
        <w:t xml:space="preserve">arious green bonds </w:t>
      </w:r>
      <w:r w:rsidR="00D1148A" w:rsidRPr="005C5061">
        <w:rPr>
          <w:rFonts w:cstheme="minorHAnsi"/>
          <w:bCs/>
          <w:iCs/>
        </w:rPr>
        <w:t>issued</w:t>
      </w:r>
      <w:r w:rsidRPr="005C5061">
        <w:rPr>
          <w:rFonts w:cstheme="minorHAnsi"/>
          <w:bCs/>
          <w:iCs/>
        </w:rPr>
        <w:t xml:space="preserve"> by a forestry SOE, state-owned banks (SOBs), and municipal-owned companies (MOCs)). Combined, Sweden’s climate reforms comprise a whole-of-government approach, for which </w:t>
      </w:r>
      <w:r w:rsidR="00BA4338" w:rsidRPr="005C5061">
        <w:rPr>
          <w:rFonts w:cstheme="minorHAnsi"/>
          <w:bCs/>
          <w:iCs/>
        </w:rPr>
        <w:t xml:space="preserve">the </w:t>
      </w:r>
      <w:r w:rsidRPr="005C5061">
        <w:rPr>
          <w:rFonts w:cstheme="minorHAnsi"/>
          <w:bCs/>
          <w:iCs/>
        </w:rPr>
        <w:t xml:space="preserve">SOE sector is a </w:t>
      </w:r>
      <w:r w:rsidR="00BA4338" w:rsidRPr="005C5061">
        <w:rPr>
          <w:rFonts w:cstheme="minorHAnsi"/>
          <w:bCs/>
          <w:iCs/>
        </w:rPr>
        <w:t>key</w:t>
      </w:r>
      <w:r w:rsidRPr="005C5061">
        <w:rPr>
          <w:rFonts w:cstheme="minorHAnsi"/>
          <w:bCs/>
          <w:iCs/>
        </w:rPr>
        <w:t xml:space="preserve"> component.</w:t>
      </w:r>
    </w:p>
    <w:p w14:paraId="5D0A7660" w14:textId="77777777" w:rsidR="002F79E5" w:rsidRPr="005C5061" w:rsidRDefault="002F79E5" w:rsidP="0058496F">
      <w:pPr>
        <w:pStyle w:val="NoSpacing"/>
        <w:shd w:val="clear" w:color="auto" w:fill="D9E2F3" w:themeFill="accent5" w:themeFillTint="33"/>
        <w:spacing w:line="120" w:lineRule="exact"/>
        <w:jc w:val="both"/>
        <w:rPr>
          <w:rFonts w:cstheme="minorHAnsi"/>
          <w:bCs/>
          <w:iCs/>
        </w:rPr>
      </w:pPr>
    </w:p>
    <w:p w14:paraId="756C1CA9" w14:textId="5C0AE677" w:rsidR="002F79E5" w:rsidRPr="005C5061" w:rsidRDefault="002F79E5" w:rsidP="00823F16">
      <w:pPr>
        <w:pStyle w:val="NoSpacing"/>
        <w:shd w:val="clear" w:color="auto" w:fill="D9E2F3" w:themeFill="accent5" w:themeFillTint="33"/>
        <w:jc w:val="both"/>
        <w:rPr>
          <w:rFonts w:cstheme="minorHAnsi"/>
          <w:bCs/>
          <w:iCs/>
        </w:rPr>
      </w:pPr>
      <w:r w:rsidRPr="005C5061">
        <w:rPr>
          <w:rFonts w:cstheme="minorHAnsi"/>
          <w:b/>
          <w:i/>
          <w:color w:val="000000" w:themeColor="text1"/>
        </w:rPr>
        <w:t>SOE-sector led climate policy through oversight and reporting mechanisms</w:t>
      </w:r>
      <w:r w:rsidR="00D1364E" w:rsidRPr="005C5061">
        <w:rPr>
          <w:rFonts w:cstheme="minorHAnsi"/>
          <w:b/>
          <w:i/>
          <w:color w:val="000000" w:themeColor="text1"/>
        </w:rPr>
        <w:t>.</w:t>
      </w:r>
      <w:r w:rsidRPr="005C5061">
        <w:rPr>
          <w:rFonts w:cstheme="minorHAnsi"/>
          <w:b/>
          <w:i/>
          <w:color w:val="000000" w:themeColor="text1"/>
        </w:rPr>
        <w:t xml:space="preserve"> </w:t>
      </w:r>
      <w:r w:rsidRPr="005C5061">
        <w:rPr>
          <w:rFonts w:cstheme="minorHAnsi"/>
          <w:bCs/>
          <w:iCs/>
        </w:rPr>
        <w:t>China is an important example for this approach, given both its high level of emissions</w:t>
      </w:r>
      <w:r w:rsidR="007D48B5" w:rsidRPr="005C5061">
        <w:rPr>
          <w:rFonts w:cstheme="minorHAnsi"/>
          <w:bCs/>
          <w:iCs/>
        </w:rPr>
        <w:t xml:space="preserve"> (largest in the world)</w:t>
      </w:r>
      <w:r w:rsidRPr="005C5061">
        <w:rPr>
          <w:rFonts w:cstheme="minorHAnsi"/>
          <w:bCs/>
          <w:iCs/>
        </w:rPr>
        <w:t xml:space="preserve"> and vast SOE portfolio</w:t>
      </w:r>
      <w:r w:rsidR="00425661" w:rsidRPr="005C5061">
        <w:rPr>
          <w:rFonts w:cstheme="minorHAnsi"/>
          <w:bCs/>
          <w:iCs/>
        </w:rPr>
        <w:t>—</w:t>
      </w:r>
      <w:r w:rsidRPr="005C5061">
        <w:rPr>
          <w:rFonts w:cstheme="minorHAnsi"/>
          <w:bCs/>
          <w:iCs/>
        </w:rPr>
        <w:t>but also because China’s effective policy framework for climate action relies heavily on SOE</w:t>
      </w:r>
      <w:r w:rsidR="00D51E05" w:rsidRPr="005C5061">
        <w:rPr>
          <w:rFonts w:cstheme="minorHAnsi"/>
          <w:bCs/>
          <w:iCs/>
        </w:rPr>
        <w:t>s</w:t>
      </w:r>
      <w:r w:rsidRPr="005C5061">
        <w:rPr>
          <w:rFonts w:cstheme="minorHAnsi"/>
          <w:bCs/>
          <w:iCs/>
        </w:rPr>
        <w:t>.</w:t>
      </w:r>
      <w:r w:rsidRPr="005C5061">
        <w:rPr>
          <w:rStyle w:val="FootnoteReference"/>
          <w:rFonts w:cstheme="minorHAnsi"/>
          <w:bCs/>
          <w:iCs/>
        </w:rPr>
        <w:footnoteReference w:id="46"/>
      </w:r>
      <w:r w:rsidRPr="005C5061">
        <w:rPr>
          <w:rFonts w:cstheme="minorHAnsi"/>
          <w:bCs/>
          <w:iCs/>
        </w:rPr>
        <w:t xml:space="preserve"> China’s SOE oversight commission, the State Council’s State-Owned Assets Supervision and Administration Commission (SASAC), has been central in advancing climate-related policies. These include a set of measures </w:t>
      </w:r>
      <w:r w:rsidR="00E30707" w:rsidRPr="005C5061">
        <w:rPr>
          <w:rFonts w:cstheme="minorHAnsi"/>
          <w:bCs/>
          <w:iCs/>
        </w:rPr>
        <w:t>introduced</w:t>
      </w:r>
      <w:r w:rsidRPr="005C5061">
        <w:rPr>
          <w:rFonts w:cstheme="minorHAnsi"/>
          <w:bCs/>
          <w:iCs/>
        </w:rPr>
        <w:t xml:space="preserve"> in 2010 that explicitly require energy conservation and emission reduction through enterprise strategies and operations, e.g., all central enterprises under </w:t>
      </w:r>
      <w:r w:rsidR="0085226C" w:rsidRPr="005C5061">
        <w:rPr>
          <w:rFonts w:cstheme="minorHAnsi"/>
          <w:bCs/>
          <w:iCs/>
        </w:rPr>
        <w:t xml:space="preserve">SASAC’s </w:t>
      </w:r>
      <w:r w:rsidRPr="005C5061">
        <w:rPr>
          <w:rFonts w:cstheme="minorHAnsi"/>
          <w:bCs/>
          <w:iCs/>
        </w:rPr>
        <w:t>mandate are required to formulate specific plans and determine internal responsibilities for energy conservation and emission reduction, among other measures. The measures also direct enterprises to support the development of the renewable energy, including by contributing to R&amp;D</w:t>
      </w:r>
      <w:r w:rsidR="00A25493" w:rsidRPr="005C5061">
        <w:rPr>
          <w:rFonts w:cstheme="minorHAnsi"/>
          <w:bCs/>
          <w:iCs/>
        </w:rPr>
        <w:t xml:space="preserve">, and </w:t>
      </w:r>
      <w:r w:rsidRPr="005C5061">
        <w:rPr>
          <w:rFonts w:cstheme="minorHAnsi"/>
          <w:bCs/>
          <w:iCs/>
        </w:rPr>
        <w:t>require</w:t>
      </w:r>
      <w:r w:rsidR="007E1F62" w:rsidRPr="005C5061">
        <w:rPr>
          <w:rFonts w:cstheme="minorHAnsi"/>
          <w:bCs/>
          <w:iCs/>
        </w:rPr>
        <w:t xml:space="preserve"> them</w:t>
      </w:r>
      <w:r w:rsidRPr="005C5061">
        <w:rPr>
          <w:rFonts w:cstheme="minorHAnsi"/>
          <w:bCs/>
          <w:iCs/>
        </w:rPr>
        <w:t xml:space="preserve"> to set their own targets for conservation and emission reduction based on scientific criteria and aligned with national strategies. While these mechanisms have supported significant progress for some SOEs, including the remarkable expansion of China’s renewables industries over the past decade, this is being substantially undermined by parallel competing policies that support ongoing SOE investment in carbon-intensive activities. For example, China extends various producer subsidies to its domestic coal sector SOEs and financing coal power stations in other countries. These subsidies, aside from imposing a large burden on public finances, are locking in high GHG-emissions as new coal-fired power plants continue to be brought into operation.</w:t>
      </w:r>
      <w:r w:rsidRPr="005C5061">
        <w:rPr>
          <w:rStyle w:val="FootnoteReference"/>
          <w:rFonts w:cstheme="minorHAnsi"/>
          <w:bCs/>
          <w:iCs/>
        </w:rPr>
        <w:footnoteReference w:id="47"/>
      </w:r>
      <w:r w:rsidRPr="005C5061">
        <w:rPr>
          <w:rFonts w:cstheme="minorHAnsi"/>
          <w:bCs/>
          <w:iCs/>
        </w:rPr>
        <w:t xml:space="preserve"> China’s SOEs </w:t>
      </w:r>
      <w:r w:rsidR="00630989" w:rsidRPr="005C5061">
        <w:rPr>
          <w:rFonts w:cstheme="minorHAnsi"/>
          <w:bCs/>
          <w:iCs/>
        </w:rPr>
        <w:t>are also</w:t>
      </w:r>
      <w:r w:rsidRPr="005C5061">
        <w:rPr>
          <w:rFonts w:cstheme="minorHAnsi"/>
          <w:bCs/>
          <w:iCs/>
        </w:rPr>
        <w:t xml:space="preserve"> closely </w:t>
      </w:r>
      <w:r w:rsidR="00630989" w:rsidRPr="005C5061">
        <w:rPr>
          <w:rFonts w:cstheme="minorHAnsi"/>
          <w:bCs/>
          <w:iCs/>
        </w:rPr>
        <w:t>involved with</w:t>
      </w:r>
      <w:r w:rsidRPr="005C5061">
        <w:rPr>
          <w:rFonts w:cstheme="minorHAnsi"/>
          <w:bCs/>
          <w:iCs/>
        </w:rPr>
        <w:t xml:space="preserve"> large BRI projects</w:t>
      </w:r>
      <w:r w:rsidR="00630989" w:rsidRPr="005C5061">
        <w:rPr>
          <w:rFonts w:cstheme="minorHAnsi"/>
          <w:bCs/>
          <w:iCs/>
        </w:rPr>
        <w:t>,</w:t>
      </w:r>
      <w:r w:rsidRPr="005C5061">
        <w:rPr>
          <w:rFonts w:cstheme="minorHAnsi"/>
          <w:bCs/>
          <w:iCs/>
        </w:rPr>
        <w:t xml:space="preserve"> includ</w:t>
      </w:r>
      <w:r w:rsidR="00E814B3" w:rsidRPr="005C5061">
        <w:rPr>
          <w:rFonts w:cstheme="minorHAnsi"/>
          <w:bCs/>
          <w:iCs/>
        </w:rPr>
        <w:t>ing</w:t>
      </w:r>
      <w:r w:rsidRPr="005C5061">
        <w:rPr>
          <w:rFonts w:cstheme="minorHAnsi"/>
          <w:bCs/>
          <w:iCs/>
        </w:rPr>
        <w:t xml:space="preserve"> construction of coal-fired power </w:t>
      </w:r>
      <w:r w:rsidR="00E814B3" w:rsidRPr="005C5061">
        <w:rPr>
          <w:rFonts w:cstheme="minorHAnsi"/>
          <w:bCs/>
          <w:iCs/>
        </w:rPr>
        <w:t>plants</w:t>
      </w:r>
      <w:r w:rsidRPr="005C5061">
        <w:rPr>
          <w:rFonts w:cstheme="minorHAnsi"/>
          <w:bCs/>
          <w:iCs/>
        </w:rPr>
        <w:t xml:space="preserve"> abroad, locking in high-emissions for </w:t>
      </w:r>
      <w:r w:rsidR="00E814B3" w:rsidRPr="005C5061">
        <w:rPr>
          <w:rFonts w:cstheme="minorHAnsi"/>
          <w:bCs/>
          <w:iCs/>
        </w:rPr>
        <w:t>host</w:t>
      </w:r>
      <w:r w:rsidRPr="005C5061">
        <w:rPr>
          <w:rFonts w:cstheme="minorHAnsi"/>
          <w:bCs/>
          <w:iCs/>
        </w:rPr>
        <w:t xml:space="preserve"> countries.</w:t>
      </w:r>
    </w:p>
    <w:p w14:paraId="4F946CCA" w14:textId="77777777" w:rsidR="002F79E5" w:rsidRPr="005C5061" w:rsidRDefault="002F79E5" w:rsidP="0058496F">
      <w:pPr>
        <w:pStyle w:val="NoSpacing"/>
        <w:shd w:val="clear" w:color="auto" w:fill="D9E2F3" w:themeFill="accent5" w:themeFillTint="33"/>
        <w:spacing w:line="120" w:lineRule="exact"/>
        <w:jc w:val="both"/>
        <w:rPr>
          <w:rFonts w:cstheme="minorHAnsi"/>
          <w:bCs/>
          <w:iCs/>
        </w:rPr>
      </w:pPr>
    </w:p>
    <w:p w14:paraId="0C1E62B8" w14:textId="0789B0F7" w:rsidR="002F79E5" w:rsidRPr="005C5061" w:rsidRDefault="002F79E5" w:rsidP="00823F16">
      <w:pPr>
        <w:pStyle w:val="NoSpacing"/>
        <w:shd w:val="clear" w:color="auto" w:fill="D9E2F3" w:themeFill="accent5" w:themeFillTint="33"/>
        <w:jc w:val="both"/>
        <w:rPr>
          <w:rFonts w:cstheme="minorHAnsi"/>
          <w:bCs/>
          <w:iCs/>
        </w:rPr>
      </w:pPr>
      <w:r w:rsidRPr="005C5061">
        <w:rPr>
          <w:rFonts w:cstheme="minorHAnsi"/>
          <w:b/>
          <w:i/>
          <w:color w:val="000000" w:themeColor="text1"/>
        </w:rPr>
        <w:t>Integration of SOE climate reform policy into national strategies at the sectoral level</w:t>
      </w:r>
      <w:r w:rsidR="00D1364E" w:rsidRPr="005C5061">
        <w:rPr>
          <w:rFonts w:cstheme="minorHAnsi"/>
          <w:b/>
          <w:i/>
          <w:color w:val="000000" w:themeColor="text1"/>
        </w:rPr>
        <w:t>.</w:t>
      </w:r>
      <w:r w:rsidRPr="005C5061">
        <w:rPr>
          <w:rFonts w:cstheme="minorHAnsi"/>
          <w:b/>
          <w:i/>
          <w:color w:val="000000" w:themeColor="text1"/>
        </w:rPr>
        <w:t xml:space="preserve">  </w:t>
      </w:r>
      <w:r w:rsidRPr="005C5061">
        <w:rPr>
          <w:rFonts w:cstheme="minorHAnsi"/>
          <w:bCs/>
          <w:iCs/>
        </w:rPr>
        <w:t xml:space="preserve">In August 2017, the government approved the Energy Strategy for Ukraine 2035, which identifies a host of reforms aimed at energy efficiency and sustainable development and identifies energy sector SOEs to be involved </w:t>
      </w:r>
      <w:r w:rsidR="00FD1020" w:rsidRPr="005C5061">
        <w:rPr>
          <w:rFonts w:cstheme="minorHAnsi"/>
          <w:bCs/>
          <w:iCs/>
        </w:rPr>
        <w:t>with</w:t>
      </w:r>
      <w:r w:rsidRPr="005C5061">
        <w:rPr>
          <w:rFonts w:cstheme="minorHAnsi"/>
          <w:bCs/>
          <w:iCs/>
        </w:rPr>
        <w:t xml:space="preserve"> implementation. This includes key energy SOEs</w:t>
      </w:r>
      <w:r w:rsidR="00D856D5" w:rsidRPr="005C5061">
        <w:rPr>
          <w:rFonts w:cstheme="minorHAnsi"/>
          <w:bCs/>
          <w:iCs/>
        </w:rPr>
        <w:t xml:space="preserve">, e.g., </w:t>
      </w:r>
      <w:r w:rsidRPr="005C5061">
        <w:rPr>
          <w:rFonts w:cstheme="minorHAnsi"/>
          <w:bCs/>
          <w:iCs/>
        </w:rPr>
        <w:t>Naftogaz, the largest oil and gas company in the Ukraine</w:t>
      </w:r>
      <w:r w:rsidR="00D856D5" w:rsidRPr="005C5061">
        <w:rPr>
          <w:rFonts w:cstheme="minorHAnsi"/>
          <w:bCs/>
          <w:iCs/>
        </w:rPr>
        <w:t>, and</w:t>
      </w:r>
      <w:r w:rsidRPr="005C5061">
        <w:rPr>
          <w:rFonts w:cstheme="minorHAnsi"/>
          <w:bCs/>
          <w:iCs/>
        </w:rPr>
        <w:t xml:space="preserve"> National Nuclear Energy Generating Company “Energoatom”, which operates all of </w:t>
      </w:r>
      <w:r w:rsidR="006D74CF" w:rsidRPr="005C5061">
        <w:rPr>
          <w:rFonts w:cstheme="minorHAnsi"/>
          <w:bCs/>
          <w:iCs/>
        </w:rPr>
        <w:t xml:space="preserve">the </w:t>
      </w:r>
      <w:r w:rsidRPr="005C5061">
        <w:rPr>
          <w:rFonts w:cstheme="minorHAnsi"/>
          <w:bCs/>
          <w:iCs/>
        </w:rPr>
        <w:t>Ukraine’s nuclear plants.</w:t>
      </w:r>
      <w:r w:rsidRPr="005C5061">
        <w:rPr>
          <w:rStyle w:val="FootnoteReference"/>
          <w:rFonts w:cstheme="minorHAnsi"/>
          <w:bCs/>
          <w:iCs/>
        </w:rPr>
        <w:footnoteReference w:id="48"/>
      </w:r>
      <w:r w:rsidRPr="005C5061">
        <w:rPr>
          <w:rFonts w:cstheme="minorHAnsi"/>
          <w:bCs/>
          <w:iCs/>
        </w:rPr>
        <w:t xml:space="preserve"> The strategy incorporates </w:t>
      </w:r>
      <w:r w:rsidR="0046148C" w:rsidRPr="005C5061">
        <w:rPr>
          <w:rFonts w:cstheme="minorHAnsi"/>
          <w:bCs/>
          <w:iCs/>
        </w:rPr>
        <w:t xml:space="preserve">a number of </w:t>
      </w:r>
      <w:r w:rsidRPr="005C5061">
        <w:rPr>
          <w:rFonts w:cstheme="minorHAnsi"/>
          <w:bCs/>
          <w:iCs/>
        </w:rPr>
        <w:t xml:space="preserve">climate-related goals, such as improving energy efficiency across the production and consumption chains, </w:t>
      </w:r>
      <w:r w:rsidR="00272FF3" w:rsidRPr="005C5061">
        <w:rPr>
          <w:rFonts w:cstheme="minorHAnsi"/>
          <w:bCs/>
          <w:iCs/>
        </w:rPr>
        <w:t xml:space="preserve">and </w:t>
      </w:r>
      <w:r w:rsidRPr="005C5061">
        <w:rPr>
          <w:rFonts w:cstheme="minorHAnsi"/>
          <w:bCs/>
          <w:iCs/>
        </w:rPr>
        <w:t>developing renewable, low-carbon energy sources</w:t>
      </w:r>
      <w:r w:rsidR="007077C6" w:rsidRPr="005C5061">
        <w:rPr>
          <w:rFonts w:cstheme="minorHAnsi"/>
          <w:bCs/>
          <w:iCs/>
        </w:rPr>
        <w:t xml:space="preserve">, </w:t>
      </w:r>
      <w:r w:rsidR="00272FF3" w:rsidRPr="005C5061">
        <w:rPr>
          <w:rFonts w:cstheme="minorHAnsi"/>
          <w:bCs/>
          <w:iCs/>
        </w:rPr>
        <w:t>while also taking an ‘integrative’ approach to reform the</w:t>
      </w:r>
      <w:r w:rsidR="009001D7" w:rsidRPr="005C5061">
        <w:rPr>
          <w:rFonts w:cstheme="minorHAnsi"/>
          <w:bCs/>
          <w:iCs/>
        </w:rPr>
        <w:t xml:space="preserve"> </w:t>
      </w:r>
      <w:r w:rsidRPr="005C5061">
        <w:rPr>
          <w:rFonts w:cstheme="minorHAnsi"/>
          <w:bCs/>
          <w:iCs/>
        </w:rPr>
        <w:t xml:space="preserve">coal industry aimed at greening and decarbonizing the sector. </w:t>
      </w:r>
    </w:p>
    <w:p w14:paraId="04BDDE73" w14:textId="77777777" w:rsidR="002F79E5" w:rsidRPr="005C5061" w:rsidRDefault="002F79E5" w:rsidP="0058496F">
      <w:pPr>
        <w:pStyle w:val="NoSpacing"/>
        <w:shd w:val="clear" w:color="auto" w:fill="D9E2F3" w:themeFill="accent5" w:themeFillTint="33"/>
        <w:spacing w:line="120" w:lineRule="exact"/>
        <w:jc w:val="both"/>
        <w:rPr>
          <w:rFonts w:cstheme="minorHAnsi"/>
          <w:bCs/>
          <w:iCs/>
        </w:rPr>
      </w:pPr>
    </w:p>
    <w:p w14:paraId="030B9EB3" w14:textId="658BA5B5" w:rsidR="002F79E5" w:rsidRPr="00CE791B" w:rsidRDefault="002F79E5" w:rsidP="00845D5C">
      <w:pPr>
        <w:pStyle w:val="NoSpacing"/>
        <w:shd w:val="clear" w:color="auto" w:fill="D9E2F3" w:themeFill="accent5" w:themeFillTint="33"/>
        <w:jc w:val="both"/>
        <w:rPr>
          <w:rFonts w:eastAsia="Times New Roman" w:cstheme="minorHAnsi"/>
        </w:rPr>
      </w:pPr>
      <w:r w:rsidRPr="005C5061">
        <w:rPr>
          <w:rFonts w:cstheme="minorHAnsi"/>
          <w:b/>
          <w:i/>
        </w:rPr>
        <w:t>SOE sustainable finance policies</w:t>
      </w:r>
      <w:r w:rsidR="00D1364E" w:rsidRPr="005C5061">
        <w:rPr>
          <w:rFonts w:cstheme="minorHAnsi"/>
          <w:b/>
          <w:i/>
        </w:rPr>
        <w:t>.</w:t>
      </w:r>
      <w:r w:rsidRPr="005C5061">
        <w:rPr>
          <w:rFonts w:eastAsia="Times New Roman" w:cstheme="minorHAnsi"/>
        </w:rPr>
        <w:t xml:space="preserve"> The UK Green Investment Bank (GIB) in the United Kingdom was set up as an SOB in 2012 with the explicit mandate to further environmental goals through project finance. Before it was privatized in 2017 (and renamed Green Investment Group)</w:t>
      </w:r>
      <w:r w:rsidR="005E4248" w:rsidRPr="005C5061">
        <w:rPr>
          <w:rFonts w:eastAsia="Times New Roman" w:cstheme="minorHAnsi"/>
        </w:rPr>
        <w:t>,</w:t>
      </w:r>
      <w:r w:rsidRPr="005C5061">
        <w:rPr>
          <w:rFonts w:eastAsia="Times New Roman" w:cstheme="minorHAnsi"/>
        </w:rPr>
        <w:t xml:space="preserve"> </w:t>
      </w:r>
      <w:r w:rsidR="005E4248" w:rsidRPr="005C5061">
        <w:rPr>
          <w:rFonts w:eastAsia="Times New Roman" w:cstheme="minorHAnsi"/>
        </w:rPr>
        <w:t xml:space="preserve">GIB </w:t>
      </w:r>
      <w:r w:rsidRPr="005C5061">
        <w:rPr>
          <w:rFonts w:eastAsia="Times New Roman" w:cstheme="minorHAnsi"/>
        </w:rPr>
        <w:t>invested in over 100 green infrastructure projects and seven funds to support renewables, waste/biomass, and energy efficiency.</w:t>
      </w:r>
      <w:r w:rsidR="003E4148" w:rsidRPr="005C5061">
        <w:rPr>
          <w:rStyle w:val="FootnoteReference"/>
          <w:rFonts w:eastAsia="Times New Roman" w:cstheme="minorHAnsi"/>
        </w:rPr>
        <w:footnoteReference w:id="49"/>
      </w:r>
      <w:r w:rsidRPr="005C5061">
        <w:rPr>
          <w:rFonts w:eastAsia="Times New Roman" w:cstheme="minorHAnsi"/>
        </w:rPr>
        <w:t xml:space="preserve"> Its success is in part attributed to its high standards of governance, which </w:t>
      </w:r>
      <w:r w:rsidR="009308C6" w:rsidRPr="005C5061">
        <w:rPr>
          <w:rFonts w:eastAsia="Times New Roman" w:cstheme="minorHAnsi"/>
        </w:rPr>
        <w:t>supported</w:t>
      </w:r>
      <w:r w:rsidRPr="005C5061">
        <w:rPr>
          <w:rFonts w:eastAsia="Times New Roman" w:cstheme="minorHAnsi"/>
        </w:rPr>
        <w:t xml:space="preserve"> environmental, social as well as financial </w:t>
      </w:r>
      <w:r w:rsidR="009308C6" w:rsidRPr="005C5061">
        <w:rPr>
          <w:rFonts w:eastAsia="Times New Roman" w:cstheme="minorHAnsi"/>
        </w:rPr>
        <w:t>outcomes</w:t>
      </w:r>
      <w:r w:rsidRPr="005C5061">
        <w:rPr>
          <w:rStyle w:val="Hyperlink"/>
          <w:rFonts w:eastAsia="Times New Roman" w:cstheme="minorHAnsi"/>
          <w:color w:val="auto"/>
          <w:u w:val="none"/>
        </w:rPr>
        <w:t>.</w:t>
      </w:r>
      <w:r w:rsidR="000E60D9" w:rsidRPr="005C5061">
        <w:rPr>
          <w:rStyle w:val="FootnoteReference"/>
          <w:rFonts w:eastAsia="Times New Roman" w:cstheme="minorHAnsi"/>
        </w:rPr>
        <w:footnoteReference w:id="50"/>
      </w:r>
      <w:r w:rsidRPr="005C5061">
        <w:rPr>
          <w:rFonts w:eastAsia="Times New Roman" w:cstheme="minorHAnsi"/>
        </w:rPr>
        <w:t xml:space="preserve"> </w:t>
      </w:r>
      <w:r w:rsidR="008017BB" w:rsidRPr="00CE791B">
        <w:rPr>
          <w:rFonts w:eastAsia="Times New Roman" w:cstheme="minorHAnsi"/>
        </w:rPr>
        <w:t>Similarly,</w:t>
      </w:r>
      <w:r w:rsidR="00C32C98" w:rsidRPr="00CE791B">
        <w:rPr>
          <w:rFonts w:eastAsia="Times New Roman" w:cstheme="minorHAnsi"/>
        </w:rPr>
        <w:t xml:space="preserve"> </w:t>
      </w:r>
      <w:r w:rsidR="00B40C5C" w:rsidRPr="00CE791B">
        <w:rPr>
          <w:rFonts w:eastAsia="Times New Roman" w:cstheme="minorHAnsi"/>
        </w:rPr>
        <w:t xml:space="preserve">a number of Scandinavian countries have set up </w:t>
      </w:r>
      <w:r w:rsidR="008C2FDE" w:rsidRPr="00CE791B">
        <w:rPr>
          <w:rFonts w:eastAsia="Times New Roman" w:cstheme="minorHAnsi"/>
        </w:rPr>
        <w:t xml:space="preserve">state-owned </w:t>
      </w:r>
      <w:r w:rsidR="008C2FDE" w:rsidRPr="00CE791B">
        <w:rPr>
          <w:rFonts w:eastAsia="Times New Roman" w:cstheme="minorHAnsi"/>
        </w:rPr>
        <w:lastRenderedPageBreak/>
        <w:t xml:space="preserve">investment funds, such as </w:t>
      </w:r>
      <w:r w:rsidR="00C32C98" w:rsidRPr="00CE791B">
        <w:rPr>
          <w:rFonts w:eastAsia="Times New Roman" w:cstheme="minorHAnsi"/>
        </w:rPr>
        <w:t>Nysnø</w:t>
      </w:r>
      <w:r w:rsidR="008C2FDE" w:rsidRPr="00CE791B">
        <w:rPr>
          <w:rFonts w:eastAsia="Times New Roman" w:cstheme="minorHAnsi"/>
        </w:rPr>
        <w:t xml:space="preserve"> in Norway</w:t>
      </w:r>
      <w:r w:rsidR="00815BD1" w:rsidRPr="00CE791B">
        <w:rPr>
          <w:rFonts w:eastAsia="Times New Roman" w:cstheme="minorHAnsi"/>
        </w:rPr>
        <w:t xml:space="preserve"> that </w:t>
      </w:r>
      <w:r w:rsidR="00830D69" w:rsidRPr="00CE791B">
        <w:rPr>
          <w:rFonts w:eastAsia="Times New Roman" w:cstheme="minorHAnsi"/>
        </w:rPr>
        <w:t>seeks to</w:t>
      </w:r>
      <w:r w:rsidR="00C32C98" w:rsidRPr="00CE791B">
        <w:rPr>
          <w:rFonts w:eastAsia="Times New Roman" w:cstheme="minorHAnsi"/>
        </w:rPr>
        <w:t xml:space="preserve"> </w:t>
      </w:r>
      <w:r w:rsidR="00830D69" w:rsidRPr="00CE791B">
        <w:rPr>
          <w:rFonts w:eastAsia="Times New Roman" w:cstheme="minorHAnsi"/>
        </w:rPr>
        <w:t xml:space="preserve">contribute to a </w:t>
      </w:r>
      <w:r w:rsidR="00C32C98" w:rsidRPr="00CE791B">
        <w:rPr>
          <w:rFonts w:eastAsia="Times New Roman" w:cstheme="minorHAnsi"/>
        </w:rPr>
        <w:t>reduc</w:t>
      </w:r>
      <w:r w:rsidR="00830D69" w:rsidRPr="00CE791B">
        <w:rPr>
          <w:rFonts w:eastAsia="Times New Roman" w:cstheme="minorHAnsi"/>
        </w:rPr>
        <w:t>tion in</w:t>
      </w:r>
      <w:r w:rsidR="00C32C98" w:rsidRPr="00CE791B">
        <w:rPr>
          <w:rFonts w:eastAsia="Times New Roman" w:cstheme="minorHAnsi"/>
        </w:rPr>
        <w:t xml:space="preserve"> </w:t>
      </w:r>
      <w:r w:rsidR="00815BD1" w:rsidRPr="00CE791B">
        <w:rPr>
          <w:rFonts w:eastAsia="Times New Roman" w:cstheme="minorHAnsi"/>
        </w:rPr>
        <w:t>GHG</w:t>
      </w:r>
      <w:r w:rsidR="00C32C98" w:rsidRPr="00CE791B">
        <w:rPr>
          <w:rFonts w:eastAsia="Times New Roman" w:cstheme="minorHAnsi"/>
        </w:rPr>
        <w:t xml:space="preserve"> emissions</w:t>
      </w:r>
      <w:r w:rsidR="00831CA9" w:rsidRPr="00CE791B">
        <w:rPr>
          <w:rFonts w:eastAsia="Times New Roman" w:cstheme="minorHAnsi"/>
        </w:rPr>
        <w:t xml:space="preserve"> by investing in </w:t>
      </w:r>
      <w:r w:rsidR="00C32C98" w:rsidRPr="00CE791B">
        <w:rPr>
          <w:rFonts w:eastAsia="Times New Roman" w:cstheme="minorHAnsi"/>
        </w:rPr>
        <w:t>new, climate</w:t>
      </w:r>
      <w:r w:rsidR="00831CA9" w:rsidRPr="00CE791B">
        <w:rPr>
          <w:rFonts w:eastAsia="Times New Roman" w:cstheme="minorHAnsi"/>
        </w:rPr>
        <w:t>-</w:t>
      </w:r>
      <w:r w:rsidR="00C32C98" w:rsidRPr="00CE791B">
        <w:rPr>
          <w:rFonts w:eastAsia="Times New Roman" w:cstheme="minorHAnsi"/>
        </w:rPr>
        <w:t>friendly technology</w:t>
      </w:r>
      <w:r w:rsidR="00831CA9" w:rsidRPr="00CE791B">
        <w:rPr>
          <w:rFonts w:eastAsia="Times New Roman" w:cstheme="minorHAnsi"/>
        </w:rPr>
        <w:t>.</w:t>
      </w:r>
      <w:r w:rsidR="00EB12F6" w:rsidRPr="00CE791B">
        <w:rPr>
          <w:rStyle w:val="FootnoteReference"/>
          <w:rFonts w:eastAsia="Times New Roman" w:cstheme="minorHAnsi"/>
        </w:rPr>
        <w:footnoteReference w:id="51"/>
      </w:r>
      <w:r w:rsidR="00831CA9" w:rsidRPr="00CE791B">
        <w:rPr>
          <w:rFonts w:eastAsia="Times New Roman" w:cstheme="minorHAnsi"/>
        </w:rPr>
        <w:t xml:space="preserve"> </w:t>
      </w:r>
      <w:r w:rsidRPr="00CE791B">
        <w:rPr>
          <w:rFonts w:eastAsia="Times New Roman" w:cstheme="minorHAnsi"/>
        </w:rPr>
        <w:t xml:space="preserve">Other examples of sustainable finance include the issuance of </w:t>
      </w:r>
      <w:r w:rsidR="009308C6" w:rsidRPr="00CE791B">
        <w:rPr>
          <w:rFonts w:eastAsia="Times New Roman" w:cstheme="minorHAnsi"/>
        </w:rPr>
        <w:t>SOE</w:t>
      </w:r>
      <w:r w:rsidR="00DF278B" w:rsidRPr="00CE791B">
        <w:rPr>
          <w:rFonts w:eastAsia="Times New Roman" w:cstheme="minorHAnsi"/>
        </w:rPr>
        <w:t>-</w:t>
      </w:r>
      <w:r w:rsidRPr="00CE791B">
        <w:rPr>
          <w:rFonts w:eastAsia="Times New Roman" w:cstheme="minorHAnsi"/>
        </w:rPr>
        <w:t xml:space="preserve">climate-related bonds. This includes green bonds to raise capital for low-carbon solutions, such as renewables, which SOEs </w:t>
      </w:r>
      <w:r w:rsidR="006F6792" w:rsidRPr="00CE791B">
        <w:rPr>
          <w:rFonts w:eastAsia="Times New Roman" w:cstheme="minorHAnsi"/>
        </w:rPr>
        <w:t xml:space="preserve">have issued across various </w:t>
      </w:r>
      <w:r w:rsidRPr="00CE791B">
        <w:rPr>
          <w:rFonts w:eastAsia="Times New Roman" w:cstheme="minorHAnsi"/>
        </w:rPr>
        <w:t xml:space="preserve">countries </w:t>
      </w:r>
      <w:r w:rsidR="00DF278B" w:rsidRPr="00CE791B">
        <w:rPr>
          <w:rFonts w:eastAsia="Times New Roman" w:cstheme="minorHAnsi"/>
        </w:rPr>
        <w:t>(e.g.</w:t>
      </w:r>
      <w:r w:rsidR="00A95396" w:rsidRPr="00CE791B">
        <w:rPr>
          <w:rFonts w:eastAsia="Times New Roman" w:cstheme="minorHAnsi"/>
        </w:rPr>
        <w:t>,</w:t>
      </w:r>
      <w:r w:rsidRPr="00CE791B">
        <w:rPr>
          <w:rFonts w:eastAsia="Times New Roman" w:cstheme="minorHAnsi"/>
        </w:rPr>
        <w:t xml:space="preserve"> </w:t>
      </w:r>
      <w:r w:rsidR="00745B4D" w:rsidRPr="00CE791B">
        <w:rPr>
          <w:rFonts w:eastAsia="Times New Roman" w:cstheme="minorHAnsi"/>
        </w:rPr>
        <w:t xml:space="preserve">Sweden, </w:t>
      </w:r>
      <w:r w:rsidRPr="00CE791B">
        <w:rPr>
          <w:rFonts w:eastAsia="Times New Roman" w:cstheme="minorHAnsi"/>
        </w:rPr>
        <w:t>Latvia, and Lithuania</w:t>
      </w:r>
      <w:r w:rsidR="00DF278B" w:rsidRPr="00CE791B">
        <w:rPr>
          <w:rFonts w:eastAsia="Times New Roman" w:cstheme="minorHAnsi"/>
        </w:rPr>
        <w:t>)</w:t>
      </w:r>
      <w:r w:rsidRPr="00CE791B">
        <w:rPr>
          <w:rFonts w:eastAsia="Times New Roman" w:cstheme="minorHAnsi"/>
        </w:rPr>
        <w:t>. Another instrument is</w:t>
      </w:r>
      <w:r w:rsidR="006F6792" w:rsidRPr="00CE791B">
        <w:rPr>
          <w:rFonts w:eastAsia="Times New Roman" w:cstheme="minorHAnsi"/>
        </w:rPr>
        <w:t xml:space="preserve"> </w:t>
      </w:r>
      <w:r w:rsidRPr="00CE791B">
        <w:rPr>
          <w:rFonts w:eastAsia="Times New Roman" w:cstheme="minorHAnsi"/>
        </w:rPr>
        <w:t xml:space="preserve">transition bonds for ‘brown’ industries to raise capital </w:t>
      </w:r>
      <w:r w:rsidR="004D5437" w:rsidRPr="00CE791B">
        <w:rPr>
          <w:rFonts w:eastAsia="Times New Roman" w:cstheme="minorHAnsi"/>
        </w:rPr>
        <w:t>for</w:t>
      </w:r>
      <w:r w:rsidR="006F6792" w:rsidRPr="00CE791B">
        <w:rPr>
          <w:rFonts w:eastAsia="Times New Roman" w:cstheme="minorHAnsi"/>
        </w:rPr>
        <w:t xml:space="preserve"> SOE</w:t>
      </w:r>
      <w:r w:rsidR="004D5437" w:rsidRPr="00CE791B">
        <w:rPr>
          <w:rFonts w:eastAsia="Times New Roman" w:cstheme="minorHAnsi"/>
        </w:rPr>
        <w:t>s to</w:t>
      </w:r>
      <w:r w:rsidRPr="00CE791B">
        <w:rPr>
          <w:rFonts w:eastAsia="Times New Roman" w:cstheme="minorHAnsi"/>
        </w:rPr>
        <w:t xml:space="preserve"> shift into greener activities</w:t>
      </w:r>
      <w:r w:rsidR="00B803EE" w:rsidRPr="00CE791B">
        <w:rPr>
          <w:rFonts w:eastAsia="Times New Roman" w:cstheme="minorHAnsi"/>
        </w:rPr>
        <w:t xml:space="preserve"> (e.g., </w:t>
      </w:r>
      <w:r w:rsidRPr="00CE791B">
        <w:rPr>
          <w:rFonts w:eastAsia="Times New Roman" w:cstheme="minorHAnsi"/>
        </w:rPr>
        <w:t xml:space="preserve">Hong Kong, </w:t>
      </w:r>
      <w:r w:rsidR="006833D5" w:rsidRPr="00CE791B">
        <w:rPr>
          <w:rFonts w:eastAsia="Times New Roman" w:cstheme="minorHAnsi"/>
        </w:rPr>
        <w:t>and an SOE</w:t>
      </w:r>
      <w:r w:rsidRPr="00CE791B">
        <w:rPr>
          <w:rFonts w:eastAsia="Times New Roman" w:cstheme="minorHAnsi"/>
        </w:rPr>
        <w:t xml:space="preserve"> </w:t>
      </w:r>
      <w:r w:rsidR="006833D5" w:rsidRPr="00CE791B">
        <w:rPr>
          <w:rFonts w:eastAsia="Times New Roman" w:cstheme="minorHAnsi"/>
        </w:rPr>
        <w:t xml:space="preserve">transition sukuk, Islamic bond, in </w:t>
      </w:r>
      <w:r w:rsidRPr="00CE791B">
        <w:rPr>
          <w:rFonts w:eastAsia="Times New Roman" w:cstheme="minorHAnsi"/>
        </w:rPr>
        <w:t>Abu Dhabi</w:t>
      </w:r>
      <w:r w:rsidR="007217FB" w:rsidRPr="00CE791B">
        <w:rPr>
          <w:rFonts w:eastAsia="Times New Roman" w:cstheme="minorHAnsi"/>
        </w:rPr>
        <w:t>)</w:t>
      </w:r>
      <w:r w:rsidRPr="00CE791B">
        <w:rPr>
          <w:rFonts w:eastAsia="Times New Roman" w:cstheme="minorHAnsi"/>
        </w:rPr>
        <w:t>.</w:t>
      </w:r>
    </w:p>
    <w:p w14:paraId="6FD3DFFD" w14:textId="77777777" w:rsidR="002F79E5" w:rsidRPr="005C5061" w:rsidRDefault="002F79E5" w:rsidP="0058496F">
      <w:pPr>
        <w:pStyle w:val="NoSpacing"/>
        <w:shd w:val="clear" w:color="auto" w:fill="D9E2F3" w:themeFill="accent5" w:themeFillTint="33"/>
        <w:spacing w:line="120" w:lineRule="exact"/>
        <w:jc w:val="both"/>
        <w:rPr>
          <w:rFonts w:eastAsia="Times New Roman" w:cstheme="minorHAnsi"/>
        </w:rPr>
      </w:pPr>
    </w:p>
    <w:p w14:paraId="2E44D823" w14:textId="5F708D69" w:rsidR="002F79E5" w:rsidRPr="005C5061" w:rsidRDefault="002F79E5" w:rsidP="00845D5C">
      <w:pPr>
        <w:pStyle w:val="NoSpacing"/>
        <w:pBdr>
          <w:bottom w:val="single" w:sz="4" w:space="1" w:color="auto"/>
        </w:pBdr>
        <w:shd w:val="clear" w:color="auto" w:fill="D9E2F3" w:themeFill="accent5" w:themeFillTint="33"/>
        <w:jc w:val="both"/>
        <w:rPr>
          <w:rFonts w:cstheme="minorHAnsi"/>
          <w:bCs/>
          <w:iCs/>
        </w:rPr>
      </w:pPr>
      <w:r w:rsidRPr="005C5061">
        <w:rPr>
          <w:rFonts w:cstheme="minorHAnsi"/>
          <w:b/>
          <w:i/>
          <w:color w:val="000000" w:themeColor="text1"/>
        </w:rPr>
        <w:t>Climate reform incorporated into enterprise restructuring</w:t>
      </w:r>
      <w:r w:rsidR="00D1364E" w:rsidRPr="005C5061">
        <w:rPr>
          <w:rFonts w:cstheme="minorHAnsi"/>
          <w:b/>
          <w:i/>
          <w:color w:val="000000" w:themeColor="text1"/>
        </w:rPr>
        <w:t>.</w:t>
      </w:r>
      <w:r w:rsidRPr="005C5061">
        <w:rPr>
          <w:rFonts w:cstheme="minorHAnsi"/>
          <w:b/>
          <w:i/>
          <w:color w:val="000000" w:themeColor="text1"/>
        </w:rPr>
        <w:t xml:space="preserve"> </w:t>
      </w:r>
      <w:r w:rsidR="00BC7ED5" w:rsidRPr="005C5061">
        <w:rPr>
          <w:rFonts w:cstheme="minorHAnsi"/>
          <w:bCs/>
          <w:iCs/>
        </w:rPr>
        <w:t>With the finalization of</w:t>
      </w:r>
      <w:r w:rsidR="00C62655" w:rsidRPr="005C5061">
        <w:rPr>
          <w:rFonts w:cstheme="minorHAnsi"/>
          <w:bCs/>
          <w:iCs/>
        </w:rPr>
        <w:t xml:space="preserve"> </w:t>
      </w:r>
      <w:r w:rsidR="007217FB" w:rsidRPr="005C5061">
        <w:rPr>
          <w:rFonts w:cstheme="minorHAnsi"/>
          <w:bCs/>
          <w:iCs/>
        </w:rPr>
        <w:t>a</w:t>
      </w:r>
      <w:r w:rsidRPr="005C5061">
        <w:rPr>
          <w:rFonts w:cstheme="minorHAnsi"/>
          <w:bCs/>
          <w:iCs/>
        </w:rPr>
        <w:t xml:space="preserve"> </w:t>
      </w:r>
      <w:r w:rsidR="00C62655" w:rsidRPr="005C5061">
        <w:rPr>
          <w:rFonts w:cstheme="minorHAnsi"/>
          <w:bCs/>
          <w:iCs/>
        </w:rPr>
        <w:t xml:space="preserve">multi-year </w:t>
      </w:r>
      <w:r w:rsidRPr="005C5061">
        <w:rPr>
          <w:rFonts w:cstheme="minorHAnsi"/>
          <w:bCs/>
          <w:iCs/>
        </w:rPr>
        <w:t>restructuring</w:t>
      </w:r>
      <w:r w:rsidR="007217FB" w:rsidRPr="005C5061">
        <w:rPr>
          <w:rFonts w:cstheme="minorHAnsi"/>
          <w:bCs/>
          <w:iCs/>
        </w:rPr>
        <w:t xml:space="preserve"> </w:t>
      </w:r>
      <w:r w:rsidR="00C62655" w:rsidRPr="005C5061">
        <w:rPr>
          <w:rFonts w:cstheme="minorHAnsi"/>
          <w:bCs/>
          <w:iCs/>
        </w:rPr>
        <w:t>program</w:t>
      </w:r>
      <w:r w:rsidR="007217FB" w:rsidRPr="005C5061">
        <w:rPr>
          <w:rFonts w:cstheme="minorHAnsi"/>
          <w:bCs/>
          <w:iCs/>
        </w:rPr>
        <w:t xml:space="preserve"> for the Malaysia Aviation Group (MAG), one of </w:t>
      </w:r>
      <w:r w:rsidR="00C62655" w:rsidRPr="005C5061">
        <w:rPr>
          <w:rFonts w:cstheme="minorHAnsi"/>
          <w:bCs/>
          <w:iCs/>
        </w:rPr>
        <w:t>Malaysia’s</w:t>
      </w:r>
      <w:r w:rsidR="007217FB" w:rsidRPr="005C5061">
        <w:rPr>
          <w:rFonts w:cstheme="minorHAnsi"/>
          <w:bCs/>
          <w:iCs/>
        </w:rPr>
        <w:t xml:space="preserve"> largest SOEs</w:t>
      </w:r>
      <w:r w:rsidRPr="005C5061">
        <w:rPr>
          <w:rFonts w:cstheme="minorHAnsi"/>
          <w:bCs/>
          <w:iCs/>
        </w:rPr>
        <w:t xml:space="preserve">, </w:t>
      </w:r>
      <w:r w:rsidR="009A5264" w:rsidRPr="005C5061">
        <w:rPr>
          <w:rFonts w:cstheme="minorHAnsi"/>
          <w:bCs/>
          <w:iCs/>
        </w:rPr>
        <w:t xml:space="preserve">in 2021 </w:t>
      </w:r>
      <w:r w:rsidRPr="005C5061">
        <w:rPr>
          <w:rFonts w:cstheme="minorHAnsi"/>
          <w:bCs/>
          <w:iCs/>
        </w:rPr>
        <w:t xml:space="preserve">MAG launched the ‘MAG Sustainability Blueprint’ </w:t>
      </w:r>
      <w:r w:rsidR="00484C7D" w:rsidRPr="005C5061">
        <w:rPr>
          <w:rFonts w:cstheme="minorHAnsi"/>
          <w:bCs/>
          <w:iCs/>
        </w:rPr>
        <w:t xml:space="preserve">to </w:t>
      </w:r>
      <w:r w:rsidRPr="005C5061">
        <w:rPr>
          <w:rFonts w:cstheme="minorHAnsi"/>
          <w:bCs/>
          <w:iCs/>
        </w:rPr>
        <w:t>promot</w:t>
      </w:r>
      <w:r w:rsidR="007217FB" w:rsidRPr="005C5061">
        <w:rPr>
          <w:rFonts w:cstheme="minorHAnsi"/>
          <w:bCs/>
          <w:iCs/>
        </w:rPr>
        <w:t>e</w:t>
      </w:r>
      <w:r w:rsidRPr="005C5061">
        <w:rPr>
          <w:rFonts w:cstheme="minorHAnsi"/>
          <w:bCs/>
          <w:iCs/>
        </w:rPr>
        <w:t xml:space="preserve"> socio-economic development and achieve net-zero </w:t>
      </w:r>
      <w:r w:rsidR="004B75F9" w:rsidRPr="005C5061">
        <w:rPr>
          <w:rFonts w:cstheme="minorHAnsi"/>
          <w:bCs/>
          <w:iCs/>
        </w:rPr>
        <w:t>CO</w:t>
      </w:r>
      <w:r w:rsidR="004B75F9" w:rsidRPr="005C5061">
        <w:rPr>
          <w:rFonts w:cstheme="minorHAnsi"/>
          <w:bCs/>
          <w:iCs/>
          <w:vertAlign w:val="subscript"/>
        </w:rPr>
        <w:t>2</w:t>
      </w:r>
      <w:r w:rsidR="004B75F9" w:rsidRPr="005C5061">
        <w:rPr>
          <w:rFonts w:cstheme="minorHAnsi"/>
          <w:bCs/>
          <w:iCs/>
        </w:rPr>
        <w:t>-</w:t>
      </w:r>
      <w:r w:rsidRPr="005C5061">
        <w:rPr>
          <w:rFonts w:cstheme="minorHAnsi"/>
          <w:bCs/>
          <w:iCs/>
        </w:rPr>
        <w:t>emissions by 2050.</w:t>
      </w:r>
      <w:r w:rsidRPr="005C5061">
        <w:rPr>
          <w:rStyle w:val="FootnoteReference"/>
          <w:rFonts w:cstheme="minorHAnsi"/>
          <w:bCs/>
          <w:iCs/>
        </w:rPr>
        <w:footnoteReference w:id="52"/>
      </w:r>
      <w:r w:rsidRPr="005C5061">
        <w:rPr>
          <w:rFonts w:cstheme="minorHAnsi"/>
          <w:bCs/>
          <w:iCs/>
        </w:rPr>
        <w:t xml:space="preserve"> </w:t>
      </w:r>
      <w:r w:rsidR="00C92B0B" w:rsidRPr="005C5061">
        <w:rPr>
          <w:rFonts w:cstheme="minorHAnsi"/>
          <w:bCs/>
          <w:iCs/>
        </w:rPr>
        <w:t>Under</w:t>
      </w:r>
      <w:r w:rsidRPr="005C5061">
        <w:rPr>
          <w:rFonts w:cstheme="minorHAnsi"/>
          <w:bCs/>
          <w:iCs/>
        </w:rPr>
        <w:t xml:space="preserve"> the Blueprint, </w:t>
      </w:r>
      <w:r w:rsidR="00C92B0B" w:rsidRPr="005C5061">
        <w:rPr>
          <w:rFonts w:cstheme="minorHAnsi"/>
          <w:bCs/>
          <w:iCs/>
        </w:rPr>
        <w:t>the</w:t>
      </w:r>
      <w:r w:rsidRPr="005C5061">
        <w:rPr>
          <w:rFonts w:cstheme="minorHAnsi"/>
          <w:bCs/>
          <w:iCs/>
        </w:rPr>
        <w:t xml:space="preserve"> </w:t>
      </w:r>
      <w:r w:rsidR="00C92B0B" w:rsidRPr="005C5061">
        <w:rPr>
          <w:rFonts w:cstheme="minorHAnsi"/>
          <w:bCs/>
          <w:iCs/>
        </w:rPr>
        <w:t>a</w:t>
      </w:r>
      <w:r w:rsidRPr="005C5061">
        <w:rPr>
          <w:rFonts w:cstheme="minorHAnsi"/>
          <w:bCs/>
          <w:iCs/>
        </w:rPr>
        <w:t>irline is pursuing an extensive set of measures to reduce its emissions.</w:t>
      </w:r>
      <w:r w:rsidRPr="005C5061">
        <w:rPr>
          <w:rStyle w:val="FootnoteReference"/>
          <w:rFonts w:cstheme="minorHAnsi"/>
          <w:bCs/>
          <w:iCs/>
        </w:rPr>
        <w:footnoteReference w:id="53"/>
      </w:r>
      <w:r w:rsidRPr="005C5061">
        <w:rPr>
          <w:rFonts w:cstheme="minorHAnsi"/>
          <w:bCs/>
          <w:iCs/>
        </w:rPr>
        <w:t xml:space="preserve"> </w:t>
      </w:r>
    </w:p>
    <w:p w14:paraId="134A0C05" w14:textId="1ABBC51B" w:rsidR="00471AC4" w:rsidRPr="005C5061" w:rsidRDefault="00471AC4" w:rsidP="0058496F">
      <w:pPr>
        <w:pStyle w:val="NoSpacing"/>
        <w:pBdr>
          <w:bottom w:val="single" w:sz="4" w:space="1" w:color="auto"/>
        </w:pBdr>
        <w:shd w:val="clear" w:color="auto" w:fill="D9E2F3" w:themeFill="accent5" w:themeFillTint="33"/>
        <w:spacing w:line="120" w:lineRule="exact"/>
        <w:jc w:val="both"/>
        <w:rPr>
          <w:rFonts w:cstheme="minorHAnsi"/>
          <w:bCs/>
          <w:iCs/>
        </w:rPr>
      </w:pPr>
    </w:p>
    <w:p w14:paraId="30855382" w14:textId="3DA06967" w:rsidR="00471AC4" w:rsidRPr="005C5061" w:rsidRDefault="00471AC4" w:rsidP="005C5061">
      <w:pPr>
        <w:pStyle w:val="NoSpacing"/>
        <w:keepNext/>
        <w:keepLines/>
        <w:pBdr>
          <w:bottom w:val="single" w:sz="4" w:space="1" w:color="auto"/>
        </w:pBdr>
        <w:shd w:val="clear" w:color="auto" w:fill="D9E2F3" w:themeFill="accent5" w:themeFillTint="33"/>
        <w:jc w:val="both"/>
        <w:rPr>
          <w:rFonts w:cstheme="minorHAnsi"/>
          <w:bCs/>
          <w:iCs/>
        </w:rPr>
      </w:pPr>
      <w:r w:rsidRPr="005C5061">
        <w:rPr>
          <w:rFonts w:cstheme="minorHAnsi"/>
          <w:b/>
          <w:i/>
        </w:rPr>
        <w:t xml:space="preserve">Extending </w:t>
      </w:r>
      <w:r w:rsidR="00D171BD" w:rsidRPr="005C5061">
        <w:rPr>
          <w:rFonts w:cstheme="minorHAnsi"/>
          <w:b/>
          <w:i/>
        </w:rPr>
        <w:t xml:space="preserve">national </w:t>
      </w:r>
      <w:r w:rsidRPr="005C5061">
        <w:rPr>
          <w:rFonts w:cstheme="minorHAnsi"/>
          <w:b/>
          <w:i/>
        </w:rPr>
        <w:t>corporate social responsibility (CSR) policy to SOEs</w:t>
      </w:r>
      <w:r w:rsidR="00D1364E" w:rsidRPr="005C5061">
        <w:rPr>
          <w:rFonts w:cstheme="minorHAnsi"/>
          <w:bCs/>
          <w:iCs/>
        </w:rPr>
        <w:t>.</w:t>
      </w:r>
      <w:r w:rsidRPr="005C5061">
        <w:rPr>
          <w:rFonts w:cstheme="minorHAnsi"/>
          <w:bCs/>
          <w:iCs/>
        </w:rPr>
        <w:t xml:space="preserve"> Ahead of the UN Copenhagen Summit, in 2008 the Danish government committed to a set of climate action targets, launched a “CSR Action Plan”</w:t>
      </w:r>
      <w:r w:rsidR="00744182" w:rsidRPr="005C5061">
        <w:rPr>
          <w:rFonts w:cstheme="minorHAnsi"/>
          <w:bCs/>
          <w:iCs/>
        </w:rPr>
        <w:t>,</w:t>
      </w:r>
      <w:r w:rsidRPr="005C5061">
        <w:rPr>
          <w:rFonts w:cstheme="minorHAnsi"/>
          <w:bCs/>
          <w:iCs/>
        </w:rPr>
        <w:t xml:space="preserve"> and passed a law requiring the country’s largest 1,000 companies (including SOEs) to report annually on their CSR activities.</w:t>
      </w:r>
      <w:r w:rsidRPr="005C5061">
        <w:rPr>
          <w:rStyle w:val="FootnoteReference"/>
          <w:rFonts w:cstheme="minorHAnsi"/>
          <w:bCs/>
          <w:iCs/>
        </w:rPr>
        <w:footnoteReference w:id="54"/>
      </w:r>
      <w:r w:rsidRPr="005C5061">
        <w:rPr>
          <w:rFonts w:cstheme="minorHAnsi"/>
          <w:bCs/>
          <w:iCs/>
        </w:rPr>
        <w:t xml:space="preserve"> In </w:t>
      </w:r>
      <w:r w:rsidR="00D7669E" w:rsidRPr="005C5061">
        <w:rPr>
          <w:rFonts w:cstheme="minorHAnsi"/>
          <w:bCs/>
          <w:iCs/>
        </w:rPr>
        <w:t>response</w:t>
      </w:r>
      <w:r w:rsidRPr="005C5061">
        <w:rPr>
          <w:rFonts w:cstheme="minorHAnsi"/>
          <w:bCs/>
          <w:iCs/>
        </w:rPr>
        <w:t>, the Danish Oil and Natural Gas SOE (DONG, later renamed Ørsted)</w:t>
      </w:r>
      <w:r w:rsidR="00D923EA" w:rsidRPr="005C5061">
        <w:rPr>
          <w:rFonts w:cstheme="minorHAnsi"/>
          <w:bCs/>
          <w:iCs/>
        </w:rPr>
        <w:t xml:space="preserve"> adopted the SDG targets</w:t>
      </w:r>
      <w:r w:rsidR="006D2CA9" w:rsidRPr="005C5061">
        <w:rPr>
          <w:rFonts w:cstheme="minorHAnsi"/>
          <w:bCs/>
          <w:iCs/>
        </w:rPr>
        <w:t xml:space="preserve"> </w:t>
      </w:r>
      <w:r w:rsidR="00711ED4" w:rsidRPr="005C5061">
        <w:rPr>
          <w:rFonts w:cstheme="minorHAnsi"/>
          <w:bCs/>
          <w:iCs/>
        </w:rPr>
        <w:t>and</w:t>
      </w:r>
      <w:r w:rsidRPr="005C5061">
        <w:rPr>
          <w:rFonts w:cstheme="minorHAnsi"/>
          <w:bCs/>
          <w:iCs/>
        </w:rPr>
        <w:t xml:space="preserve"> started investing heavily in renewables</w:t>
      </w:r>
      <w:r w:rsidR="003F21B5" w:rsidRPr="005C5061">
        <w:rPr>
          <w:rFonts w:cstheme="minorHAnsi"/>
          <w:bCs/>
          <w:iCs/>
        </w:rPr>
        <w:t xml:space="preserve">. As a result, </w:t>
      </w:r>
      <w:r w:rsidRPr="005C5061">
        <w:rPr>
          <w:rFonts w:cstheme="minorHAnsi"/>
          <w:bCs/>
          <w:iCs/>
        </w:rPr>
        <w:t xml:space="preserve">its share of renewable generation increased </w:t>
      </w:r>
      <w:r w:rsidR="003F21B5" w:rsidRPr="005C5061">
        <w:rPr>
          <w:rFonts w:cstheme="minorHAnsi"/>
          <w:bCs/>
          <w:iCs/>
        </w:rPr>
        <w:t xml:space="preserve">rapidly </w:t>
      </w:r>
      <w:r w:rsidRPr="005C5061">
        <w:rPr>
          <w:rFonts w:cstheme="minorHAnsi"/>
          <w:bCs/>
          <w:iCs/>
        </w:rPr>
        <w:t>from 15</w:t>
      </w:r>
      <w:r w:rsidR="00D7669E" w:rsidRPr="005C5061">
        <w:rPr>
          <w:rFonts w:cstheme="minorHAnsi"/>
          <w:bCs/>
          <w:iCs/>
        </w:rPr>
        <w:t xml:space="preserve"> percent </w:t>
      </w:r>
      <w:r w:rsidRPr="005C5061">
        <w:rPr>
          <w:rFonts w:cstheme="minorHAnsi"/>
          <w:bCs/>
          <w:iCs/>
        </w:rPr>
        <w:t>in 2009 to 86</w:t>
      </w:r>
      <w:r w:rsidR="00D7669E" w:rsidRPr="005C5061">
        <w:rPr>
          <w:rFonts w:cstheme="minorHAnsi"/>
          <w:bCs/>
          <w:iCs/>
        </w:rPr>
        <w:t xml:space="preserve"> percent</w:t>
      </w:r>
      <w:r w:rsidRPr="005C5061">
        <w:rPr>
          <w:rFonts w:cstheme="minorHAnsi"/>
          <w:bCs/>
          <w:iCs/>
        </w:rPr>
        <w:t xml:space="preserve"> in 2019, and </w:t>
      </w:r>
      <w:r w:rsidR="003F21B5" w:rsidRPr="005C5061">
        <w:rPr>
          <w:rFonts w:cstheme="minorHAnsi"/>
          <w:bCs/>
          <w:iCs/>
        </w:rPr>
        <w:t>Ørsted</w:t>
      </w:r>
      <w:r w:rsidR="003F21B5" w:rsidRPr="005C5061" w:rsidDel="003F21B5">
        <w:rPr>
          <w:rFonts w:cstheme="minorHAnsi"/>
          <w:bCs/>
          <w:iCs/>
        </w:rPr>
        <w:t xml:space="preserve"> </w:t>
      </w:r>
      <w:r w:rsidRPr="005C5061">
        <w:rPr>
          <w:rFonts w:cstheme="minorHAnsi"/>
          <w:bCs/>
          <w:iCs/>
        </w:rPr>
        <w:t>became the world’s largest offshore wind generator.</w:t>
      </w:r>
      <w:r w:rsidRPr="005C5061">
        <w:rPr>
          <w:rStyle w:val="FootnoteReference"/>
          <w:rFonts w:cstheme="minorHAnsi"/>
          <w:bCs/>
          <w:iCs/>
        </w:rPr>
        <w:footnoteReference w:id="55"/>
      </w:r>
    </w:p>
    <w:p w14:paraId="4DF85D8C" w14:textId="4C29A87D" w:rsidR="00EB2F0A" w:rsidRPr="005C5061" w:rsidRDefault="00EB2F0A" w:rsidP="0058496F">
      <w:pPr>
        <w:pStyle w:val="NoSpacing"/>
        <w:widowControl w:val="0"/>
        <w:pBdr>
          <w:bottom w:val="single" w:sz="4" w:space="1" w:color="auto"/>
        </w:pBdr>
        <w:shd w:val="clear" w:color="auto" w:fill="D9E2F3" w:themeFill="accent5" w:themeFillTint="33"/>
        <w:spacing w:line="120" w:lineRule="exact"/>
        <w:jc w:val="both"/>
        <w:rPr>
          <w:rFonts w:cstheme="minorHAnsi"/>
          <w:bCs/>
          <w:iCs/>
        </w:rPr>
      </w:pPr>
    </w:p>
    <w:p w14:paraId="75319B13" w14:textId="19D2B3F4" w:rsidR="00EB2F0A" w:rsidRPr="00CE791B" w:rsidRDefault="000A643E" w:rsidP="00BE52E4">
      <w:pPr>
        <w:pStyle w:val="NoSpacing"/>
        <w:widowControl w:val="0"/>
        <w:pBdr>
          <w:bottom w:val="single" w:sz="4" w:space="1" w:color="auto"/>
        </w:pBdr>
        <w:shd w:val="clear" w:color="auto" w:fill="D9E2F3" w:themeFill="accent5" w:themeFillTint="33"/>
        <w:jc w:val="both"/>
        <w:rPr>
          <w:rFonts w:cstheme="minorHAnsi"/>
          <w:bCs/>
          <w:iCs/>
        </w:rPr>
      </w:pPr>
      <w:r w:rsidRPr="00CE791B">
        <w:rPr>
          <w:rFonts w:cstheme="minorHAnsi"/>
          <w:b/>
          <w:i/>
        </w:rPr>
        <w:t xml:space="preserve">SOE-initiated reforms </w:t>
      </w:r>
      <w:r w:rsidR="008872AE" w:rsidRPr="00CE791B">
        <w:rPr>
          <w:rFonts w:cstheme="minorHAnsi"/>
          <w:b/>
          <w:i/>
        </w:rPr>
        <w:t>to</w:t>
      </w:r>
      <w:r w:rsidR="00E17ACE" w:rsidRPr="00CE791B">
        <w:rPr>
          <w:rFonts w:cstheme="minorHAnsi"/>
          <w:b/>
          <w:i/>
        </w:rPr>
        <w:t xml:space="preserve"> diversify and</w:t>
      </w:r>
      <w:r w:rsidRPr="00CE791B">
        <w:rPr>
          <w:rFonts w:cstheme="minorHAnsi"/>
          <w:b/>
          <w:i/>
        </w:rPr>
        <w:t xml:space="preserve"> address </w:t>
      </w:r>
      <w:r w:rsidR="00E17ACE" w:rsidRPr="00CE791B">
        <w:rPr>
          <w:rFonts w:cstheme="minorHAnsi"/>
          <w:b/>
          <w:i/>
        </w:rPr>
        <w:t xml:space="preserve">decarbonization </w:t>
      </w:r>
      <w:r w:rsidRPr="00CE791B">
        <w:rPr>
          <w:rFonts w:cstheme="minorHAnsi"/>
          <w:b/>
          <w:i/>
        </w:rPr>
        <w:t>transition risks</w:t>
      </w:r>
      <w:r w:rsidR="008872AE" w:rsidRPr="00CE791B">
        <w:rPr>
          <w:rFonts w:cstheme="minorHAnsi"/>
          <w:b/>
          <w:i/>
        </w:rPr>
        <w:t>.</w:t>
      </w:r>
      <w:r w:rsidR="008872AE" w:rsidRPr="00CE791B">
        <w:rPr>
          <w:rFonts w:cstheme="minorHAnsi"/>
          <w:bCs/>
          <w:iCs/>
        </w:rPr>
        <w:t xml:space="preserve"> </w:t>
      </w:r>
      <w:r w:rsidR="00E17ACE" w:rsidRPr="00CE791B">
        <w:rPr>
          <w:rFonts w:cstheme="minorHAnsi"/>
          <w:bCs/>
          <w:iCs/>
        </w:rPr>
        <w:t>PetroPeru’s board,</w:t>
      </w:r>
      <w:r w:rsidR="00153815" w:rsidRPr="00CE791B">
        <w:rPr>
          <w:rFonts w:cstheme="minorHAnsi"/>
          <w:bCs/>
          <w:iCs/>
        </w:rPr>
        <w:t xml:space="preserve"> under its own initiative,</w:t>
      </w:r>
      <w:r w:rsidR="00E17ACE" w:rsidRPr="00CE791B">
        <w:rPr>
          <w:rFonts w:cstheme="minorHAnsi"/>
          <w:bCs/>
          <w:iCs/>
        </w:rPr>
        <w:t xml:space="preserve"> for example, </w:t>
      </w:r>
      <w:r w:rsidR="00367DB7" w:rsidRPr="00CE791B">
        <w:rPr>
          <w:rFonts w:cstheme="minorHAnsi"/>
          <w:bCs/>
          <w:iCs/>
        </w:rPr>
        <w:t xml:space="preserve">is </w:t>
      </w:r>
      <w:r w:rsidR="0085419E" w:rsidRPr="00CE791B">
        <w:rPr>
          <w:rFonts w:cstheme="minorHAnsi"/>
          <w:bCs/>
          <w:iCs/>
        </w:rPr>
        <w:t xml:space="preserve">seeking to </w:t>
      </w:r>
      <w:r w:rsidR="006E29B9" w:rsidRPr="00CE791B">
        <w:rPr>
          <w:rFonts w:cstheme="minorHAnsi"/>
          <w:bCs/>
          <w:iCs/>
        </w:rPr>
        <w:t xml:space="preserve">diversify into </w:t>
      </w:r>
      <w:r w:rsidR="005A769C" w:rsidRPr="00CE791B">
        <w:rPr>
          <w:rFonts w:cstheme="minorHAnsi"/>
          <w:bCs/>
          <w:iCs/>
        </w:rPr>
        <w:t>renewable</w:t>
      </w:r>
      <w:r w:rsidR="006E29B9" w:rsidRPr="00CE791B">
        <w:rPr>
          <w:rFonts w:cstheme="minorHAnsi"/>
          <w:bCs/>
          <w:iCs/>
        </w:rPr>
        <w:t>s</w:t>
      </w:r>
      <w:r w:rsidR="005A769C" w:rsidRPr="00CE791B">
        <w:rPr>
          <w:rFonts w:cstheme="minorHAnsi"/>
          <w:bCs/>
          <w:iCs/>
        </w:rPr>
        <w:t xml:space="preserve"> to strengthen</w:t>
      </w:r>
      <w:r w:rsidR="00367DB7" w:rsidRPr="00CE791B">
        <w:rPr>
          <w:rFonts w:cstheme="minorHAnsi"/>
          <w:bCs/>
          <w:iCs/>
        </w:rPr>
        <w:t xml:space="preserve"> profitability and sustainability</w:t>
      </w:r>
      <w:r w:rsidR="00E17ACE" w:rsidRPr="00CE791B">
        <w:rPr>
          <w:rFonts w:cstheme="minorHAnsi"/>
          <w:bCs/>
          <w:iCs/>
        </w:rPr>
        <w:t xml:space="preserve">, similar </w:t>
      </w:r>
      <w:r w:rsidR="00153815" w:rsidRPr="00CE791B">
        <w:rPr>
          <w:rFonts w:cstheme="minorHAnsi"/>
          <w:bCs/>
          <w:iCs/>
        </w:rPr>
        <w:t>with</w:t>
      </w:r>
      <w:r w:rsidR="00E17ACE" w:rsidRPr="00CE791B">
        <w:rPr>
          <w:rFonts w:cstheme="minorHAnsi"/>
          <w:bCs/>
          <w:iCs/>
        </w:rPr>
        <w:t xml:space="preserve"> some </w:t>
      </w:r>
      <w:r w:rsidR="0085419E" w:rsidRPr="00CE791B">
        <w:rPr>
          <w:rFonts w:cstheme="minorHAnsi"/>
          <w:bCs/>
          <w:iCs/>
        </w:rPr>
        <w:t xml:space="preserve">SOE </w:t>
      </w:r>
      <w:r w:rsidR="00E17ACE" w:rsidRPr="00CE791B">
        <w:rPr>
          <w:rFonts w:cstheme="minorHAnsi"/>
          <w:bCs/>
          <w:iCs/>
        </w:rPr>
        <w:t xml:space="preserve">petroleum majors in </w:t>
      </w:r>
      <w:r w:rsidR="0085419E" w:rsidRPr="00CE791B">
        <w:rPr>
          <w:rFonts w:cstheme="minorHAnsi"/>
          <w:bCs/>
          <w:iCs/>
        </w:rPr>
        <w:t xml:space="preserve">the </w:t>
      </w:r>
      <w:r w:rsidR="00E17ACE" w:rsidRPr="00CE791B">
        <w:rPr>
          <w:rFonts w:cstheme="minorHAnsi"/>
          <w:bCs/>
          <w:iCs/>
        </w:rPr>
        <w:t>OECD</w:t>
      </w:r>
      <w:r w:rsidR="0085419E" w:rsidRPr="00CE791B">
        <w:rPr>
          <w:rFonts w:cstheme="minorHAnsi"/>
          <w:bCs/>
          <w:iCs/>
        </w:rPr>
        <w:t>, such as Norway’s</w:t>
      </w:r>
      <w:r w:rsidR="00E17ACE" w:rsidRPr="00CE791B">
        <w:rPr>
          <w:rFonts w:cstheme="minorHAnsi"/>
          <w:bCs/>
          <w:iCs/>
        </w:rPr>
        <w:t xml:space="preserve"> Equinor.  </w:t>
      </w:r>
    </w:p>
    <w:p w14:paraId="2841D683" w14:textId="7E6972D6" w:rsidR="00043CB8" w:rsidRDefault="00043CB8" w:rsidP="00845D5C">
      <w:pPr>
        <w:pStyle w:val="NoSpacing"/>
        <w:spacing w:line="259" w:lineRule="auto"/>
        <w:jc w:val="both"/>
        <w:rPr>
          <w:rFonts w:cstheme="minorHAnsi"/>
          <w:bCs/>
          <w:iCs/>
        </w:rPr>
      </w:pPr>
    </w:p>
    <w:p w14:paraId="2E678670" w14:textId="66DFFEF0" w:rsidR="00666E2A" w:rsidRPr="00D87109" w:rsidRDefault="003C5EF6" w:rsidP="00845D5C">
      <w:pPr>
        <w:pStyle w:val="NoSpacing"/>
        <w:spacing w:line="259" w:lineRule="auto"/>
        <w:jc w:val="both"/>
        <w:rPr>
          <w:rFonts w:cstheme="minorHAnsi"/>
          <w:b/>
          <w:iCs/>
        </w:rPr>
      </w:pPr>
      <w:r>
        <w:rPr>
          <w:rFonts w:cstheme="minorHAnsi"/>
          <w:b/>
          <w:iCs/>
        </w:rPr>
        <w:t>A</w:t>
      </w:r>
      <w:r w:rsidR="00666E2A" w:rsidRPr="00D87109">
        <w:rPr>
          <w:rFonts w:cstheme="minorHAnsi"/>
          <w:b/>
          <w:iCs/>
        </w:rPr>
        <w:t>lign</w:t>
      </w:r>
      <w:r>
        <w:rPr>
          <w:rFonts w:cstheme="minorHAnsi"/>
          <w:b/>
          <w:iCs/>
        </w:rPr>
        <w:t>ment of</w:t>
      </w:r>
      <w:r w:rsidR="00666E2A" w:rsidRPr="00D87109">
        <w:rPr>
          <w:rFonts w:cstheme="minorHAnsi"/>
          <w:b/>
          <w:iCs/>
        </w:rPr>
        <w:t xml:space="preserve"> SOE and climate policies </w:t>
      </w:r>
      <w:r w:rsidR="00D87109" w:rsidRPr="00D87109">
        <w:rPr>
          <w:rFonts w:cstheme="minorHAnsi"/>
          <w:b/>
          <w:iCs/>
        </w:rPr>
        <w:t>var</w:t>
      </w:r>
      <w:r w:rsidR="00B07AA0">
        <w:rPr>
          <w:rFonts w:cstheme="minorHAnsi"/>
          <w:b/>
          <w:iCs/>
        </w:rPr>
        <w:t>ies</w:t>
      </w:r>
      <w:r w:rsidR="00D87109" w:rsidRPr="00D87109">
        <w:rPr>
          <w:rFonts w:cstheme="minorHAnsi"/>
          <w:b/>
          <w:iCs/>
        </w:rPr>
        <w:t xml:space="preserve"> by country, industry</w:t>
      </w:r>
      <w:r w:rsidR="008919C7">
        <w:rPr>
          <w:rFonts w:cstheme="minorHAnsi"/>
          <w:b/>
          <w:iCs/>
        </w:rPr>
        <w:t>,</w:t>
      </w:r>
      <w:r w:rsidR="00D87109" w:rsidRPr="00D87109">
        <w:rPr>
          <w:rFonts w:cstheme="minorHAnsi"/>
          <w:b/>
          <w:iCs/>
        </w:rPr>
        <w:t xml:space="preserve"> and </w:t>
      </w:r>
      <w:r w:rsidR="000844AD">
        <w:rPr>
          <w:rFonts w:cstheme="minorHAnsi"/>
          <w:b/>
          <w:iCs/>
        </w:rPr>
        <w:t>national priorities</w:t>
      </w:r>
    </w:p>
    <w:p w14:paraId="3F7F98CD" w14:textId="77777777" w:rsidR="0039133D" w:rsidRDefault="0039133D" w:rsidP="00845D5C">
      <w:pPr>
        <w:pStyle w:val="NoSpacing"/>
        <w:jc w:val="both"/>
        <w:rPr>
          <w:rFonts w:cstheme="minorHAnsi"/>
          <w:bCs/>
          <w:iCs/>
        </w:rPr>
      </w:pPr>
    </w:p>
    <w:p w14:paraId="6D13AA72" w14:textId="640D5FBC" w:rsidR="00DE7A07" w:rsidRPr="00845D5C" w:rsidRDefault="003F5091" w:rsidP="00845D5C">
      <w:pPr>
        <w:pStyle w:val="NoSpacing"/>
        <w:jc w:val="both"/>
        <w:rPr>
          <w:rFonts w:cstheme="minorHAnsi"/>
          <w:bCs/>
          <w:iCs/>
        </w:rPr>
      </w:pPr>
      <w:r w:rsidRPr="00845D5C">
        <w:rPr>
          <w:rFonts w:cstheme="minorHAnsi"/>
          <w:bCs/>
          <w:iCs/>
        </w:rPr>
        <w:t xml:space="preserve">There are multiple entry points to </w:t>
      </w:r>
      <w:r w:rsidR="00DB4CF4" w:rsidRPr="00845D5C">
        <w:rPr>
          <w:rFonts w:cstheme="minorHAnsi"/>
          <w:bCs/>
          <w:iCs/>
        </w:rPr>
        <w:t>align</w:t>
      </w:r>
      <w:r w:rsidRPr="00845D5C">
        <w:rPr>
          <w:rFonts w:cstheme="minorHAnsi"/>
          <w:bCs/>
          <w:iCs/>
        </w:rPr>
        <w:t xml:space="preserve"> </w:t>
      </w:r>
      <w:r w:rsidR="002A51E8" w:rsidRPr="00845D5C">
        <w:rPr>
          <w:rFonts w:cstheme="minorHAnsi"/>
          <w:bCs/>
          <w:iCs/>
        </w:rPr>
        <w:t xml:space="preserve">SOE policies with national </w:t>
      </w:r>
      <w:r w:rsidRPr="00845D5C">
        <w:rPr>
          <w:rFonts w:cstheme="minorHAnsi"/>
          <w:bCs/>
          <w:iCs/>
        </w:rPr>
        <w:t>climate</w:t>
      </w:r>
      <w:r w:rsidR="002A51E8" w:rsidRPr="00845D5C">
        <w:rPr>
          <w:rFonts w:cstheme="minorHAnsi"/>
          <w:bCs/>
          <w:iCs/>
        </w:rPr>
        <w:t xml:space="preserve"> objectives</w:t>
      </w:r>
      <w:r w:rsidR="00727E75" w:rsidRPr="00845D5C">
        <w:rPr>
          <w:rFonts w:cstheme="minorHAnsi"/>
          <w:bCs/>
          <w:iCs/>
        </w:rPr>
        <w:t xml:space="preserve">, </w:t>
      </w:r>
      <w:r w:rsidR="005F4F88" w:rsidRPr="00845D5C">
        <w:rPr>
          <w:rFonts w:cstheme="minorHAnsi"/>
          <w:bCs/>
          <w:iCs/>
        </w:rPr>
        <w:t xml:space="preserve">and the appropriate </w:t>
      </w:r>
      <w:r w:rsidR="00021358" w:rsidRPr="00845D5C">
        <w:rPr>
          <w:rFonts w:cstheme="minorHAnsi"/>
          <w:bCs/>
          <w:iCs/>
        </w:rPr>
        <w:t>approach</w:t>
      </w:r>
      <w:r w:rsidR="00A44B85" w:rsidRPr="00845D5C">
        <w:rPr>
          <w:rFonts w:cstheme="minorHAnsi"/>
          <w:bCs/>
          <w:iCs/>
        </w:rPr>
        <w:t xml:space="preserve"> will significantly </w:t>
      </w:r>
      <w:r w:rsidR="00727E75" w:rsidRPr="00845D5C">
        <w:rPr>
          <w:rFonts w:cstheme="minorHAnsi"/>
          <w:bCs/>
          <w:iCs/>
        </w:rPr>
        <w:t>depend on national priorities</w:t>
      </w:r>
      <w:r w:rsidR="00407A45" w:rsidRPr="00845D5C">
        <w:rPr>
          <w:rFonts w:cstheme="minorHAnsi"/>
          <w:bCs/>
          <w:iCs/>
        </w:rPr>
        <w:t>,</w:t>
      </w:r>
      <w:r w:rsidR="000C10F9" w:rsidRPr="00845D5C">
        <w:rPr>
          <w:rFonts w:cstheme="minorHAnsi"/>
          <w:bCs/>
          <w:iCs/>
        </w:rPr>
        <w:t xml:space="preserve"> given t</w:t>
      </w:r>
      <w:r w:rsidR="00DE7A07" w:rsidRPr="00845D5C">
        <w:rPr>
          <w:rFonts w:cstheme="minorHAnsi"/>
          <w:bCs/>
          <w:iCs/>
        </w:rPr>
        <w:t>he pronounced heterogeneity of SOE</w:t>
      </w:r>
      <w:r w:rsidR="002B013F">
        <w:rPr>
          <w:rFonts w:cstheme="minorHAnsi"/>
          <w:bCs/>
          <w:iCs/>
        </w:rPr>
        <w:t>s</w:t>
      </w:r>
      <w:r w:rsidR="00DE7A07" w:rsidRPr="00845D5C">
        <w:rPr>
          <w:rFonts w:cstheme="minorHAnsi"/>
          <w:bCs/>
          <w:iCs/>
        </w:rPr>
        <w:t xml:space="preserve"> across </w:t>
      </w:r>
      <w:r w:rsidR="00407A45" w:rsidRPr="00845D5C">
        <w:rPr>
          <w:rFonts w:cstheme="minorHAnsi"/>
          <w:bCs/>
          <w:iCs/>
        </w:rPr>
        <w:t>countries</w:t>
      </w:r>
      <w:r w:rsidR="00DE7A07" w:rsidRPr="00845D5C">
        <w:rPr>
          <w:rFonts w:cstheme="minorHAnsi"/>
          <w:bCs/>
          <w:iCs/>
        </w:rPr>
        <w:t xml:space="preserve">. </w:t>
      </w:r>
      <w:r w:rsidR="00730BEB" w:rsidRPr="00845D5C">
        <w:rPr>
          <w:rFonts w:cstheme="minorHAnsi"/>
          <w:bCs/>
          <w:iCs/>
        </w:rPr>
        <w:t>I</w:t>
      </w:r>
      <w:r w:rsidR="00DE7A07" w:rsidRPr="00845D5C">
        <w:rPr>
          <w:rFonts w:cstheme="minorHAnsi"/>
          <w:bCs/>
          <w:iCs/>
        </w:rPr>
        <w:t xml:space="preserve">n many LMICs the SOE portfolios are large and diverse, and SOE climate-action reforms will need to take into account a number of considerations, including: (a) sector and market factors, including PSD and development mandates; (b) relevant climate-related factors for the country and enterprises; (c) national climate mitigation and adaptation commitments and plans;  and, (d) the political environment and stakeholder motivation to pursue reforms. The approach of reforms will vary depending on the focus of climate action reform objectives for a given SOE industry, i.e., adaptation, mitigation, or just-transition, or a combination thereof, and on the </w:t>
      </w:r>
      <w:r w:rsidR="00A721F8" w:rsidRPr="00845D5C">
        <w:rPr>
          <w:rFonts w:cstheme="minorHAnsi"/>
          <w:bCs/>
          <w:iCs/>
        </w:rPr>
        <w:t>scope</w:t>
      </w:r>
      <w:r w:rsidR="00DE7A07" w:rsidRPr="00845D5C">
        <w:rPr>
          <w:rFonts w:cstheme="minorHAnsi"/>
          <w:bCs/>
          <w:iCs/>
        </w:rPr>
        <w:t xml:space="preserve">, i.e., broad-based reforms (e.g., state ownership policy reforms), a specific industry or set of industries (e.g., infrastructure, energy, and agriculture), or cross-sectoral issues (e.g., institutional reforms). </w:t>
      </w:r>
      <w:r w:rsidR="00F604ED" w:rsidRPr="00845D5C">
        <w:rPr>
          <w:rFonts w:cstheme="minorHAnsi"/>
          <w:bCs/>
          <w:iCs/>
        </w:rPr>
        <w:t xml:space="preserve">The approach will also depend on country-specific conditions, </w:t>
      </w:r>
      <w:r w:rsidR="00A12DF9" w:rsidRPr="00845D5C">
        <w:rPr>
          <w:rFonts w:cstheme="minorHAnsi"/>
          <w:bCs/>
          <w:iCs/>
        </w:rPr>
        <w:t xml:space="preserve">including the </w:t>
      </w:r>
      <w:r w:rsidR="00687384" w:rsidRPr="00845D5C">
        <w:rPr>
          <w:rFonts w:cstheme="minorHAnsi"/>
          <w:bCs/>
          <w:iCs/>
        </w:rPr>
        <w:t>dimensions</w:t>
      </w:r>
      <w:r w:rsidR="00A12DF9" w:rsidRPr="00845D5C">
        <w:rPr>
          <w:rFonts w:cstheme="minorHAnsi"/>
          <w:bCs/>
          <w:iCs/>
        </w:rPr>
        <w:t xml:space="preserve"> of climate-change challenges it is experiencing</w:t>
      </w:r>
      <w:r w:rsidR="00CA096D" w:rsidRPr="00845D5C">
        <w:rPr>
          <w:rFonts w:cstheme="minorHAnsi"/>
          <w:bCs/>
          <w:iCs/>
        </w:rPr>
        <w:t>.</w:t>
      </w:r>
      <w:r w:rsidR="00687384" w:rsidRPr="00845D5C">
        <w:rPr>
          <w:rStyle w:val="FootnoteReference"/>
          <w:rFonts w:cstheme="minorHAnsi"/>
          <w:bCs/>
          <w:iCs/>
        </w:rPr>
        <w:footnoteReference w:id="56"/>
      </w:r>
      <w:r w:rsidR="00162B29" w:rsidRPr="00845D5C">
        <w:rPr>
          <w:rFonts w:cstheme="minorHAnsi"/>
          <w:bCs/>
          <w:iCs/>
        </w:rPr>
        <w:t xml:space="preserve">  </w:t>
      </w:r>
      <w:r w:rsidR="00C04CC7" w:rsidRPr="00845D5C">
        <w:rPr>
          <w:rFonts w:cstheme="minorHAnsi"/>
          <w:bCs/>
          <w:iCs/>
        </w:rPr>
        <w:lastRenderedPageBreak/>
        <w:t>For example, p</w:t>
      </w:r>
      <w:r w:rsidR="00DE7A07" w:rsidRPr="00845D5C">
        <w:rPr>
          <w:rFonts w:cstheme="minorHAnsi"/>
          <w:bCs/>
          <w:iCs/>
        </w:rPr>
        <w:t xml:space="preserve">oorer, low-emitting countries—that are often more exposed to rising heat stress and rising sea levels—would </w:t>
      </w:r>
      <w:r w:rsidR="00D02328" w:rsidRPr="00845D5C">
        <w:rPr>
          <w:rFonts w:cstheme="minorHAnsi"/>
          <w:bCs/>
          <w:iCs/>
        </w:rPr>
        <w:t xml:space="preserve">likely </w:t>
      </w:r>
      <w:r w:rsidR="00CA096D" w:rsidRPr="00845D5C">
        <w:rPr>
          <w:rFonts w:cstheme="minorHAnsi"/>
          <w:bCs/>
          <w:iCs/>
        </w:rPr>
        <w:t>emphasize</w:t>
      </w:r>
      <w:r w:rsidR="00DE7A07" w:rsidRPr="00845D5C">
        <w:rPr>
          <w:rFonts w:cstheme="minorHAnsi"/>
          <w:bCs/>
          <w:iCs/>
        </w:rPr>
        <w:t xml:space="preserve"> swifter adaptation</w:t>
      </w:r>
      <w:r w:rsidR="00F26684" w:rsidRPr="00845D5C">
        <w:rPr>
          <w:rFonts w:cstheme="minorHAnsi"/>
          <w:bCs/>
          <w:iCs/>
        </w:rPr>
        <w:t xml:space="preserve">. They would also </w:t>
      </w:r>
      <w:r w:rsidR="00A22AD8" w:rsidRPr="00845D5C">
        <w:rPr>
          <w:rFonts w:cstheme="minorHAnsi"/>
          <w:bCs/>
          <w:iCs/>
        </w:rPr>
        <w:t xml:space="preserve">likely </w:t>
      </w:r>
      <w:r w:rsidR="00DE7A07" w:rsidRPr="00845D5C">
        <w:rPr>
          <w:rFonts w:cstheme="minorHAnsi"/>
          <w:bCs/>
          <w:iCs/>
        </w:rPr>
        <w:t>prioritiz</w:t>
      </w:r>
      <w:r w:rsidR="00F26684" w:rsidRPr="00845D5C">
        <w:rPr>
          <w:rFonts w:cstheme="minorHAnsi"/>
          <w:bCs/>
          <w:iCs/>
        </w:rPr>
        <w:t>e</w:t>
      </w:r>
      <w:r w:rsidR="00DE7A07" w:rsidRPr="00845D5C">
        <w:rPr>
          <w:rFonts w:cstheme="minorHAnsi"/>
          <w:bCs/>
          <w:iCs/>
        </w:rPr>
        <w:t xml:space="preserve"> investments in renewables </w:t>
      </w:r>
      <w:r w:rsidR="00E83636" w:rsidRPr="00845D5C">
        <w:rPr>
          <w:rFonts w:cstheme="minorHAnsi"/>
          <w:bCs/>
          <w:iCs/>
        </w:rPr>
        <w:t>to</w:t>
      </w:r>
      <w:r w:rsidR="00DE7A07" w:rsidRPr="00845D5C">
        <w:rPr>
          <w:rFonts w:cstheme="minorHAnsi"/>
          <w:bCs/>
          <w:iCs/>
        </w:rPr>
        <w:t xml:space="preserve"> leapfrog the </w:t>
      </w:r>
      <w:r w:rsidR="00A22AD8" w:rsidRPr="00845D5C">
        <w:rPr>
          <w:rFonts w:cstheme="minorHAnsi"/>
          <w:bCs/>
          <w:iCs/>
        </w:rPr>
        <w:t xml:space="preserve">heavy </w:t>
      </w:r>
      <w:r w:rsidR="00DE7A07" w:rsidRPr="00845D5C">
        <w:rPr>
          <w:rFonts w:cstheme="minorHAnsi"/>
          <w:bCs/>
          <w:iCs/>
        </w:rPr>
        <w:t>investment in fossil fuel technology that has been associated with economic development</w:t>
      </w:r>
      <w:r w:rsidR="00E83636" w:rsidRPr="00845D5C">
        <w:rPr>
          <w:rFonts w:cstheme="minorHAnsi"/>
          <w:bCs/>
          <w:iCs/>
        </w:rPr>
        <w:t xml:space="preserve"> (</w:t>
      </w:r>
      <w:r w:rsidR="00062E86" w:rsidRPr="00845D5C">
        <w:rPr>
          <w:rFonts w:cstheme="minorHAnsi"/>
          <w:bCs/>
          <w:iCs/>
        </w:rPr>
        <w:t xml:space="preserve">also </w:t>
      </w:r>
      <w:r w:rsidR="00B32AF7" w:rsidRPr="00845D5C">
        <w:rPr>
          <w:rFonts w:cstheme="minorHAnsi"/>
          <w:bCs/>
          <w:iCs/>
        </w:rPr>
        <w:t>an effective</w:t>
      </w:r>
      <w:r w:rsidR="000E772D" w:rsidRPr="00845D5C">
        <w:rPr>
          <w:rFonts w:cstheme="minorHAnsi"/>
          <w:bCs/>
          <w:iCs/>
        </w:rPr>
        <w:t xml:space="preserve"> </w:t>
      </w:r>
      <w:r w:rsidR="00E87F95" w:rsidRPr="00845D5C">
        <w:rPr>
          <w:rFonts w:cstheme="minorHAnsi"/>
          <w:bCs/>
          <w:iCs/>
        </w:rPr>
        <w:t>approach to</w:t>
      </w:r>
      <w:r w:rsidR="000E772D" w:rsidRPr="00845D5C">
        <w:rPr>
          <w:rFonts w:cstheme="minorHAnsi"/>
          <w:bCs/>
          <w:iCs/>
        </w:rPr>
        <w:t xml:space="preserve"> mitigation policy</w:t>
      </w:r>
      <w:r w:rsidR="00062E86" w:rsidRPr="00845D5C">
        <w:rPr>
          <w:rFonts w:cstheme="minorHAnsi"/>
          <w:bCs/>
          <w:iCs/>
        </w:rPr>
        <w:t>)</w:t>
      </w:r>
      <w:r w:rsidR="0008367A" w:rsidRPr="00845D5C">
        <w:rPr>
          <w:rFonts w:cstheme="minorHAnsi"/>
          <w:bCs/>
          <w:iCs/>
        </w:rPr>
        <w:t>.</w:t>
      </w:r>
      <w:r w:rsidR="00B13139" w:rsidRPr="00845D5C">
        <w:rPr>
          <w:rFonts w:cstheme="minorHAnsi"/>
          <w:bCs/>
          <w:iCs/>
        </w:rPr>
        <w:t xml:space="preserve"> </w:t>
      </w:r>
      <w:r w:rsidR="00627521" w:rsidRPr="00845D5C">
        <w:rPr>
          <w:rFonts w:cstheme="minorHAnsi"/>
          <w:bCs/>
          <w:iCs/>
        </w:rPr>
        <w:t xml:space="preserve">To the extent that </w:t>
      </w:r>
      <w:r w:rsidR="001348A9" w:rsidRPr="00845D5C">
        <w:rPr>
          <w:rFonts w:cstheme="minorHAnsi"/>
          <w:bCs/>
          <w:iCs/>
        </w:rPr>
        <w:t xml:space="preserve">low-emitting </w:t>
      </w:r>
      <w:r w:rsidR="00627521" w:rsidRPr="00845D5C">
        <w:rPr>
          <w:rFonts w:cstheme="minorHAnsi"/>
          <w:bCs/>
          <w:iCs/>
        </w:rPr>
        <w:t xml:space="preserve">LMICs focus </w:t>
      </w:r>
      <w:r w:rsidR="001348A9" w:rsidRPr="00845D5C">
        <w:rPr>
          <w:rFonts w:cstheme="minorHAnsi"/>
          <w:bCs/>
          <w:iCs/>
        </w:rPr>
        <w:t>o</w:t>
      </w:r>
      <w:r w:rsidR="00602987" w:rsidRPr="00845D5C">
        <w:rPr>
          <w:rFonts w:cstheme="minorHAnsi"/>
          <w:bCs/>
          <w:iCs/>
        </w:rPr>
        <w:t xml:space="preserve">n </w:t>
      </w:r>
      <w:r w:rsidR="00627521" w:rsidRPr="00845D5C">
        <w:rPr>
          <w:rFonts w:cstheme="minorHAnsi"/>
          <w:bCs/>
          <w:iCs/>
        </w:rPr>
        <w:t>pursuing a green and resilient growth path</w:t>
      </w:r>
      <w:r w:rsidR="001348A9" w:rsidRPr="00845D5C">
        <w:rPr>
          <w:rFonts w:cstheme="minorHAnsi"/>
          <w:bCs/>
          <w:iCs/>
        </w:rPr>
        <w:t xml:space="preserve">, </w:t>
      </w:r>
      <w:r w:rsidR="00602987" w:rsidRPr="00845D5C">
        <w:rPr>
          <w:rFonts w:cstheme="minorHAnsi"/>
          <w:bCs/>
          <w:iCs/>
        </w:rPr>
        <w:t>they</w:t>
      </w:r>
      <w:r w:rsidR="00627521" w:rsidRPr="00845D5C">
        <w:rPr>
          <w:rFonts w:cstheme="minorHAnsi"/>
          <w:bCs/>
          <w:iCs/>
        </w:rPr>
        <w:t xml:space="preserve"> may have more limited </w:t>
      </w:r>
      <w:r w:rsidR="00E15729" w:rsidRPr="00845D5C">
        <w:rPr>
          <w:rFonts w:cstheme="minorHAnsi"/>
          <w:bCs/>
          <w:iCs/>
        </w:rPr>
        <w:t xml:space="preserve">job and industry </w:t>
      </w:r>
      <w:r w:rsidR="00627521" w:rsidRPr="00845D5C">
        <w:rPr>
          <w:rFonts w:cstheme="minorHAnsi"/>
          <w:bCs/>
          <w:iCs/>
        </w:rPr>
        <w:t>dislocation impacts</w:t>
      </w:r>
      <w:r w:rsidR="00E15729" w:rsidRPr="00845D5C">
        <w:rPr>
          <w:rFonts w:cstheme="minorHAnsi"/>
          <w:bCs/>
          <w:iCs/>
        </w:rPr>
        <w:t xml:space="preserve"> that are</w:t>
      </w:r>
      <w:r w:rsidR="00627521" w:rsidRPr="00845D5C">
        <w:rPr>
          <w:rFonts w:cstheme="minorHAnsi"/>
          <w:bCs/>
          <w:iCs/>
        </w:rPr>
        <w:t xml:space="preserve"> often associated with mitigation policies in more-carbon-intensive countries. </w:t>
      </w:r>
      <w:r w:rsidR="0008367A" w:rsidRPr="00845D5C">
        <w:rPr>
          <w:rFonts w:cstheme="minorHAnsi"/>
          <w:bCs/>
          <w:iCs/>
        </w:rPr>
        <w:t xml:space="preserve"> </w:t>
      </w:r>
    </w:p>
    <w:p w14:paraId="267EBD78" w14:textId="6687DE78" w:rsidR="00DE7A07" w:rsidRPr="00845D5C" w:rsidRDefault="00DE7A07" w:rsidP="00845D5C">
      <w:pPr>
        <w:pStyle w:val="NoSpacing"/>
        <w:jc w:val="both"/>
        <w:rPr>
          <w:rFonts w:cstheme="minorHAnsi"/>
          <w:bCs/>
          <w:iCs/>
        </w:rPr>
      </w:pPr>
    </w:p>
    <w:p w14:paraId="056E906B" w14:textId="13C23921" w:rsidR="00097E2E" w:rsidRPr="00845D5C" w:rsidRDefault="00097E2E" w:rsidP="00845D5C">
      <w:pPr>
        <w:pStyle w:val="NoSpacing"/>
        <w:jc w:val="both"/>
        <w:rPr>
          <w:rFonts w:cstheme="minorHAnsi"/>
          <w:bCs/>
          <w:iCs/>
        </w:rPr>
      </w:pPr>
      <w:r w:rsidRPr="00845D5C">
        <w:rPr>
          <w:rFonts w:cstheme="minorHAnsi"/>
          <w:bCs/>
          <w:iCs/>
        </w:rPr>
        <w:t xml:space="preserve">While there is great diversity </w:t>
      </w:r>
      <w:r w:rsidR="00D77863" w:rsidRPr="00845D5C">
        <w:rPr>
          <w:rFonts w:cstheme="minorHAnsi"/>
          <w:bCs/>
          <w:iCs/>
        </w:rPr>
        <w:t xml:space="preserve">in </w:t>
      </w:r>
      <w:r w:rsidR="000B11F5" w:rsidRPr="00845D5C">
        <w:rPr>
          <w:rFonts w:cstheme="minorHAnsi"/>
          <w:bCs/>
          <w:iCs/>
        </w:rPr>
        <w:t>both</w:t>
      </w:r>
      <w:r w:rsidR="00D77863" w:rsidRPr="00845D5C">
        <w:rPr>
          <w:rFonts w:cstheme="minorHAnsi"/>
          <w:bCs/>
          <w:iCs/>
        </w:rPr>
        <w:t xml:space="preserve"> </w:t>
      </w:r>
      <w:r w:rsidR="00481F83" w:rsidRPr="00845D5C">
        <w:rPr>
          <w:rFonts w:cstheme="minorHAnsi"/>
          <w:bCs/>
          <w:iCs/>
        </w:rPr>
        <w:t xml:space="preserve">the </w:t>
      </w:r>
      <w:r w:rsidR="00B14F97" w:rsidRPr="00845D5C">
        <w:rPr>
          <w:rFonts w:cstheme="minorHAnsi"/>
          <w:bCs/>
          <w:iCs/>
        </w:rPr>
        <w:t xml:space="preserve">challenges countries are facing with </w:t>
      </w:r>
      <w:r w:rsidR="000B11F5" w:rsidRPr="00845D5C">
        <w:rPr>
          <w:rFonts w:cstheme="minorHAnsi"/>
          <w:bCs/>
          <w:iCs/>
        </w:rPr>
        <w:t>climate</w:t>
      </w:r>
      <w:r w:rsidR="00481F83" w:rsidRPr="00845D5C">
        <w:rPr>
          <w:rFonts w:cstheme="minorHAnsi"/>
          <w:bCs/>
          <w:iCs/>
        </w:rPr>
        <w:t xml:space="preserve"> </w:t>
      </w:r>
      <w:r w:rsidR="00B14F97" w:rsidRPr="00845D5C">
        <w:rPr>
          <w:rFonts w:cstheme="minorHAnsi"/>
          <w:bCs/>
          <w:iCs/>
        </w:rPr>
        <w:t>change</w:t>
      </w:r>
      <w:r w:rsidR="00D77863" w:rsidRPr="00845D5C">
        <w:rPr>
          <w:rFonts w:cstheme="minorHAnsi"/>
          <w:bCs/>
          <w:iCs/>
        </w:rPr>
        <w:t xml:space="preserve"> </w:t>
      </w:r>
      <w:r w:rsidR="000B11F5" w:rsidRPr="00845D5C">
        <w:rPr>
          <w:rFonts w:cstheme="minorHAnsi"/>
          <w:bCs/>
          <w:iCs/>
        </w:rPr>
        <w:t xml:space="preserve">and </w:t>
      </w:r>
      <w:r w:rsidR="00B14F97" w:rsidRPr="00845D5C">
        <w:rPr>
          <w:rFonts w:cstheme="minorHAnsi"/>
          <w:bCs/>
          <w:iCs/>
        </w:rPr>
        <w:t xml:space="preserve">the characteristics of their </w:t>
      </w:r>
      <w:r w:rsidRPr="00845D5C">
        <w:rPr>
          <w:rFonts w:cstheme="minorHAnsi"/>
          <w:bCs/>
          <w:iCs/>
        </w:rPr>
        <w:t>SOE-</w:t>
      </w:r>
      <w:r w:rsidR="00481F83" w:rsidRPr="00845D5C">
        <w:rPr>
          <w:rFonts w:cstheme="minorHAnsi"/>
          <w:bCs/>
          <w:iCs/>
        </w:rPr>
        <w:t>portfolios</w:t>
      </w:r>
      <w:r w:rsidRPr="00845D5C">
        <w:rPr>
          <w:rFonts w:cstheme="minorHAnsi"/>
          <w:bCs/>
          <w:iCs/>
        </w:rPr>
        <w:t xml:space="preserve">, a </w:t>
      </w:r>
      <w:r w:rsidR="004E06E8" w:rsidRPr="00845D5C">
        <w:rPr>
          <w:rFonts w:cstheme="minorHAnsi"/>
          <w:bCs/>
          <w:iCs/>
        </w:rPr>
        <w:t>systematic</w:t>
      </w:r>
      <w:r w:rsidRPr="00845D5C">
        <w:rPr>
          <w:rFonts w:cstheme="minorHAnsi"/>
          <w:bCs/>
          <w:iCs/>
        </w:rPr>
        <w:t xml:space="preserve"> approach </w:t>
      </w:r>
      <w:r w:rsidR="004E06E8" w:rsidRPr="00845D5C">
        <w:rPr>
          <w:rFonts w:cstheme="minorHAnsi"/>
          <w:bCs/>
          <w:iCs/>
        </w:rPr>
        <w:t xml:space="preserve">for </w:t>
      </w:r>
      <w:r w:rsidR="00B472AE" w:rsidRPr="00845D5C">
        <w:rPr>
          <w:rFonts w:cstheme="minorHAnsi"/>
          <w:bCs/>
          <w:iCs/>
        </w:rPr>
        <w:t xml:space="preserve">identifying and </w:t>
      </w:r>
      <w:r w:rsidR="004E06E8" w:rsidRPr="00845D5C">
        <w:rPr>
          <w:rFonts w:cstheme="minorHAnsi"/>
          <w:bCs/>
          <w:iCs/>
        </w:rPr>
        <w:t>adopting</w:t>
      </w:r>
      <w:r w:rsidR="000652D4" w:rsidRPr="00845D5C">
        <w:rPr>
          <w:rFonts w:cstheme="minorHAnsi"/>
          <w:bCs/>
          <w:iCs/>
        </w:rPr>
        <w:t xml:space="preserve"> climate action policies </w:t>
      </w:r>
      <w:r w:rsidRPr="00845D5C">
        <w:rPr>
          <w:rFonts w:cstheme="minorHAnsi"/>
          <w:bCs/>
          <w:iCs/>
        </w:rPr>
        <w:t xml:space="preserve">would </w:t>
      </w:r>
      <w:r w:rsidR="004E06E8" w:rsidRPr="00845D5C">
        <w:rPr>
          <w:rFonts w:cstheme="minorHAnsi"/>
          <w:bCs/>
          <w:iCs/>
        </w:rPr>
        <w:t>involve</w:t>
      </w:r>
      <w:r w:rsidRPr="00845D5C">
        <w:rPr>
          <w:rFonts w:cstheme="minorHAnsi"/>
          <w:bCs/>
          <w:iCs/>
        </w:rPr>
        <w:t xml:space="preserve"> a common </w:t>
      </w:r>
      <w:r w:rsidR="00B472AE" w:rsidRPr="00845D5C">
        <w:rPr>
          <w:rFonts w:cstheme="minorHAnsi"/>
          <w:bCs/>
          <w:iCs/>
        </w:rPr>
        <w:t xml:space="preserve">set of </w:t>
      </w:r>
      <w:r w:rsidRPr="00845D5C">
        <w:rPr>
          <w:rFonts w:cstheme="minorHAnsi"/>
          <w:bCs/>
          <w:iCs/>
        </w:rPr>
        <w:t xml:space="preserve">main steps, including:  (i) conducting a climate-informed state ownership policy assessment;  (ii) conducting a climate-diagnostic of the SOE sector portfolio;  (iii) formulating a climate-strategy and implementation plan for the SOE sector;  and, (iv) determining </w:t>
      </w:r>
      <w:r w:rsidR="00630039" w:rsidRPr="00845D5C">
        <w:rPr>
          <w:rFonts w:cstheme="minorHAnsi"/>
          <w:bCs/>
          <w:iCs/>
        </w:rPr>
        <w:t xml:space="preserve">oversight, </w:t>
      </w:r>
      <w:r w:rsidRPr="00845D5C">
        <w:rPr>
          <w:rFonts w:cstheme="minorHAnsi"/>
          <w:bCs/>
          <w:iCs/>
        </w:rPr>
        <w:t>monitoring and evaluation (M&amp;E)</w:t>
      </w:r>
      <w:r w:rsidR="00630039" w:rsidRPr="00845D5C">
        <w:rPr>
          <w:rFonts w:cstheme="minorHAnsi"/>
          <w:bCs/>
          <w:iCs/>
        </w:rPr>
        <w:t xml:space="preserve">, </w:t>
      </w:r>
      <w:r w:rsidR="005E322D" w:rsidRPr="00845D5C">
        <w:rPr>
          <w:rFonts w:cstheme="minorHAnsi"/>
          <w:bCs/>
          <w:iCs/>
        </w:rPr>
        <w:t xml:space="preserve">and </w:t>
      </w:r>
      <w:r w:rsidR="00630039" w:rsidRPr="00845D5C">
        <w:rPr>
          <w:rFonts w:cstheme="minorHAnsi"/>
          <w:bCs/>
          <w:iCs/>
        </w:rPr>
        <w:t>audit</w:t>
      </w:r>
      <w:r w:rsidRPr="00845D5C">
        <w:rPr>
          <w:rFonts w:cstheme="minorHAnsi"/>
          <w:bCs/>
          <w:iCs/>
        </w:rPr>
        <w:t xml:space="preserve"> and disclosure requirements, including regular climate assessment and diagnostic reviews.</w:t>
      </w:r>
      <w:r w:rsidR="00E133DE" w:rsidRPr="00845D5C">
        <w:rPr>
          <w:rFonts w:cstheme="minorHAnsi"/>
          <w:bCs/>
          <w:iCs/>
        </w:rPr>
        <w:t xml:space="preserve"> </w:t>
      </w:r>
      <w:r w:rsidR="003375C3" w:rsidRPr="00845D5C">
        <w:rPr>
          <w:rFonts w:cstheme="minorHAnsi"/>
          <w:bCs/>
          <w:iCs/>
        </w:rPr>
        <w:t xml:space="preserve">Governments </w:t>
      </w:r>
      <w:r w:rsidR="005E322D" w:rsidRPr="00845D5C">
        <w:rPr>
          <w:rFonts w:cstheme="minorHAnsi"/>
          <w:bCs/>
          <w:iCs/>
        </w:rPr>
        <w:t>c</w:t>
      </w:r>
      <w:r w:rsidR="003375C3" w:rsidRPr="00845D5C">
        <w:rPr>
          <w:rFonts w:cstheme="minorHAnsi"/>
          <w:bCs/>
          <w:iCs/>
        </w:rPr>
        <w:t xml:space="preserve">ould underpin </w:t>
      </w:r>
      <w:r w:rsidR="00BA5F42" w:rsidRPr="00845D5C">
        <w:rPr>
          <w:rFonts w:cstheme="minorHAnsi"/>
          <w:bCs/>
          <w:iCs/>
        </w:rPr>
        <w:t xml:space="preserve">the </w:t>
      </w:r>
      <w:r w:rsidR="005E322D" w:rsidRPr="00845D5C">
        <w:rPr>
          <w:rFonts w:cstheme="minorHAnsi"/>
          <w:bCs/>
          <w:iCs/>
        </w:rPr>
        <w:t>reform</w:t>
      </w:r>
      <w:r w:rsidR="00BA5F42" w:rsidRPr="00845D5C">
        <w:rPr>
          <w:rFonts w:cstheme="minorHAnsi"/>
          <w:bCs/>
          <w:iCs/>
        </w:rPr>
        <w:t xml:space="preserve"> process</w:t>
      </w:r>
      <w:r w:rsidR="005E322D" w:rsidRPr="00845D5C">
        <w:rPr>
          <w:rFonts w:cstheme="minorHAnsi"/>
          <w:bCs/>
          <w:iCs/>
        </w:rPr>
        <w:t xml:space="preserve"> by </w:t>
      </w:r>
      <w:r w:rsidR="00F2001E" w:rsidRPr="00845D5C">
        <w:rPr>
          <w:rFonts w:cstheme="minorHAnsi"/>
          <w:bCs/>
          <w:iCs/>
        </w:rPr>
        <w:t>a</w:t>
      </w:r>
      <w:r w:rsidR="0074335E" w:rsidRPr="00845D5C">
        <w:rPr>
          <w:rFonts w:cstheme="minorHAnsi"/>
          <w:bCs/>
          <w:iCs/>
        </w:rPr>
        <w:t>dopti</w:t>
      </w:r>
      <w:r w:rsidR="00B472AE" w:rsidRPr="00845D5C">
        <w:rPr>
          <w:rFonts w:cstheme="minorHAnsi"/>
          <w:bCs/>
          <w:iCs/>
        </w:rPr>
        <w:t xml:space="preserve">ng measures </w:t>
      </w:r>
      <w:r w:rsidR="00C365E7" w:rsidRPr="00845D5C">
        <w:rPr>
          <w:rFonts w:cstheme="minorHAnsi"/>
          <w:bCs/>
          <w:iCs/>
        </w:rPr>
        <w:t xml:space="preserve">to support </w:t>
      </w:r>
      <w:r w:rsidR="0074335E" w:rsidRPr="00845D5C">
        <w:rPr>
          <w:rFonts w:cstheme="minorHAnsi"/>
          <w:bCs/>
          <w:iCs/>
        </w:rPr>
        <w:t xml:space="preserve">good </w:t>
      </w:r>
      <w:r w:rsidR="007D7DB2" w:rsidRPr="00845D5C">
        <w:rPr>
          <w:rFonts w:cstheme="minorHAnsi"/>
          <w:bCs/>
          <w:iCs/>
        </w:rPr>
        <w:t>g</w:t>
      </w:r>
      <w:r w:rsidR="006E02DB" w:rsidRPr="00845D5C">
        <w:rPr>
          <w:rFonts w:cstheme="minorHAnsi"/>
          <w:bCs/>
          <w:iCs/>
        </w:rPr>
        <w:t xml:space="preserve">overnance </w:t>
      </w:r>
      <w:r w:rsidR="0074335E" w:rsidRPr="00845D5C">
        <w:rPr>
          <w:rFonts w:cstheme="minorHAnsi"/>
          <w:bCs/>
          <w:iCs/>
        </w:rPr>
        <w:t>practices</w:t>
      </w:r>
      <w:r w:rsidR="00DB421C" w:rsidRPr="00845D5C">
        <w:rPr>
          <w:rFonts w:cstheme="minorHAnsi"/>
          <w:bCs/>
          <w:iCs/>
        </w:rPr>
        <w:t xml:space="preserve"> and institutional capacity</w:t>
      </w:r>
      <w:r w:rsidR="003375C3" w:rsidRPr="00845D5C">
        <w:rPr>
          <w:rFonts w:cstheme="minorHAnsi"/>
          <w:bCs/>
          <w:iCs/>
        </w:rPr>
        <w:t xml:space="preserve"> building,</w:t>
      </w:r>
      <w:r w:rsidR="00B472AE" w:rsidRPr="00845D5C">
        <w:rPr>
          <w:rFonts w:cstheme="minorHAnsi"/>
          <w:bCs/>
          <w:iCs/>
        </w:rPr>
        <w:t xml:space="preserve"> which are</w:t>
      </w:r>
      <w:r w:rsidR="003375C3" w:rsidRPr="00845D5C">
        <w:rPr>
          <w:rFonts w:cstheme="minorHAnsi"/>
          <w:bCs/>
          <w:iCs/>
        </w:rPr>
        <w:t xml:space="preserve"> </w:t>
      </w:r>
      <w:r w:rsidR="0074335E" w:rsidRPr="00845D5C">
        <w:rPr>
          <w:rFonts w:cstheme="minorHAnsi"/>
          <w:bCs/>
          <w:iCs/>
        </w:rPr>
        <w:t xml:space="preserve">widely recognized as </w:t>
      </w:r>
      <w:r w:rsidR="00DB421C" w:rsidRPr="00845D5C">
        <w:rPr>
          <w:rFonts w:cstheme="minorHAnsi"/>
          <w:bCs/>
          <w:iCs/>
        </w:rPr>
        <w:t xml:space="preserve">key </w:t>
      </w:r>
      <w:r w:rsidR="00BA5F42" w:rsidRPr="00845D5C">
        <w:rPr>
          <w:rFonts w:cstheme="minorHAnsi"/>
          <w:bCs/>
          <w:iCs/>
        </w:rPr>
        <w:t>to</w:t>
      </w:r>
      <w:r w:rsidR="00DB421C" w:rsidRPr="00845D5C">
        <w:rPr>
          <w:rFonts w:cstheme="minorHAnsi"/>
          <w:bCs/>
          <w:iCs/>
        </w:rPr>
        <w:t xml:space="preserve"> </w:t>
      </w:r>
      <w:r w:rsidR="006E02DB" w:rsidRPr="00845D5C">
        <w:rPr>
          <w:rFonts w:cstheme="minorHAnsi"/>
          <w:bCs/>
          <w:iCs/>
        </w:rPr>
        <w:t>success</w:t>
      </w:r>
      <w:r w:rsidR="00320AD4" w:rsidRPr="00845D5C">
        <w:rPr>
          <w:rFonts w:cstheme="minorHAnsi"/>
          <w:bCs/>
          <w:iCs/>
        </w:rPr>
        <w:t>ful</w:t>
      </w:r>
      <w:r w:rsidR="006E02DB" w:rsidRPr="00845D5C">
        <w:rPr>
          <w:rFonts w:cstheme="minorHAnsi"/>
          <w:bCs/>
          <w:iCs/>
        </w:rPr>
        <w:t xml:space="preserve"> SOE reform</w:t>
      </w:r>
      <w:r w:rsidR="00320AD4" w:rsidRPr="00845D5C">
        <w:rPr>
          <w:rFonts w:cstheme="minorHAnsi"/>
          <w:bCs/>
          <w:iCs/>
        </w:rPr>
        <w:t xml:space="preserve"> outcomes</w:t>
      </w:r>
      <w:r w:rsidR="006E02DB" w:rsidRPr="00845D5C">
        <w:rPr>
          <w:rFonts w:cstheme="minorHAnsi"/>
          <w:bCs/>
          <w:iCs/>
        </w:rPr>
        <w:t>.</w:t>
      </w:r>
    </w:p>
    <w:p w14:paraId="0A893B6A" w14:textId="77777777" w:rsidR="00097E2E" w:rsidRPr="00845D5C" w:rsidRDefault="00097E2E" w:rsidP="00845D5C">
      <w:pPr>
        <w:pStyle w:val="NoSpacing"/>
        <w:jc w:val="both"/>
        <w:rPr>
          <w:rFonts w:cstheme="minorHAnsi"/>
          <w:bCs/>
          <w:iCs/>
        </w:rPr>
      </w:pPr>
    </w:p>
    <w:p w14:paraId="0C2977DE" w14:textId="493507AE" w:rsidR="007E5BEF" w:rsidRPr="00CE791B" w:rsidRDefault="00EB741A" w:rsidP="00CE791B">
      <w:pPr>
        <w:jc w:val="both"/>
        <w:rPr>
          <w:rFonts w:cstheme="minorHAnsi"/>
          <w:bCs/>
          <w:iCs/>
        </w:rPr>
      </w:pPr>
      <w:r w:rsidRPr="00845D5C">
        <w:rPr>
          <w:rFonts w:cstheme="minorHAnsi"/>
          <w:bCs/>
          <w:iCs/>
        </w:rPr>
        <w:t xml:space="preserve">As part of the process of identifying </w:t>
      </w:r>
      <w:r w:rsidR="00F8279D" w:rsidRPr="00845D5C">
        <w:rPr>
          <w:rFonts w:cstheme="minorHAnsi"/>
          <w:bCs/>
          <w:iCs/>
        </w:rPr>
        <w:t>country-</w:t>
      </w:r>
      <w:r w:rsidRPr="00845D5C">
        <w:rPr>
          <w:rFonts w:cstheme="minorHAnsi"/>
          <w:bCs/>
          <w:iCs/>
        </w:rPr>
        <w:t>specific climate related reforms, i</w:t>
      </w:r>
      <w:r w:rsidR="00ED5156" w:rsidRPr="00845D5C">
        <w:rPr>
          <w:rFonts w:cstheme="minorHAnsi"/>
          <w:bCs/>
          <w:iCs/>
        </w:rPr>
        <w:t>nternational best practice suggests</w:t>
      </w:r>
      <w:r w:rsidR="007F5765" w:rsidRPr="00845D5C">
        <w:rPr>
          <w:rFonts w:cstheme="minorHAnsi"/>
          <w:bCs/>
          <w:iCs/>
        </w:rPr>
        <w:t xml:space="preserve"> </w:t>
      </w:r>
      <w:r w:rsidR="00537E8B" w:rsidRPr="00845D5C">
        <w:rPr>
          <w:rFonts w:cstheme="minorHAnsi"/>
          <w:bCs/>
          <w:iCs/>
        </w:rPr>
        <w:t xml:space="preserve">governments </w:t>
      </w:r>
      <w:r w:rsidR="000929A4" w:rsidRPr="00845D5C">
        <w:rPr>
          <w:rFonts w:cstheme="minorHAnsi"/>
          <w:bCs/>
          <w:iCs/>
        </w:rPr>
        <w:t xml:space="preserve">explicitly identify national </w:t>
      </w:r>
      <w:r w:rsidR="00537E8B" w:rsidRPr="00845D5C">
        <w:rPr>
          <w:rFonts w:cstheme="minorHAnsi"/>
          <w:bCs/>
          <w:iCs/>
        </w:rPr>
        <w:t>climate</w:t>
      </w:r>
      <w:r w:rsidR="000929A4" w:rsidRPr="00845D5C">
        <w:rPr>
          <w:rFonts w:cstheme="minorHAnsi"/>
          <w:bCs/>
          <w:iCs/>
        </w:rPr>
        <w:t xml:space="preserve">-related objectives </w:t>
      </w:r>
      <w:r w:rsidR="00062222" w:rsidRPr="00845D5C">
        <w:rPr>
          <w:rFonts w:cstheme="minorHAnsi"/>
          <w:bCs/>
          <w:iCs/>
        </w:rPr>
        <w:t xml:space="preserve">for its SOE portfolio </w:t>
      </w:r>
      <w:r w:rsidR="000929A4" w:rsidRPr="00845D5C">
        <w:rPr>
          <w:rFonts w:cstheme="minorHAnsi"/>
          <w:bCs/>
          <w:iCs/>
        </w:rPr>
        <w:t>directly in</w:t>
      </w:r>
      <w:r w:rsidR="00AC64C0" w:rsidRPr="00845D5C">
        <w:rPr>
          <w:rFonts w:cstheme="minorHAnsi"/>
          <w:bCs/>
          <w:iCs/>
        </w:rPr>
        <w:t xml:space="preserve">to </w:t>
      </w:r>
      <w:r w:rsidR="00DE7A07" w:rsidRPr="00845D5C">
        <w:rPr>
          <w:rFonts w:cstheme="minorHAnsi"/>
          <w:bCs/>
          <w:iCs/>
        </w:rPr>
        <w:t>state ownership policies</w:t>
      </w:r>
      <w:r w:rsidRPr="00845D5C">
        <w:rPr>
          <w:rFonts w:cstheme="minorHAnsi"/>
          <w:bCs/>
          <w:iCs/>
        </w:rPr>
        <w:t>. These would</w:t>
      </w:r>
      <w:r w:rsidR="00540672" w:rsidRPr="00845D5C">
        <w:rPr>
          <w:rFonts w:cstheme="minorHAnsi"/>
          <w:bCs/>
          <w:iCs/>
        </w:rPr>
        <w:t xml:space="preserve"> include provisions for monitoring and verification</w:t>
      </w:r>
      <w:r w:rsidR="00D63469" w:rsidRPr="00845D5C">
        <w:rPr>
          <w:rFonts w:cstheme="minorHAnsi"/>
          <w:bCs/>
          <w:iCs/>
        </w:rPr>
        <w:t xml:space="preserve">, which in turn </w:t>
      </w:r>
      <w:r w:rsidR="00062222" w:rsidRPr="00845D5C">
        <w:rPr>
          <w:rFonts w:cstheme="minorHAnsi"/>
          <w:bCs/>
          <w:iCs/>
        </w:rPr>
        <w:t xml:space="preserve">would </w:t>
      </w:r>
      <w:r w:rsidR="00D63469" w:rsidRPr="00845D5C">
        <w:rPr>
          <w:rFonts w:cstheme="minorHAnsi"/>
          <w:bCs/>
          <w:iCs/>
        </w:rPr>
        <w:t>be reflected in</w:t>
      </w:r>
      <w:r w:rsidR="00DE7A07" w:rsidRPr="00845D5C">
        <w:rPr>
          <w:rFonts w:cstheme="minorHAnsi"/>
          <w:bCs/>
          <w:iCs/>
        </w:rPr>
        <w:t xml:space="preserve"> </w:t>
      </w:r>
      <w:r w:rsidR="00D63469" w:rsidRPr="00845D5C">
        <w:rPr>
          <w:rFonts w:cstheme="minorHAnsi"/>
          <w:bCs/>
          <w:iCs/>
        </w:rPr>
        <w:t xml:space="preserve">SOE </w:t>
      </w:r>
      <w:r w:rsidR="00062222" w:rsidRPr="00845D5C">
        <w:rPr>
          <w:rFonts w:cstheme="minorHAnsi"/>
          <w:bCs/>
          <w:iCs/>
        </w:rPr>
        <w:t xml:space="preserve">sector </w:t>
      </w:r>
      <w:r w:rsidR="00DE7A07" w:rsidRPr="00845D5C">
        <w:rPr>
          <w:rFonts w:cstheme="minorHAnsi"/>
          <w:bCs/>
          <w:iCs/>
        </w:rPr>
        <w:t>strategies</w:t>
      </w:r>
      <w:r w:rsidR="00D63469" w:rsidRPr="00845D5C">
        <w:rPr>
          <w:rFonts w:cstheme="minorHAnsi"/>
          <w:bCs/>
          <w:iCs/>
        </w:rPr>
        <w:t xml:space="preserve">, </w:t>
      </w:r>
      <w:r w:rsidR="00DE7A07" w:rsidRPr="00845D5C">
        <w:rPr>
          <w:rFonts w:cstheme="minorHAnsi"/>
          <w:bCs/>
          <w:iCs/>
        </w:rPr>
        <w:t xml:space="preserve">plans </w:t>
      </w:r>
      <w:r w:rsidR="00D63469" w:rsidRPr="00845D5C">
        <w:rPr>
          <w:rFonts w:cstheme="minorHAnsi"/>
          <w:bCs/>
          <w:iCs/>
        </w:rPr>
        <w:t>and reporting</w:t>
      </w:r>
      <w:r w:rsidR="00327F6E" w:rsidRPr="00845D5C">
        <w:rPr>
          <w:rFonts w:cstheme="minorHAnsi"/>
          <w:bCs/>
          <w:iCs/>
        </w:rPr>
        <w:t>.</w:t>
      </w:r>
      <w:r w:rsidR="007F5765" w:rsidRPr="00845D5C">
        <w:rPr>
          <w:rFonts w:cstheme="minorHAnsi"/>
          <w:bCs/>
          <w:iCs/>
        </w:rPr>
        <w:t xml:space="preserve"> </w:t>
      </w:r>
      <w:r w:rsidR="007E5BEF" w:rsidRPr="00845D5C">
        <w:rPr>
          <w:rFonts w:cstheme="minorHAnsi"/>
        </w:rPr>
        <w:t xml:space="preserve"> </w:t>
      </w:r>
      <w:r w:rsidR="007E5BEF" w:rsidRPr="00845D5C">
        <w:rPr>
          <w:rFonts w:cstheme="minorHAnsi"/>
          <w:bCs/>
          <w:iCs/>
        </w:rPr>
        <w:t>Governments would want to ensure that public ownership mandates are non-distortionary and transparent and consistent with decarbonization. Carbon-emission</w:t>
      </w:r>
      <w:r w:rsidR="00EC0462" w:rsidRPr="00845D5C">
        <w:rPr>
          <w:rFonts w:cstheme="minorHAnsi"/>
          <w:bCs/>
          <w:iCs/>
        </w:rPr>
        <w:t>, mitigation,</w:t>
      </w:r>
      <w:r w:rsidR="007E5BEF" w:rsidRPr="00845D5C">
        <w:rPr>
          <w:rFonts w:cstheme="minorHAnsi"/>
          <w:bCs/>
          <w:iCs/>
        </w:rPr>
        <w:t xml:space="preserve"> and adaptation costs and benefits of SOE activities </w:t>
      </w:r>
      <w:r w:rsidR="00A7673D" w:rsidRPr="00845D5C">
        <w:rPr>
          <w:rFonts w:cstheme="minorHAnsi"/>
          <w:bCs/>
          <w:iCs/>
        </w:rPr>
        <w:t>w</w:t>
      </w:r>
      <w:r w:rsidR="007E5BEF" w:rsidRPr="00845D5C">
        <w:rPr>
          <w:rFonts w:cstheme="minorHAnsi"/>
          <w:bCs/>
          <w:iCs/>
        </w:rPr>
        <w:t>ould be considered when countries review their SOE ownership rationales. Ownership assessments focused on climate action may lead to shifts in public holdings (e.g., divestment)</w:t>
      </w:r>
      <w:r w:rsidR="00D6464E" w:rsidRPr="00845D5C">
        <w:rPr>
          <w:rFonts w:cstheme="minorHAnsi"/>
          <w:bCs/>
          <w:iCs/>
        </w:rPr>
        <w:t xml:space="preserve">, or </w:t>
      </w:r>
      <w:r w:rsidR="00F60B14" w:rsidRPr="00845D5C">
        <w:rPr>
          <w:rFonts w:cstheme="minorHAnsi"/>
          <w:bCs/>
          <w:iCs/>
        </w:rPr>
        <w:t xml:space="preserve">contribute to the rationale of </w:t>
      </w:r>
      <w:r w:rsidR="007E5BEF" w:rsidRPr="00845D5C">
        <w:rPr>
          <w:rFonts w:cstheme="minorHAnsi"/>
          <w:bCs/>
          <w:iCs/>
        </w:rPr>
        <w:t>retaining ownership in an SOE</w:t>
      </w:r>
      <w:r w:rsidR="00F60B14" w:rsidRPr="00845D5C">
        <w:rPr>
          <w:rFonts w:cstheme="minorHAnsi"/>
          <w:bCs/>
          <w:iCs/>
        </w:rPr>
        <w:t xml:space="preserve"> (e.g., for strategic purposes)</w:t>
      </w:r>
      <w:r w:rsidR="007E5BEF" w:rsidRPr="00845D5C">
        <w:rPr>
          <w:rFonts w:cstheme="minorHAnsi"/>
          <w:bCs/>
          <w:iCs/>
        </w:rPr>
        <w:t xml:space="preserve">. Ideally, ownership rationales would be transparent and clearly defined to justify public ownership, and the rationales would include assessment </w:t>
      </w:r>
      <w:r w:rsidR="007E5BEF" w:rsidRPr="00CE791B">
        <w:rPr>
          <w:rFonts w:cstheme="minorHAnsi"/>
          <w:bCs/>
          <w:iCs/>
        </w:rPr>
        <w:t xml:space="preserve">of the costs of continuing with, or divesting from, climate related SOE activities. </w:t>
      </w:r>
    </w:p>
    <w:p w14:paraId="70772C5D" w14:textId="39C3FE14" w:rsidR="002A574D" w:rsidRPr="00CE791B" w:rsidRDefault="00C92B9A" w:rsidP="00CE791B">
      <w:pPr>
        <w:jc w:val="both"/>
      </w:pPr>
      <w:r w:rsidRPr="00CE791B">
        <w:t>To support more climate-aware diagnostics of countries’ SOE portfolios, the World Bank’s forthcoming ‘SOE Climate Toolkit’</w:t>
      </w:r>
      <w:r w:rsidR="0014424C" w:rsidRPr="00CE791B">
        <w:t xml:space="preserve"> </w:t>
      </w:r>
      <w:r w:rsidR="00D816C9" w:rsidRPr="00CE791B">
        <w:t>(</w:t>
      </w:r>
      <w:r w:rsidR="0014424C" w:rsidRPr="00CE791B">
        <w:t>part of the Integrat</w:t>
      </w:r>
      <w:r w:rsidR="00FC6A1C" w:rsidRPr="00CE791B">
        <w:t>ed SOE Framework (ISOEF)</w:t>
      </w:r>
      <w:r w:rsidR="00D816C9" w:rsidRPr="00CE791B">
        <w:t>)</w:t>
      </w:r>
      <w:r w:rsidR="00FC6A1C" w:rsidRPr="00CE791B">
        <w:t xml:space="preserve"> </w:t>
      </w:r>
      <w:r w:rsidRPr="00CE791B">
        <w:t xml:space="preserve">includes a diagnostic questionnaire to help client countries and </w:t>
      </w:r>
      <w:r w:rsidR="007610E0" w:rsidRPr="00CE791B">
        <w:t xml:space="preserve">World Bank </w:t>
      </w:r>
      <w:r w:rsidRPr="00CE791B">
        <w:t xml:space="preserve"> staff conduct such SOE climate mappings (with a focus on financial disclosures).</w:t>
      </w:r>
      <w:r w:rsidR="00BD0AD1" w:rsidRPr="00CE791B">
        <w:rPr>
          <w:rStyle w:val="FootnoteReference"/>
        </w:rPr>
        <w:footnoteReference w:id="57"/>
      </w:r>
      <w:r w:rsidRPr="00CE791B">
        <w:t> </w:t>
      </w:r>
    </w:p>
    <w:p w14:paraId="2B8EE8AD" w14:textId="787DFB03" w:rsidR="00023D6B" w:rsidRPr="00EA03EC" w:rsidRDefault="00023D6B" w:rsidP="00845D5C">
      <w:pPr>
        <w:pStyle w:val="NoSpacing"/>
        <w:jc w:val="both"/>
        <w:rPr>
          <w:rFonts w:cstheme="minorHAnsi"/>
          <w:b/>
          <w:iCs/>
        </w:rPr>
      </w:pPr>
      <w:r w:rsidRPr="00EA03EC">
        <w:rPr>
          <w:rFonts w:cstheme="minorHAnsi"/>
          <w:b/>
          <w:iCs/>
        </w:rPr>
        <w:t xml:space="preserve">Steps to </w:t>
      </w:r>
      <w:r w:rsidR="001124DE" w:rsidRPr="00EA03EC">
        <w:rPr>
          <w:rFonts w:cstheme="minorHAnsi"/>
          <w:b/>
          <w:iCs/>
        </w:rPr>
        <w:t xml:space="preserve">ensure that ownership and </w:t>
      </w:r>
      <w:r w:rsidR="00EA03EC" w:rsidRPr="00EA03EC">
        <w:rPr>
          <w:rFonts w:cstheme="minorHAnsi"/>
          <w:b/>
          <w:iCs/>
        </w:rPr>
        <w:t>national climate policies are aligned</w:t>
      </w:r>
    </w:p>
    <w:p w14:paraId="05B2EC66" w14:textId="77777777" w:rsidR="00023D6B" w:rsidRDefault="00023D6B" w:rsidP="00845D5C">
      <w:pPr>
        <w:pStyle w:val="NoSpacing"/>
        <w:jc w:val="both"/>
        <w:rPr>
          <w:rFonts w:cstheme="minorHAnsi"/>
          <w:bCs/>
          <w:iCs/>
        </w:rPr>
      </w:pPr>
    </w:p>
    <w:p w14:paraId="26B5ED51" w14:textId="56A7A107" w:rsidR="00DE7A07" w:rsidRPr="00845D5C" w:rsidRDefault="00C40CF5" w:rsidP="00202D5F">
      <w:pPr>
        <w:pStyle w:val="NoSpacing"/>
        <w:numPr>
          <w:ilvl w:val="0"/>
          <w:numId w:val="27"/>
        </w:numPr>
        <w:spacing w:after="80"/>
        <w:jc w:val="both"/>
        <w:rPr>
          <w:rFonts w:cstheme="minorHAnsi"/>
          <w:bCs/>
          <w:iCs/>
        </w:rPr>
      </w:pPr>
      <w:r w:rsidRPr="00845D5C">
        <w:rPr>
          <w:rFonts w:cstheme="minorHAnsi"/>
          <w:bCs/>
          <w:iCs/>
        </w:rPr>
        <w:t xml:space="preserve">Countries </w:t>
      </w:r>
      <w:r w:rsidR="00243E7F" w:rsidRPr="00845D5C">
        <w:rPr>
          <w:rFonts w:cstheme="minorHAnsi"/>
          <w:bCs/>
          <w:iCs/>
        </w:rPr>
        <w:t>w</w:t>
      </w:r>
      <w:r w:rsidRPr="00845D5C">
        <w:rPr>
          <w:rFonts w:cstheme="minorHAnsi"/>
          <w:bCs/>
          <w:iCs/>
        </w:rPr>
        <w:t xml:space="preserve">ould conduct </w:t>
      </w:r>
      <w:r w:rsidR="00A42724" w:rsidRPr="00845D5C">
        <w:rPr>
          <w:rFonts w:cstheme="minorHAnsi"/>
          <w:bCs/>
          <w:iCs/>
        </w:rPr>
        <w:t xml:space="preserve">an </w:t>
      </w:r>
      <w:r w:rsidRPr="00845D5C">
        <w:rPr>
          <w:rFonts w:cstheme="minorHAnsi"/>
          <w:bCs/>
          <w:iCs/>
        </w:rPr>
        <w:t>ownership policy assessment</w:t>
      </w:r>
      <w:r w:rsidR="00BC37FE" w:rsidRPr="00845D5C">
        <w:rPr>
          <w:rFonts w:cstheme="minorHAnsi"/>
          <w:bCs/>
          <w:iCs/>
        </w:rPr>
        <w:t xml:space="preserve"> to</w:t>
      </w:r>
      <w:r w:rsidR="00DE7A07" w:rsidRPr="00845D5C">
        <w:rPr>
          <w:rFonts w:cstheme="minorHAnsi"/>
          <w:bCs/>
          <w:iCs/>
        </w:rPr>
        <w:t xml:space="preserve"> ensure</w:t>
      </w:r>
      <w:r w:rsidR="00C579D1" w:rsidRPr="00845D5C">
        <w:rPr>
          <w:rFonts w:cstheme="minorHAnsi"/>
          <w:bCs/>
          <w:iCs/>
        </w:rPr>
        <w:t xml:space="preserve"> ownership policies are </w:t>
      </w:r>
      <w:r w:rsidR="000178B9" w:rsidRPr="00845D5C">
        <w:rPr>
          <w:rFonts w:cstheme="minorHAnsi"/>
          <w:bCs/>
          <w:iCs/>
        </w:rPr>
        <w:t>fully</w:t>
      </w:r>
      <w:r w:rsidR="00DE7A07" w:rsidRPr="00845D5C">
        <w:rPr>
          <w:rFonts w:cstheme="minorHAnsi"/>
          <w:bCs/>
          <w:iCs/>
        </w:rPr>
        <w:t xml:space="preserve"> aligne</w:t>
      </w:r>
      <w:r w:rsidR="000178B9" w:rsidRPr="00845D5C">
        <w:rPr>
          <w:rFonts w:cstheme="minorHAnsi"/>
          <w:bCs/>
          <w:iCs/>
        </w:rPr>
        <w:t>d</w:t>
      </w:r>
      <w:r w:rsidR="00DE7A07" w:rsidRPr="00845D5C">
        <w:rPr>
          <w:rFonts w:cstheme="minorHAnsi"/>
          <w:bCs/>
          <w:iCs/>
        </w:rPr>
        <w:t xml:space="preserve"> with </w:t>
      </w:r>
      <w:r w:rsidR="00996303" w:rsidRPr="00845D5C">
        <w:rPr>
          <w:rFonts w:cstheme="minorHAnsi"/>
          <w:bCs/>
          <w:iCs/>
        </w:rPr>
        <w:t>a</w:t>
      </w:r>
      <w:r w:rsidR="00DE7A07" w:rsidRPr="00845D5C">
        <w:rPr>
          <w:rFonts w:cstheme="minorHAnsi"/>
          <w:bCs/>
          <w:iCs/>
        </w:rPr>
        <w:t xml:space="preserve"> country’s national climate change commitments</w:t>
      </w:r>
      <w:r w:rsidR="002D479E" w:rsidRPr="00845D5C">
        <w:rPr>
          <w:rFonts w:cstheme="minorHAnsi"/>
          <w:bCs/>
          <w:iCs/>
        </w:rPr>
        <w:t>.</w:t>
      </w:r>
      <w:r w:rsidR="000C1307" w:rsidRPr="00845D5C">
        <w:rPr>
          <w:rFonts w:cstheme="minorHAnsi"/>
          <w:bCs/>
          <w:iCs/>
        </w:rPr>
        <w:t xml:space="preserve"> </w:t>
      </w:r>
      <w:r w:rsidR="00A42724" w:rsidRPr="00845D5C">
        <w:rPr>
          <w:rFonts w:cstheme="minorHAnsi"/>
          <w:bCs/>
          <w:iCs/>
        </w:rPr>
        <w:t>A</w:t>
      </w:r>
      <w:r w:rsidR="00261490" w:rsidRPr="00845D5C">
        <w:rPr>
          <w:rFonts w:cstheme="minorHAnsi"/>
          <w:bCs/>
          <w:iCs/>
        </w:rPr>
        <w:t xml:space="preserve"> </w:t>
      </w:r>
      <w:r w:rsidR="000C1307" w:rsidRPr="00845D5C">
        <w:rPr>
          <w:rFonts w:cstheme="minorHAnsi"/>
          <w:bCs/>
          <w:iCs/>
        </w:rPr>
        <w:t>climate</w:t>
      </w:r>
      <w:r w:rsidR="00261490" w:rsidRPr="00845D5C">
        <w:rPr>
          <w:rFonts w:cstheme="minorHAnsi"/>
          <w:bCs/>
          <w:iCs/>
        </w:rPr>
        <w:t xml:space="preserve">-diagnostic of </w:t>
      </w:r>
      <w:r w:rsidR="00996303" w:rsidRPr="00845D5C">
        <w:rPr>
          <w:rFonts w:cstheme="minorHAnsi"/>
          <w:bCs/>
          <w:iCs/>
        </w:rPr>
        <w:t xml:space="preserve">the </w:t>
      </w:r>
      <w:r w:rsidR="00261490" w:rsidRPr="00845D5C">
        <w:rPr>
          <w:rFonts w:cstheme="minorHAnsi"/>
          <w:bCs/>
          <w:iCs/>
        </w:rPr>
        <w:t xml:space="preserve">SOE </w:t>
      </w:r>
      <w:r w:rsidR="00A42724" w:rsidRPr="00845D5C">
        <w:rPr>
          <w:rFonts w:cstheme="minorHAnsi"/>
          <w:bCs/>
          <w:iCs/>
        </w:rPr>
        <w:t xml:space="preserve">portfolio </w:t>
      </w:r>
      <w:r w:rsidR="007839F6" w:rsidRPr="00845D5C">
        <w:rPr>
          <w:rFonts w:cstheme="minorHAnsi"/>
          <w:bCs/>
          <w:iCs/>
        </w:rPr>
        <w:t>could also be conducted to complement</w:t>
      </w:r>
      <w:r w:rsidR="00A42724" w:rsidRPr="00845D5C">
        <w:rPr>
          <w:rFonts w:cstheme="minorHAnsi"/>
          <w:bCs/>
          <w:iCs/>
        </w:rPr>
        <w:t xml:space="preserve"> </w:t>
      </w:r>
      <w:r w:rsidR="00967FE1" w:rsidRPr="00845D5C">
        <w:rPr>
          <w:rFonts w:cstheme="minorHAnsi"/>
          <w:bCs/>
          <w:iCs/>
        </w:rPr>
        <w:t xml:space="preserve">and inform </w:t>
      </w:r>
      <w:r w:rsidR="00A42724" w:rsidRPr="00845D5C">
        <w:rPr>
          <w:rFonts w:cstheme="minorHAnsi"/>
          <w:bCs/>
          <w:iCs/>
        </w:rPr>
        <w:t>th</w:t>
      </w:r>
      <w:r w:rsidR="006834DC" w:rsidRPr="00845D5C">
        <w:rPr>
          <w:rFonts w:cstheme="minorHAnsi"/>
          <w:bCs/>
          <w:iCs/>
        </w:rPr>
        <w:t>e ownership assessments</w:t>
      </w:r>
      <w:r w:rsidR="00967FE1" w:rsidRPr="00845D5C">
        <w:rPr>
          <w:rFonts w:cstheme="minorHAnsi"/>
          <w:bCs/>
          <w:iCs/>
        </w:rPr>
        <w:t>, e.g., by</w:t>
      </w:r>
      <w:r w:rsidR="000B59F8" w:rsidRPr="00845D5C">
        <w:rPr>
          <w:rFonts w:cstheme="minorHAnsi"/>
          <w:bCs/>
          <w:iCs/>
        </w:rPr>
        <w:t xml:space="preserve"> identify</w:t>
      </w:r>
      <w:r w:rsidR="00967FE1" w:rsidRPr="00845D5C">
        <w:rPr>
          <w:rFonts w:cstheme="minorHAnsi"/>
          <w:bCs/>
          <w:iCs/>
        </w:rPr>
        <w:t>ing</w:t>
      </w:r>
      <w:r w:rsidR="000B59F8" w:rsidRPr="00845D5C">
        <w:rPr>
          <w:rFonts w:cstheme="minorHAnsi"/>
          <w:bCs/>
          <w:iCs/>
        </w:rPr>
        <w:t xml:space="preserve"> gaps and </w:t>
      </w:r>
      <w:r w:rsidR="00F25EFC" w:rsidRPr="00845D5C">
        <w:rPr>
          <w:rFonts w:cstheme="minorHAnsi"/>
          <w:bCs/>
          <w:iCs/>
        </w:rPr>
        <w:t>areas of needed reform</w:t>
      </w:r>
      <w:r w:rsidR="00DE7A07" w:rsidRPr="00845D5C">
        <w:rPr>
          <w:rFonts w:cstheme="minorHAnsi"/>
          <w:bCs/>
          <w:iCs/>
        </w:rPr>
        <w:t xml:space="preserve">. </w:t>
      </w:r>
      <w:r w:rsidR="009B445F" w:rsidRPr="00845D5C">
        <w:rPr>
          <w:rFonts w:cstheme="minorHAnsi"/>
          <w:bCs/>
          <w:iCs/>
        </w:rPr>
        <w:t xml:space="preserve">These assessments </w:t>
      </w:r>
      <w:r w:rsidR="00F25EFC" w:rsidRPr="00845D5C">
        <w:rPr>
          <w:rFonts w:cstheme="minorHAnsi"/>
          <w:bCs/>
          <w:iCs/>
        </w:rPr>
        <w:t xml:space="preserve">and diagnostics </w:t>
      </w:r>
      <w:r w:rsidR="00DE7A07" w:rsidRPr="00845D5C">
        <w:rPr>
          <w:rFonts w:cstheme="minorHAnsi"/>
          <w:bCs/>
          <w:iCs/>
        </w:rPr>
        <w:t xml:space="preserve">could </w:t>
      </w:r>
      <w:r w:rsidR="009B445F" w:rsidRPr="00845D5C">
        <w:rPr>
          <w:rFonts w:cstheme="minorHAnsi"/>
          <w:bCs/>
          <w:iCs/>
        </w:rPr>
        <w:t>b</w:t>
      </w:r>
      <w:r w:rsidR="00040AAB" w:rsidRPr="00845D5C">
        <w:rPr>
          <w:rFonts w:cstheme="minorHAnsi"/>
          <w:bCs/>
          <w:iCs/>
        </w:rPr>
        <w:t>e</w:t>
      </w:r>
      <w:r w:rsidR="00DE7A07" w:rsidRPr="00845D5C">
        <w:rPr>
          <w:rFonts w:cstheme="minorHAnsi"/>
          <w:bCs/>
          <w:iCs/>
        </w:rPr>
        <w:t xml:space="preserve"> calibrated </w:t>
      </w:r>
      <w:r w:rsidR="00F25EFC" w:rsidRPr="00845D5C">
        <w:rPr>
          <w:rFonts w:cstheme="minorHAnsi"/>
          <w:bCs/>
          <w:iCs/>
        </w:rPr>
        <w:t>to the</w:t>
      </w:r>
      <w:r w:rsidR="00DE7A07" w:rsidRPr="00845D5C">
        <w:rPr>
          <w:rFonts w:cstheme="minorHAnsi"/>
          <w:bCs/>
          <w:iCs/>
        </w:rPr>
        <w:t xml:space="preserve"> industry</w:t>
      </w:r>
      <w:r w:rsidR="00EE2C08" w:rsidRPr="00845D5C">
        <w:rPr>
          <w:rFonts w:cstheme="minorHAnsi"/>
          <w:bCs/>
          <w:iCs/>
        </w:rPr>
        <w:t>-level</w:t>
      </w:r>
      <w:r w:rsidR="00DE7A07" w:rsidRPr="00845D5C">
        <w:rPr>
          <w:rFonts w:cstheme="minorHAnsi"/>
          <w:bCs/>
          <w:iCs/>
        </w:rPr>
        <w:t xml:space="preserve"> or </w:t>
      </w:r>
      <w:r w:rsidR="00EE2C08" w:rsidRPr="00845D5C">
        <w:rPr>
          <w:rFonts w:cstheme="minorHAnsi"/>
          <w:bCs/>
          <w:iCs/>
        </w:rPr>
        <w:t xml:space="preserve">for the </w:t>
      </w:r>
      <w:r w:rsidR="00DE7A07" w:rsidRPr="00845D5C">
        <w:rPr>
          <w:rFonts w:cstheme="minorHAnsi"/>
          <w:bCs/>
          <w:iCs/>
        </w:rPr>
        <w:t>entire SOE-portfolio</w:t>
      </w:r>
      <w:r w:rsidR="00040AAB" w:rsidRPr="00845D5C">
        <w:rPr>
          <w:rFonts w:cstheme="minorHAnsi"/>
          <w:bCs/>
          <w:iCs/>
        </w:rPr>
        <w:t xml:space="preserve"> </w:t>
      </w:r>
      <w:r w:rsidR="00DE7A07" w:rsidRPr="00845D5C">
        <w:rPr>
          <w:rFonts w:cstheme="minorHAnsi"/>
          <w:bCs/>
          <w:iCs/>
        </w:rPr>
        <w:t xml:space="preserve">and </w:t>
      </w:r>
      <w:r w:rsidR="00F8279D" w:rsidRPr="00845D5C">
        <w:rPr>
          <w:rFonts w:cstheme="minorHAnsi"/>
          <w:bCs/>
          <w:iCs/>
        </w:rPr>
        <w:t xml:space="preserve">cover a range of policy issues, such as the </w:t>
      </w:r>
      <w:r w:rsidR="00A270E0" w:rsidRPr="00845D5C">
        <w:rPr>
          <w:rFonts w:cstheme="minorHAnsi"/>
          <w:bCs/>
          <w:iCs/>
        </w:rPr>
        <w:t xml:space="preserve">following </w:t>
      </w:r>
      <w:r w:rsidR="00B446B8" w:rsidRPr="00845D5C">
        <w:rPr>
          <w:rFonts w:cstheme="minorHAnsi"/>
          <w:bCs/>
          <w:iCs/>
        </w:rPr>
        <w:t>listed below</w:t>
      </w:r>
      <w:r w:rsidR="00E5049C" w:rsidRPr="00845D5C">
        <w:rPr>
          <w:rFonts w:cstheme="minorHAnsi"/>
          <w:bCs/>
          <w:iCs/>
        </w:rPr>
        <w:t xml:space="preserve">, </w:t>
      </w:r>
      <w:r w:rsidR="00040AAB" w:rsidRPr="00845D5C">
        <w:rPr>
          <w:rFonts w:cstheme="minorHAnsi"/>
          <w:bCs/>
          <w:iCs/>
        </w:rPr>
        <w:t>depending on country circumstances</w:t>
      </w:r>
      <w:r w:rsidR="00B446B8" w:rsidRPr="00845D5C">
        <w:rPr>
          <w:rFonts w:cstheme="minorHAnsi"/>
          <w:bCs/>
          <w:iCs/>
        </w:rPr>
        <w:t>:</w:t>
      </w:r>
    </w:p>
    <w:p w14:paraId="2C5E12AB" w14:textId="4F300EC7" w:rsidR="00DE7A07" w:rsidRPr="00C8420C" w:rsidRDefault="00DE7A07" w:rsidP="00202D5F">
      <w:pPr>
        <w:pStyle w:val="NoSpacing"/>
        <w:numPr>
          <w:ilvl w:val="0"/>
          <w:numId w:val="27"/>
        </w:numPr>
        <w:spacing w:after="80"/>
        <w:jc w:val="both"/>
        <w:rPr>
          <w:rFonts w:cstheme="minorHAnsi"/>
          <w:bCs/>
          <w:iCs/>
        </w:rPr>
      </w:pPr>
      <w:r w:rsidRPr="00C8420C">
        <w:rPr>
          <w:rFonts w:cstheme="minorHAnsi"/>
          <w:bCs/>
          <w:i/>
        </w:rPr>
        <w:t>Ownership policies and</w:t>
      </w:r>
      <w:r w:rsidRPr="00C8420C">
        <w:rPr>
          <w:rFonts w:cstheme="minorHAnsi"/>
          <w:bCs/>
          <w:iCs/>
        </w:rPr>
        <w:t xml:space="preserve"> </w:t>
      </w:r>
      <w:r w:rsidRPr="00C8420C">
        <w:rPr>
          <w:rFonts w:cstheme="minorHAnsi"/>
          <w:bCs/>
          <w:i/>
        </w:rPr>
        <w:t>ma</w:t>
      </w:r>
      <w:r w:rsidRPr="00863557">
        <w:rPr>
          <w:rFonts w:cstheme="minorHAnsi"/>
          <w:bCs/>
          <w:i/>
        </w:rPr>
        <w:t>ndates—</w:t>
      </w:r>
      <w:r w:rsidRPr="00863557">
        <w:rPr>
          <w:rFonts w:cstheme="minorHAnsi"/>
          <w:bCs/>
          <w:iCs/>
        </w:rPr>
        <w:t xml:space="preserve">such as </w:t>
      </w:r>
      <w:r w:rsidR="00B8442A">
        <w:rPr>
          <w:rFonts w:cstheme="minorHAnsi"/>
          <w:bCs/>
          <w:iCs/>
        </w:rPr>
        <w:t>public service obligation</w:t>
      </w:r>
      <w:r w:rsidR="00B8442A" w:rsidRPr="00863557">
        <w:rPr>
          <w:rFonts w:cstheme="minorHAnsi"/>
          <w:bCs/>
          <w:iCs/>
        </w:rPr>
        <w:t xml:space="preserve">s </w:t>
      </w:r>
      <w:r w:rsidRPr="00863557">
        <w:rPr>
          <w:rFonts w:cstheme="minorHAnsi"/>
          <w:bCs/>
          <w:iCs/>
        </w:rPr>
        <w:t>(e.g., low-cost fuel, jobs), reporting and public oversight requirements</w:t>
      </w:r>
      <w:r w:rsidRPr="00C8420C">
        <w:rPr>
          <w:rFonts w:cstheme="minorHAnsi"/>
          <w:bCs/>
          <w:iCs/>
        </w:rPr>
        <w:t xml:space="preserve">, degree of corporatization (independence from </w:t>
      </w:r>
      <w:r w:rsidRPr="00C8420C">
        <w:rPr>
          <w:rFonts w:cstheme="minorHAnsi"/>
          <w:bCs/>
          <w:iCs/>
        </w:rPr>
        <w:lastRenderedPageBreak/>
        <w:t>political interference), corporate motivation for climate action</w:t>
      </w:r>
      <w:r w:rsidR="00D2307F" w:rsidRPr="00C8420C">
        <w:rPr>
          <w:rFonts w:cstheme="minorHAnsi"/>
          <w:bCs/>
          <w:iCs/>
        </w:rPr>
        <w:t xml:space="preserve"> (</w:t>
      </w:r>
      <w:r w:rsidR="00D2307F" w:rsidRPr="00863557">
        <w:rPr>
          <w:rFonts w:cstheme="minorHAnsi"/>
          <w:bCs/>
          <w:iCs/>
        </w:rPr>
        <w:t xml:space="preserve">policies to increase board </w:t>
      </w:r>
      <w:r w:rsidR="00D2307F" w:rsidRPr="004A7525">
        <w:rPr>
          <w:rFonts w:cstheme="minorHAnsi"/>
          <w:bCs/>
          <w:iCs/>
        </w:rPr>
        <w:t>directors’</w:t>
      </w:r>
      <w:r w:rsidR="00D2307F" w:rsidRPr="008C4418">
        <w:rPr>
          <w:rFonts w:cstheme="minorHAnsi"/>
          <w:bCs/>
          <w:iCs/>
        </w:rPr>
        <w:t xml:space="preserve"> climate awareness</w:t>
      </w:r>
      <w:r w:rsidR="00F02EC5" w:rsidRPr="008C4418">
        <w:rPr>
          <w:rFonts w:cstheme="minorHAnsi"/>
          <w:bCs/>
          <w:iCs/>
        </w:rPr>
        <w:t xml:space="preserve"> and</w:t>
      </w:r>
      <w:r w:rsidR="00F02EC5" w:rsidRPr="00D076F4">
        <w:rPr>
          <w:rFonts w:cstheme="minorHAnsi"/>
          <w:bCs/>
          <w:iCs/>
        </w:rPr>
        <w:t xml:space="preserve"> expertise</w:t>
      </w:r>
      <w:r w:rsidR="0035002E">
        <w:rPr>
          <w:rFonts w:cstheme="minorHAnsi"/>
          <w:bCs/>
          <w:iCs/>
        </w:rPr>
        <w:t>)</w:t>
      </w:r>
      <w:r w:rsidR="0035002E" w:rsidRPr="00C8420C">
        <w:rPr>
          <w:rFonts w:cstheme="minorHAnsi"/>
          <w:bCs/>
          <w:iCs/>
        </w:rPr>
        <w:t>.</w:t>
      </w:r>
      <w:r w:rsidRPr="00C8420C">
        <w:rPr>
          <w:rFonts w:cstheme="minorHAnsi"/>
          <w:bCs/>
          <w:iCs/>
        </w:rPr>
        <w:t xml:space="preserve"> </w:t>
      </w:r>
    </w:p>
    <w:p w14:paraId="2FFF0695" w14:textId="649B9B05" w:rsidR="00DE7A07" w:rsidRPr="00845D5C" w:rsidRDefault="00DE7A07" w:rsidP="00202D5F">
      <w:pPr>
        <w:pStyle w:val="NoSpacing"/>
        <w:numPr>
          <w:ilvl w:val="0"/>
          <w:numId w:val="27"/>
        </w:numPr>
        <w:spacing w:after="80"/>
        <w:jc w:val="both"/>
        <w:rPr>
          <w:rFonts w:cstheme="minorHAnsi"/>
          <w:bCs/>
          <w:iCs/>
        </w:rPr>
      </w:pPr>
      <w:r w:rsidRPr="00845D5C">
        <w:rPr>
          <w:rFonts w:cstheme="minorHAnsi"/>
          <w:bCs/>
          <w:i/>
        </w:rPr>
        <w:t xml:space="preserve">Emissions tied to SOE-operations, </w:t>
      </w:r>
      <w:r w:rsidR="0035002E" w:rsidRPr="00845D5C">
        <w:rPr>
          <w:rFonts w:cstheme="minorHAnsi"/>
          <w:bCs/>
          <w:i/>
        </w:rPr>
        <w:t>procurement,</w:t>
      </w:r>
      <w:r w:rsidRPr="00845D5C">
        <w:rPr>
          <w:rFonts w:cstheme="minorHAnsi"/>
          <w:bCs/>
          <w:i/>
        </w:rPr>
        <w:t xml:space="preserve"> and investment</w:t>
      </w:r>
      <w:r w:rsidRPr="00845D5C">
        <w:rPr>
          <w:rFonts w:cstheme="minorHAnsi"/>
          <w:bCs/>
          <w:iCs/>
        </w:rPr>
        <w:t xml:space="preserve">—composition of carbon-intensive and renewable applications in SOE </w:t>
      </w:r>
      <w:r w:rsidR="0035002E" w:rsidRPr="00845D5C">
        <w:rPr>
          <w:rFonts w:cstheme="minorHAnsi"/>
          <w:bCs/>
          <w:iCs/>
        </w:rPr>
        <w:t>activities.</w:t>
      </w:r>
    </w:p>
    <w:p w14:paraId="65AC6183" w14:textId="152E2AE0" w:rsidR="00DE7A07" w:rsidRPr="00CE791B" w:rsidRDefault="00DE7A07" w:rsidP="00202D5F">
      <w:pPr>
        <w:pStyle w:val="NoSpacing"/>
        <w:numPr>
          <w:ilvl w:val="0"/>
          <w:numId w:val="27"/>
        </w:numPr>
        <w:spacing w:after="80"/>
        <w:jc w:val="both"/>
        <w:rPr>
          <w:rFonts w:cstheme="minorHAnsi"/>
          <w:bCs/>
          <w:iCs/>
        </w:rPr>
      </w:pPr>
      <w:r w:rsidRPr="00CE791B">
        <w:rPr>
          <w:rFonts w:cstheme="minorHAnsi"/>
          <w:bCs/>
          <w:i/>
        </w:rPr>
        <w:t>Incentives structure, and legal and regulatory framework</w:t>
      </w:r>
      <w:r w:rsidRPr="00CE791B">
        <w:rPr>
          <w:rFonts w:cstheme="minorHAnsi"/>
          <w:bCs/>
          <w:iCs/>
        </w:rPr>
        <w:t>—that lock in technological and institutional carbon-intensive investment and behavior</w:t>
      </w:r>
      <w:r w:rsidR="009556BD" w:rsidRPr="00CE791B">
        <w:rPr>
          <w:rFonts w:cstheme="minorHAnsi"/>
          <w:bCs/>
          <w:iCs/>
        </w:rPr>
        <w:t xml:space="preserve"> (</w:t>
      </w:r>
      <w:r w:rsidRPr="00CE791B">
        <w:rPr>
          <w:rFonts w:cstheme="minorHAnsi"/>
          <w:bCs/>
          <w:iCs/>
        </w:rPr>
        <w:t xml:space="preserve">e.g., </w:t>
      </w:r>
      <w:r w:rsidR="00721DE3" w:rsidRPr="00CE791B">
        <w:rPr>
          <w:rFonts w:cstheme="minorHAnsi"/>
          <w:bCs/>
          <w:iCs/>
        </w:rPr>
        <w:t xml:space="preserve">investment and procurement policies, </w:t>
      </w:r>
      <w:r w:rsidR="001C79CA" w:rsidRPr="00CE791B">
        <w:rPr>
          <w:rFonts w:cstheme="minorHAnsi"/>
          <w:bCs/>
          <w:iCs/>
        </w:rPr>
        <w:t xml:space="preserve">environmental </w:t>
      </w:r>
      <w:r w:rsidR="00410FDF" w:rsidRPr="00CE791B">
        <w:rPr>
          <w:rFonts w:cstheme="minorHAnsi"/>
          <w:bCs/>
          <w:iCs/>
        </w:rPr>
        <w:t xml:space="preserve">taxes, </w:t>
      </w:r>
      <w:r w:rsidRPr="00CE791B">
        <w:rPr>
          <w:rFonts w:cstheme="minorHAnsi"/>
          <w:bCs/>
          <w:iCs/>
        </w:rPr>
        <w:t xml:space="preserve">price ceilings, import tariff waivers, </w:t>
      </w:r>
      <w:r w:rsidR="00F11686" w:rsidRPr="00CE791B">
        <w:rPr>
          <w:rFonts w:cstheme="minorHAnsi"/>
          <w:bCs/>
          <w:iCs/>
        </w:rPr>
        <w:t xml:space="preserve">and </w:t>
      </w:r>
      <w:r w:rsidRPr="00CE791B">
        <w:rPr>
          <w:rFonts w:cstheme="minorHAnsi"/>
          <w:bCs/>
          <w:iCs/>
        </w:rPr>
        <w:t>guarantees</w:t>
      </w:r>
      <w:r w:rsidR="009556BD" w:rsidRPr="00CE791B">
        <w:rPr>
          <w:rFonts w:cstheme="minorHAnsi"/>
          <w:bCs/>
          <w:iCs/>
        </w:rPr>
        <w:t>)</w:t>
      </w:r>
      <w:r w:rsidRPr="00CE791B">
        <w:rPr>
          <w:rFonts w:cstheme="minorHAnsi"/>
          <w:bCs/>
          <w:iCs/>
        </w:rPr>
        <w:t xml:space="preserve">, </w:t>
      </w:r>
      <w:r w:rsidR="00F11686" w:rsidRPr="00CE791B">
        <w:rPr>
          <w:rFonts w:cstheme="minorHAnsi"/>
          <w:bCs/>
          <w:iCs/>
        </w:rPr>
        <w:t xml:space="preserve">provide for </w:t>
      </w:r>
      <w:r w:rsidR="009D3F9A" w:rsidRPr="00CE791B">
        <w:rPr>
          <w:rFonts w:cstheme="minorHAnsi"/>
          <w:bCs/>
          <w:iCs/>
        </w:rPr>
        <w:t xml:space="preserve">consistency of application across </w:t>
      </w:r>
      <w:r w:rsidR="00F11686" w:rsidRPr="00CE791B">
        <w:rPr>
          <w:rFonts w:cstheme="minorHAnsi"/>
          <w:bCs/>
          <w:iCs/>
        </w:rPr>
        <w:t xml:space="preserve">types of </w:t>
      </w:r>
      <w:r w:rsidR="009D3F9A" w:rsidRPr="00CE791B">
        <w:rPr>
          <w:rFonts w:cstheme="minorHAnsi"/>
          <w:bCs/>
          <w:iCs/>
        </w:rPr>
        <w:t>ownership</w:t>
      </w:r>
      <w:r w:rsidR="00F11686" w:rsidRPr="00CE791B">
        <w:rPr>
          <w:rFonts w:cstheme="minorHAnsi"/>
          <w:bCs/>
          <w:iCs/>
        </w:rPr>
        <w:t xml:space="preserve">, </w:t>
      </w:r>
      <w:r w:rsidRPr="00CE791B">
        <w:rPr>
          <w:rFonts w:cstheme="minorHAnsi"/>
          <w:bCs/>
          <w:iCs/>
        </w:rPr>
        <w:t xml:space="preserve">and incentivize sustainable value creation </w:t>
      </w:r>
      <w:r w:rsidR="008334FE" w:rsidRPr="00CE791B">
        <w:rPr>
          <w:rFonts w:cstheme="minorHAnsi"/>
          <w:bCs/>
          <w:iCs/>
        </w:rPr>
        <w:t>and CSR</w:t>
      </w:r>
      <w:r w:rsidR="00FB2F02" w:rsidRPr="00CE791B">
        <w:rPr>
          <w:rFonts w:cstheme="minorHAnsi"/>
          <w:bCs/>
          <w:iCs/>
        </w:rPr>
        <w:t>-accountability</w:t>
      </w:r>
      <w:r w:rsidRPr="00CE791B">
        <w:rPr>
          <w:rFonts w:cstheme="minorHAnsi"/>
          <w:bCs/>
          <w:iCs/>
        </w:rPr>
        <w:t xml:space="preserve">; </w:t>
      </w:r>
    </w:p>
    <w:p w14:paraId="2125C133" w14:textId="7D420ED5" w:rsidR="00DE7A07" w:rsidRPr="00CE791B" w:rsidRDefault="00DE7A07" w:rsidP="00202D5F">
      <w:pPr>
        <w:pStyle w:val="NoSpacing"/>
        <w:numPr>
          <w:ilvl w:val="0"/>
          <w:numId w:val="27"/>
        </w:numPr>
        <w:spacing w:after="80"/>
        <w:jc w:val="both"/>
        <w:rPr>
          <w:rFonts w:cstheme="minorHAnsi"/>
          <w:bCs/>
          <w:iCs/>
        </w:rPr>
      </w:pPr>
      <w:r w:rsidRPr="00CE791B">
        <w:rPr>
          <w:rFonts w:cstheme="minorHAnsi"/>
          <w:bCs/>
          <w:i/>
        </w:rPr>
        <w:t>Assets</w:t>
      </w:r>
      <w:r w:rsidRPr="00CE791B">
        <w:rPr>
          <w:rFonts w:cstheme="minorHAnsi"/>
          <w:bCs/>
          <w:iCs/>
        </w:rPr>
        <w:t>—including staff, structures, and associated operational risks (e.g., to supply chains</w:t>
      </w:r>
      <w:r w:rsidR="0035002E" w:rsidRPr="00CE791B">
        <w:rPr>
          <w:rFonts w:cstheme="minorHAnsi"/>
          <w:bCs/>
          <w:iCs/>
        </w:rPr>
        <w:t>).</w:t>
      </w:r>
      <w:r w:rsidRPr="00CE791B">
        <w:rPr>
          <w:rFonts w:cstheme="minorHAnsi"/>
          <w:bCs/>
          <w:iCs/>
        </w:rPr>
        <w:t xml:space="preserve"> </w:t>
      </w:r>
    </w:p>
    <w:p w14:paraId="40717680" w14:textId="77777777" w:rsidR="00DE7A07" w:rsidRPr="00CE791B" w:rsidRDefault="00DE7A07" w:rsidP="00202D5F">
      <w:pPr>
        <w:pStyle w:val="NoSpacing"/>
        <w:numPr>
          <w:ilvl w:val="0"/>
          <w:numId w:val="27"/>
        </w:numPr>
        <w:spacing w:after="80"/>
        <w:jc w:val="both"/>
        <w:rPr>
          <w:rFonts w:cstheme="minorHAnsi"/>
          <w:bCs/>
          <w:iCs/>
        </w:rPr>
      </w:pPr>
      <w:r w:rsidRPr="00CE791B">
        <w:rPr>
          <w:rFonts w:cstheme="minorHAnsi"/>
          <w:bCs/>
          <w:i/>
        </w:rPr>
        <w:t>Climate-related risks</w:t>
      </w:r>
      <w:r w:rsidRPr="00CE791B">
        <w:rPr>
          <w:rFonts w:cstheme="minorHAnsi"/>
          <w:bCs/>
          <w:iCs/>
        </w:rPr>
        <w:t xml:space="preserve">—including those tied to climate-related natural disasters (e.g., increased frequency and intensity of hurricanes and cyclones), chronic climate-change impacts (e.g., rising sea levels, increased incidence of heat stress), and those tied to the failure to mitigate (e.g., stranded assets, lack of diversification of industries) or adapt (loss of livelihood, life and limb, and higher borrowing costs); </w:t>
      </w:r>
    </w:p>
    <w:p w14:paraId="5BDBF672" w14:textId="6B922721" w:rsidR="00DE7A07" w:rsidRPr="00CE791B" w:rsidRDefault="00DE7A07" w:rsidP="00202D5F">
      <w:pPr>
        <w:pStyle w:val="NoSpacing"/>
        <w:numPr>
          <w:ilvl w:val="0"/>
          <w:numId w:val="27"/>
        </w:numPr>
        <w:spacing w:after="80"/>
        <w:jc w:val="both"/>
        <w:rPr>
          <w:rFonts w:cstheme="minorHAnsi"/>
          <w:bCs/>
          <w:iCs/>
        </w:rPr>
      </w:pPr>
      <w:r w:rsidRPr="00CE791B">
        <w:rPr>
          <w:rFonts w:cstheme="minorHAnsi"/>
          <w:bCs/>
          <w:i/>
        </w:rPr>
        <w:t>Corporate finances</w:t>
      </w:r>
      <w:r w:rsidR="00C92B9A" w:rsidRPr="00CE791B">
        <w:rPr>
          <w:rFonts w:cstheme="minorHAnsi"/>
          <w:bCs/>
          <w:i/>
        </w:rPr>
        <w:t xml:space="preserve"> and financial disclosure</w:t>
      </w:r>
      <w:r w:rsidRPr="00CE791B">
        <w:rPr>
          <w:rFonts w:cstheme="minorHAnsi"/>
          <w:bCs/>
          <w:iCs/>
        </w:rPr>
        <w:t>—i.e., current financial viability of an SOE based on existing operational structure, whether loss-making or profit-making, and outstanding obligations (including to other SOEs and or central government)</w:t>
      </w:r>
      <w:r w:rsidR="001F117D" w:rsidRPr="00CE791B">
        <w:rPr>
          <w:rFonts w:cstheme="minorHAnsi"/>
          <w:bCs/>
          <w:iCs/>
        </w:rPr>
        <w:t xml:space="preserve">, </w:t>
      </w:r>
      <w:r w:rsidR="00932E2A" w:rsidRPr="00CE791B">
        <w:rPr>
          <w:rFonts w:cstheme="minorHAnsi"/>
          <w:bCs/>
          <w:iCs/>
        </w:rPr>
        <w:t xml:space="preserve">and </w:t>
      </w:r>
      <w:r w:rsidR="001F117D" w:rsidRPr="00CE791B">
        <w:rPr>
          <w:rFonts w:cstheme="minorHAnsi"/>
          <w:bCs/>
          <w:iCs/>
        </w:rPr>
        <w:t>ESG</w:t>
      </w:r>
      <w:r w:rsidR="00781B88" w:rsidRPr="00CE791B">
        <w:rPr>
          <w:rFonts w:cstheme="minorHAnsi"/>
          <w:bCs/>
          <w:iCs/>
        </w:rPr>
        <w:t xml:space="preserve"> </w:t>
      </w:r>
      <w:r w:rsidR="0035002E" w:rsidRPr="00CE791B">
        <w:rPr>
          <w:rFonts w:cstheme="minorHAnsi"/>
          <w:bCs/>
          <w:iCs/>
        </w:rPr>
        <w:t>disclosure.</w:t>
      </w:r>
    </w:p>
    <w:p w14:paraId="208A6D79" w14:textId="0D30D3A9" w:rsidR="00DE7A07" w:rsidRPr="00CE791B" w:rsidRDefault="00DE7A07" w:rsidP="00202D5F">
      <w:pPr>
        <w:pStyle w:val="NoSpacing"/>
        <w:numPr>
          <w:ilvl w:val="0"/>
          <w:numId w:val="27"/>
        </w:numPr>
        <w:spacing w:after="80"/>
        <w:jc w:val="both"/>
        <w:rPr>
          <w:rFonts w:cstheme="minorHAnsi"/>
          <w:bCs/>
          <w:iCs/>
        </w:rPr>
      </w:pPr>
      <w:r w:rsidRPr="00CE791B">
        <w:rPr>
          <w:rFonts w:cstheme="minorHAnsi"/>
          <w:bCs/>
          <w:i/>
        </w:rPr>
        <w:t>Macro-fiscal issues, including fiscal risks and public sector contingent liability risks</w:t>
      </w:r>
      <w:r w:rsidRPr="00CE791B">
        <w:rPr>
          <w:rFonts w:cstheme="minorHAnsi"/>
          <w:bCs/>
          <w:iCs/>
        </w:rPr>
        <w:t>—including assessment of risks associated with climate change (beyond existing fiscal and contingent liability risk exposures to SOEs for a full-picture of risks and relative importance of climate-related risks</w:t>
      </w:r>
      <w:r w:rsidR="0035002E" w:rsidRPr="00CE791B">
        <w:rPr>
          <w:rFonts w:cstheme="minorHAnsi"/>
          <w:bCs/>
          <w:iCs/>
        </w:rPr>
        <w:t>).</w:t>
      </w:r>
      <w:r w:rsidRPr="00CE791B">
        <w:rPr>
          <w:rFonts w:cstheme="minorHAnsi"/>
          <w:bCs/>
          <w:iCs/>
        </w:rPr>
        <w:t xml:space="preserve"> </w:t>
      </w:r>
    </w:p>
    <w:p w14:paraId="799690AC" w14:textId="203CEB80" w:rsidR="00DE7A07" w:rsidRPr="00CE791B" w:rsidRDefault="00DE7A07" w:rsidP="00202D5F">
      <w:pPr>
        <w:pStyle w:val="NoSpacing"/>
        <w:numPr>
          <w:ilvl w:val="0"/>
          <w:numId w:val="27"/>
        </w:numPr>
        <w:spacing w:after="80"/>
        <w:jc w:val="both"/>
        <w:rPr>
          <w:rFonts w:cstheme="minorHAnsi"/>
          <w:bCs/>
          <w:iCs/>
        </w:rPr>
      </w:pPr>
      <w:r w:rsidRPr="00CE791B">
        <w:rPr>
          <w:rFonts w:cstheme="minorHAnsi"/>
          <w:bCs/>
          <w:i/>
        </w:rPr>
        <w:t xml:space="preserve">SOE-sector specific and enterprise specific strategies and </w:t>
      </w:r>
      <w:r w:rsidR="00781B88" w:rsidRPr="00CE791B">
        <w:rPr>
          <w:rFonts w:cstheme="minorHAnsi"/>
          <w:bCs/>
          <w:i/>
        </w:rPr>
        <w:t xml:space="preserve">business </w:t>
      </w:r>
      <w:r w:rsidRPr="00CE791B">
        <w:rPr>
          <w:rFonts w:cstheme="minorHAnsi"/>
          <w:bCs/>
          <w:i/>
        </w:rPr>
        <w:t>development plans</w:t>
      </w:r>
      <w:r w:rsidRPr="00CE791B">
        <w:rPr>
          <w:rFonts w:cstheme="minorHAnsi"/>
          <w:bCs/>
          <w:iCs/>
        </w:rPr>
        <w:t>—e.g., SOE planned investments should be aligned with the national climate agenda, including explicit targets</w:t>
      </w:r>
      <w:r w:rsidR="00093342" w:rsidRPr="00CE791B">
        <w:rPr>
          <w:rFonts w:cstheme="minorHAnsi"/>
          <w:bCs/>
          <w:iCs/>
        </w:rPr>
        <w:t>,</w:t>
      </w:r>
      <w:r w:rsidR="00184556" w:rsidRPr="00CE791B">
        <w:rPr>
          <w:rFonts w:cstheme="minorHAnsi"/>
          <w:bCs/>
          <w:iCs/>
        </w:rPr>
        <w:t xml:space="preserve"> and bus</w:t>
      </w:r>
      <w:r w:rsidR="008C2E47" w:rsidRPr="00CE791B">
        <w:rPr>
          <w:rFonts w:cstheme="minorHAnsi"/>
          <w:bCs/>
          <w:iCs/>
        </w:rPr>
        <w:t>iness plans should include the financial implications of adaption and mitigation measures</w:t>
      </w:r>
      <w:r w:rsidR="00E5049C" w:rsidRPr="00CE791B">
        <w:rPr>
          <w:rFonts w:cstheme="minorHAnsi"/>
          <w:bCs/>
          <w:iCs/>
        </w:rPr>
        <w:t>; and,</w:t>
      </w:r>
    </w:p>
    <w:p w14:paraId="20390EE5" w14:textId="77777777" w:rsidR="00DE7A07" w:rsidRPr="00CE791B" w:rsidRDefault="00DE7A07" w:rsidP="00EE3928">
      <w:pPr>
        <w:pStyle w:val="NoSpacing"/>
        <w:numPr>
          <w:ilvl w:val="0"/>
          <w:numId w:val="27"/>
        </w:numPr>
        <w:jc w:val="both"/>
        <w:rPr>
          <w:rFonts w:cstheme="minorHAnsi"/>
          <w:bCs/>
          <w:iCs/>
        </w:rPr>
      </w:pPr>
      <w:r w:rsidRPr="00CE791B">
        <w:rPr>
          <w:rFonts w:cstheme="minorHAnsi"/>
          <w:bCs/>
          <w:i/>
        </w:rPr>
        <w:t>National strategies for climate action and other climate-related strategies, e.g., national energy strategies, should integrate relevant SOE-sector actions—</w:t>
      </w:r>
      <w:r w:rsidRPr="00CE791B">
        <w:rPr>
          <w:rFonts w:cstheme="minorHAnsi"/>
          <w:bCs/>
          <w:iCs/>
        </w:rPr>
        <w:t>including the integration of SOEs in the climate-relevant national implementation plans.</w:t>
      </w:r>
    </w:p>
    <w:p w14:paraId="56E66623" w14:textId="77777777" w:rsidR="00FA2740" w:rsidRPr="00CE791B" w:rsidRDefault="00FA2740" w:rsidP="00845D5C">
      <w:pPr>
        <w:pStyle w:val="NoSpacing"/>
        <w:jc w:val="both"/>
        <w:rPr>
          <w:rFonts w:cstheme="minorHAnsi"/>
          <w:bCs/>
          <w:iCs/>
        </w:rPr>
      </w:pPr>
    </w:p>
    <w:p w14:paraId="67057636" w14:textId="77425542" w:rsidR="00DE7A07" w:rsidRPr="00CE791B" w:rsidRDefault="00DE7A07" w:rsidP="00845D5C">
      <w:pPr>
        <w:pStyle w:val="NoSpacing"/>
        <w:jc w:val="both"/>
        <w:rPr>
          <w:rFonts w:cstheme="minorHAnsi"/>
          <w:spacing w:val="8"/>
        </w:rPr>
      </w:pPr>
      <w:r w:rsidRPr="00CE791B">
        <w:rPr>
          <w:rFonts w:cstheme="minorHAnsi"/>
          <w:bCs/>
          <w:iCs/>
        </w:rPr>
        <w:t>At the SOE-level, reforms could include hiring expertise at the board level and adopting net-zero business strategies</w:t>
      </w:r>
      <w:r w:rsidR="00C91BD0" w:rsidRPr="00CE791B">
        <w:rPr>
          <w:rFonts w:cstheme="minorHAnsi"/>
          <w:bCs/>
          <w:iCs/>
        </w:rPr>
        <w:t xml:space="preserve"> with an emphasis on CSR accountability</w:t>
      </w:r>
      <w:r w:rsidR="00F25B6F" w:rsidRPr="00CE791B">
        <w:rPr>
          <w:rFonts w:cstheme="minorHAnsi"/>
          <w:bCs/>
          <w:iCs/>
        </w:rPr>
        <w:t>,</w:t>
      </w:r>
      <w:r w:rsidR="00825D87" w:rsidRPr="00CE791B">
        <w:rPr>
          <w:rFonts w:cstheme="minorHAnsi"/>
          <w:bCs/>
          <w:iCs/>
        </w:rPr>
        <w:t xml:space="preserve"> (</w:t>
      </w:r>
      <w:r w:rsidR="00F25B6F" w:rsidRPr="00CE791B">
        <w:rPr>
          <w:rFonts w:cstheme="minorHAnsi"/>
          <w:bCs/>
          <w:iCs/>
        </w:rPr>
        <w:t>which</w:t>
      </w:r>
      <w:r w:rsidR="00825D87" w:rsidRPr="00CE791B">
        <w:rPr>
          <w:rFonts w:cstheme="minorHAnsi"/>
          <w:bCs/>
          <w:iCs/>
        </w:rPr>
        <w:t xml:space="preserve"> could also be </w:t>
      </w:r>
      <w:r w:rsidR="0096049D" w:rsidRPr="00CE791B">
        <w:rPr>
          <w:rFonts w:cstheme="minorHAnsi"/>
          <w:bCs/>
          <w:iCs/>
        </w:rPr>
        <w:t>specified in state ownership policies)</w:t>
      </w:r>
      <w:r w:rsidRPr="00CE791B">
        <w:rPr>
          <w:rFonts w:cstheme="minorHAnsi"/>
          <w:bCs/>
          <w:iCs/>
        </w:rPr>
        <w:t xml:space="preserve">. </w:t>
      </w:r>
      <w:r w:rsidRPr="00CE791B">
        <w:rPr>
          <w:rFonts w:eastAsia="Times New Roman" w:cstheme="minorHAnsi"/>
          <w:bCs/>
          <w:iCs/>
          <w:spacing w:val="8"/>
          <w:shd w:val="clear" w:color="auto" w:fill="FFFFFF"/>
        </w:rPr>
        <w:t>Efforts</w:t>
      </w:r>
      <w:r w:rsidRPr="00CE791B">
        <w:rPr>
          <w:rFonts w:eastAsia="Times New Roman" w:cstheme="minorHAnsi"/>
          <w:spacing w:val="8"/>
          <w:shd w:val="clear" w:color="auto" w:fill="FFFFFF"/>
        </w:rPr>
        <w:t xml:space="preserve"> by SOEs to align with national climate action strategies include:  i) ensuring managers and directors are versed in climate issues and appoint board members with relevant expertise and technological skills;</w:t>
      </w:r>
      <w:r w:rsidR="00D45C6B" w:rsidRPr="00CE791B">
        <w:rPr>
          <w:rFonts w:eastAsia="Times New Roman" w:cstheme="minorHAnsi"/>
          <w:spacing w:val="8"/>
          <w:shd w:val="clear" w:color="auto" w:fill="FFFFFF"/>
        </w:rPr>
        <w:t xml:space="preserve"> </w:t>
      </w:r>
      <w:r w:rsidRPr="00CE791B">
        <w:rPr>
          <w:rFonts w:eastAsia="Times New Roman" w:cstheme="minorHAnsi"/>
          <w:spacing w:val="8"/>
          <w:shd w:val="clear" w:color="auto" w:fill="FFFFFF"/>
        </w:rPr>
        <w:t xml:space="preserve"> and</w:t>
      </w:r>
      <w:r w:rsidR="00D45C6B" w:rsidRPr="00CE791B">
        <w:rPr>
          <w:rFonts w:eastAsia="Times New Roman" w:cstheme="minorHAnsi"/>
          <w:spacing w:val="8"/>
          <w:shd w:val="clear" w:color="auto" w:fill="FFFFFF"/>
        </w:rPr>
        <w:t>,</w:t>
      </w:r>
      <w:r w:rsidRPr="00CE791B">
        <w:rPr>
          <w:rFonts w:eastAsia="Times New Roman" w:cstheme="minorHAnsi"/>
          <w:spacing w:val="8"/>
          <w:shd w:val="clear" w:color="auto" w:fill="FFFFFF"/>
        </w:rPr>
        <w:t xml:space="preserve"> ii) developing climate-aware business strategies that </w:t>
      </w:r>
      <w:r w:rsidR="00C91BD0" w:rsidRPr="00CE791B">
        <w:rPr>
          <w:rFonts w:eastAsia="Times New Roman" w:cstheme="minorHAnsi"/>
          <w:spacing w:val="8"/>
          <w:shd w:val="clear" w:color="auto" w:fill="FFFFFF"/>
        </w:rPr>
        <w:t xml:space="preserve">include explicit targets for </w:t>
      </w:r>
      <w:r w:rsidRPr="00CE791B">
        <w:rPr>
          <w:rFonts w:eastAsia="Times New Roman" w:cstheme="minorHAnsi"/>
          <w:spacing w:val="8"/>
          <w:shd w:val="clear" w:color="auto" w:fill="FFFFFF"/>
        </w:rPr>
        <w:t>mitigation</w:t>
      </w:r>
      <w:r w:rsidR="00614BE7" w:rsidRPr="00CE791B">
        <w:rPr>
          <w:rFonts w:eastAsia="Times New Roman" w:cstheme="minorHAnsi"/>
          <w:spacing w:val="8"/>
          <w:shd w:val="clear" w:color="auto" w:fill="FFFFFF"/>
        </w:rPr>
        <w:t>, diversification,</w:t>
      </w:r>
      <w:r w:rsidRPr="00CE791B">
        <w:rPr>
          <w:rFonts w:eastAsia="Times New Roman" w:cstheme="minorHAnsi"/>
          <w:spacing w:val="8"/>
          <w:shd w:val="clear" w:color="auto" w:fill="FFFFFF"/>
        </w:rPr>
        <w:t xml:space="preserve"> and adaptation. </w:t>
      </w:r>
      <w:r w:rsidR="00614BE7" w:rsidRPr="00CE791B">
        <w:rPr>
          <w:rFonts w:eastAsia="Times New Roman" w:cstheme="minorHAnsi"/>
          <w:spacing w:val="8"/>
          <w:shd w:val="clear" w:color="auto" w:fill="FFFFFF"/>
        </w:rPr>
        <w:t>Climate aware business strategies</w:t>
      </w:r>
      <w:r w:rsidRPr="00CE791B">
        <w:rPr>
          <w:rFonts w:eastAsia="Times New Roman" w:cstheme="minorHAnsi"/>
          <w:spacing w:val="8"/>
          <w:shd w:val="clear" w:color="auto" w:fill="FFFFFF"/>
        </w:rPr>
        <w:t xml:space="preserve"> would include plans to retire and repurpose carbon-intensive assets, while building resilience against operational disruptions and physical losses due to climate</w:t>
      </w:r>
      <w:r w:rsidR="00DE5B4E" w:rsidRPr="00CE791B">
        <w:rPr>
          <w:rFonts w:eastAsia="Times New Roman" w:cstheme="minorHAnsi"/>
          <w:spacing w:val="8"/>
          <w:shd w:val="clear" w:color="auto" w:fill="FFFFFF"/>
        </w:rPr>
        <w:t xml:space="preserve"> h</w:t>
      </w:r>
      <w:r w:rsidRPr="00CE791B">
        <w:rPr>
          <w:rFonts w:eastAsia="Times New Roman" w:cstheme="minorHAnsi"/>
          <w:spacing w:val="8"/>
          <w:shd w:val="clear" w:color="auto" w:fill="FFFFFF"/>
        </w:rPr>
        <w:t>azards.</w:t>
      </w:r>
      <w:r w:rsidR="00DE5B4E" w:rsidRPr="00CE791B">
        <w:rPr>
          <w:rFonts w:eastAsia="Times New Roman" w:cstheme="minorHAnsi"/>
          <w:spacing w:val="8"/>
          <w:shd w:val="clear" w:color="auto" w:fill="FFFFFF"/>
        </w:rPr>
        <w:t xml:space="preserve"> </w:t>
      </w:r>
      <w:r w:rsidRPr="00CE791B">
        <w:rPr>
          <w:rFonts w:eastAsia="Times New Roman" w:cstheme="minorHAnsi"/>
          <w:spacing w:val="8"/>
          <w:shd w:val="clear" w:color="auto" w:fill="FFFFFF"/>
        </w:rPr>
        <w:t>Diversification would include investing in new low-carbon technologies and businesses, pursuing M&amp;A opportunities, and scaling up the use of nature-based climate solutions.</w:t>
      </w:r>
      <w:r w:rsidRPr="00CE791B">
        <w:rPr>
          <w:rFonts w:cstheme="minorHAnsi"/>
          <w:b/>
          <w:bCs/>
          <w:iCs/>
        </w:rPr>
        <w:t xml:space="preserve"> </w:t>
      </w:r>
      <w:r w:rsidRPr="00CE791B">
        <w:rPr>
          <w:rFonts w:cstheme="minorHAnsi"/>
          <w:bCs/>
          <w:iCs/>
        </w:rPr>
        <w:t xml:space="preserve">For financial institutions this would include capital-providers divesting from financing carbon-intensive activities. </w:t>
      </w:r>
      <w:r w:rsidRPr="00CE791B">
        <w:rPr>
          <w:rFonts w:cstheme="minorHAnsi"/>
          <w:spacing w:val="8"/>
        </w:rPr>
        <w:t>SOE reforms would also include coordination with stakeholders to inform net-zero strategies, and shar</w:t>
      </w:r>
      <w:r w:rsidR="00AF10E6" w:rsidRPr="00CE791B">
        <w:rPr>
          <w:rFonts w:cstheme="minorHAnsi"/>
          <w:spacing w:val="8"/>
        </w:rPr>
        <w:t>ing</w:t>
      </w:r>
      <w:r w:rsidRPr="00CE791B">
        <w:rPr>
          <w:rFonts w:cstheme="minorHAnsi"/>
          <w:spacing w:val="8"/>
        </w:rPr>
        <w:t xml:space="preserve"> business implementation plans to build buy-in.  </w:t>
      </w:r>
    </w:p>
    <w:p w14:paraId="5794DF0A" w14:textId="77777777" w:rsidR="00DE7A07" w:rsidRPr="00CE791B" w:rsidRDefault="00DE7A07" w:rsidP="00845D5C">
      <w:pPr>
        <w:pStyle w:val="ListParagraph"/>
        <w:shd w:val="clear" w:color="auto" w:fill="FFFFFF"/>
        <w:spacing w:after="0" w:line="240" w:lineRule="auto"/>
        <w:ind w:left="0"/>
        <w:jc w:val="both"/>
        <w:rPr>
          <w:rFonts w:cstheme="minorHAnsi"/>
          <w:b/>
          <w:bCs/>
          <w:i/>
          <w:iCs/>
        </w:rPr>
      </w:pPr>
    </w:p>
    <w:p w14:paraId="053D7248" w14:textId="303CFEE7" w:rsidR="00DE7A07" w:rsidRPr="00CE791B" w:rsidRDefault="00DE7A07" w:rsidP="00845D5C">
      <w:pPr>
        <w:pStyle w:val="ListParagraph"/>
        <w:shd w:val="clear" w:color="auto" w:fill="FFFFFF"/>
        <w:spacing w:after="0" w:line="240" w:lineRule="auto"/>
        <w:ind w:left="0"/>
        <w:jc w:val="both"/>
        <w:rPr>
          <w:rFonts w:cstheme="minorHAnsi"/>
        </w:rPr>
      </w:pPr>
      <w:r w:rsidRPr="00CE791B">
        <w:rPr>
          <w:rFonts w:cstheme="minorHAnsi"/>
        </w:rPr>
        <w:t>For consistency and efficacy, governments would want to extend its climate-strategies for SOEs with international activities to apply to foreign holdings</w:t>
      </w:r>
      <w:r w:rsidR="001E37A4" w:rsidRPr="00CE791B">
        <w:rPr>
          <w:rFonts w:cstheme="minorHAnsi"/>
        </w:rPr>
        <w:t xml:space="preserve">, particularly given </w:t>
      </w:r>
      <w:r w:rsidR="00FE1174" w:rsidRPr="00CE791B">
        <w:rPr>
          <w:rFonts w:cstheme="minorHAnsi"/>
        </w:rPr>
        <w:t xml:space="preserve">the internationalization of SOEs in </w:t>
      </w:r>
      <w:r w:rsidR="00FE1174" w:rsidRPr="00CE791B">
        <w:rPr>
          <w:rFonts w:cstheme="minorHAnsi"/>
        </w:rPr>
        <w:lastRenderedPageBreak/>
        <w:t>recent years</w:t>
      </w:r>
      <w:r w:rsidRPr="00CE791B">
        <w:rPr>
          <w:rFonts w:cstheme="minorHAnsi"/>
        </w:rPr>
        <w:t xml:space="preserve">. China’s SOE sector is an important example, as its SOEs are often engaged in large BRI projects that are underway in many developing countries, where adaptation needs are particularly high. During the period </w:t>
      </w:r>
      <w:r w:rsidR="00EE2C11" w:rsidRPr="00CE791B">
        <w:rPr>
          <w:rFonts w:cstheme="minorHAnsi"/>
        </w:rPr>
        <w:t xml:space="preserve">2001 </w:t>
      </w:r>
      <w:r w:rsidRPr="00CE791B">
        <w:rPr>
          <w:rFonts w:cstheme="minorHAnsi"/>
        </w:rPr>
        <w:t xml:space="preserve">and </w:t>
      </w:r>
      <w:r w:rsidR="00EE2C11" w:rsidRPr="00CE791B">
        <w:rPr>
          <w:rFonts w:cstheme="minorHAnsi"/>
        </w:rPr>
        <w:t>2020</w:t>
      </w:r>
      <w:r w:rsidRPr="00CE791B">
        <w:rPr>
          <w:rFonts w:cstheme="minorHAnsi"/>
        </w:rPr>
        <w:t>, overseas lending by the China Development Bank and Export-Import Bank of China has been primarily directed to infrastructure projects for fossil fuels</w:t>
      </w:r>
      <w:r w:rsidR="007D7B1D" w:rsidRPr="00CE791B">
        <w:rPr>
          <w:rFonts w:cstheme="minorHAnsi"/>
        </w:rPr>
        <w:t xml:space="preserve"> (</w:t>
      </w:r>
      <w:r w:rsidR="00B158FD" w:rsidRPr="00CE791B">
        <w:rPr>
          <w:rFonts w:cstheme="minorHAnsi"/>
        </w:rPr>
        <w:t>74% of</w:t>
      </w:r>
      <w:r w:rsidR="00EE2C11" w:rsidRPr="00CE791B">
        <w:rPr>
          <w:rFonts w:cstheme="minorHAnsi"/>
        </w:rPr>
        <w:t xml:space="preserve"> </w:t>
      </w:r>
      <w:r w:rsidR="009F091A" w:rsidRPr="00CE791B">
        <w:rPr>
          <w:rFonts w:cstheme="minorHAnsi"/>
        </w:rPr>
        <w:t xml:space="preserve">fuel </w:t>
      </w:r>
      <w:r w:rsidR="00EE2C11" w:rsidRPr="00CE791B">
        <w:rPr>
          <w:rFonts w:cstheme="minorHAnsi"/>
        </w:rPr>
        <w:t>specified investments)</w:t>
      </w:r>
      <w:r w:rsidR="009D09A6" w:rsidRPr="00CE791B">
        <w:rPr>
          <w:rFonts w:cstheme="minorHAnsi"/>
        </w:rPr>
        <w:t>, while renewables account for a tiny fraction (1%</w:t>
      </w:r>
      <w:r w:rsidR="008313BB" w:rsidRPr="00CE791B">
        <w:rPr>
          <w:rFonts w:cstheme="minorHAnsi"/>
        </w:rPr>
        <w:t>)</w:t>
      </w:r>
      <w:r w:rsidRPr="00CE791B">
        <w:rPr>
          <w:rFonts w:cstheme="minorHAnsi"/>
        </w:rPr>
        <w:t>.</w:t>
      </w:r>
      <w:r w:rsidRPr="00CE791B">
        <w:rPr>
          <w:rStyle w:val="FootnoteReference"/>
          <w:rFonts w:cstheme="minorHAnsi"/>
        </w:rPr>
        <w:footnoteReference w:id="58"/>
      </w:r>
      <w:r w:rsidRPr="00CE791B">
        <w:rPr>
          <w:rFonts w:cstheme="minorHAnsi"/>
        </w:rPr>
        <w:t xml:space="preserve"> Aside from </w:t>
      </w:r>
      <w:r w:rsidR="007A5750" w:rsidRPr="00CE791B">
        <w:rPr>
          <w:rFonts w:cstheme="minorHAnsi"/>
        </w:rPr>
        <w:t>the risks associate</w:t>
      </w:r>
      <w:r w:rsidR="006A6CBA" w:rsidRPr="00CE791B">
        <w:rPr>
          <w:rFonts w:cstheme="minorHAnsi"/>
        </w:rPr>
        <w:t>d</w:t>
      </w:r>
      <w:r w:rsidR="007A5750" w:rsidRPr="00CE791B">
        <w:rPr>
          <w:rFonts w:cstheme="minorHAnsi"/>
        </w:rPr>
        <w:t xml:space="preserve"> with locking in</w:t>
      </w:r>
      <w:r w:rsidRPr="00CE791B">
        <w:rPr>
          <w:rFonts w:cstheme="minorHAnsi"/>
        </w:rPr>
        <w:t xml:space="preserve">to a more carbon-intensive path </w:t>
      </w:r>
      <w:r w:rsidR="006A6CBA" w:rsidRPr="00CE791B">
        <w:rPr>
          <w:rFonts w:cstheme="minorHAnsi"/>
        </w:rPr>
        <w:t xml:space="preserve">for </w:t>
      </w:r>
      <w:r w:rsidRPr="00CE791B">
        <w:rPr>
          <w:rFonts w:cstheme="minorHAnsi"/>
        </w:rPr>
        <w:t>the recipient countries, with growing ambition to achieve the Paris 2030 and SDG targets, there is an increased risk of stranded assets and poor investment returns.</w:t>
      </w:r>
      <w:r w:rsidR="000544E3" w:rsidRPr="00CE791B">
        <w:rPr>
          <w:rFonts w:cstheme="minorHAnsi"/>
        </w:rPr>
        <w:t xml:space="preserve"> </w:t>
      </w:r>
      <w:r w:rsidR="008313BB" w:rsidRPr="00CE791B">
        <w:rPr>
          <w:rFonts w:cstheme="minorHAnsi"/>
        </w:rPr>
        <w:t>Hydrocarbon and nuclear power account fo</w:t>
      </w:r>
      <w:r w:rsidR="00BD17DC" w:rsidRPr="00CE791B">
        <w:rPr>
          <w:rFonts w:cstheme="minorHAnsi"/>
        </w:rPr>
        <w:t xml:space="preserve">r the balance of investments (25%), </w:t>
      </w:r>
      <w:r w:rsidR="00BD4A79" w:rsidRPr="00CE791B">
        <w:rPr>
          <w:rFonts w:cstheme="minorHAnsi"/>
        </w:rPr>
        <w:t>which are</w:t>
      </w:r>
      <w:r w:rsidR="00BD17DC" w:rsidRPr="00CE791B">
        <w:rPr>
          <w:rFonts w:cstheme="minorHAnsi"/>
        </w:rPr>
        <w:t xml:space="preserve"> </w:t>
      </w:r>
      <w:r w:rsidR="00051802" w:rsidRPr="00CE791B">
        <w:rPr>
          <w:rFonts w:cstheme="minorHAnsi"/>
        </w:rPr>
        <w:t xml:space="preserve">more </w:t>
      </w:r>
      <w:r w:rsidR="009E491E" w:rsidRPr="00CE791B">
        <w:rPr>
          <w:rFonts w:cstheme="minorHAnsi"/>
        </w:rPr>
        <w:t>carbon-</w:t>
      </w:r>
      <w:r w:rsidR="00051802" w:rsidRPr="00CE791B">
        <w:rPr>
          <w:rFonts w:cstheme="minorHAnsi"/>
        </w:rPr>
        <w:t xml:space="preserve">friendly than </w:t>
      </w:r>
      <w:r w:rsidR="00E310C2" w:rsidRPr="00CE791B">
        <w:rPr>
          <w:rFonts w:cstheme="minorHAnsi"/>
        </w:rPr>
        <w:t>fossil fuels</w:t>
      </w:r>
      <w:r w:rsidR="00E626B1" w:rsidRPr="00CE791B">
        <w:rPr>
          <w:rFonts w:cstheme="minorHAnsi"/>
        </w:rPr>
        <w:t xml:space="preserve">. </w:t>
      </w:r>
    </w:p>
    <w:p w14:paraId="32C6E8EF" w14:textId="4260A1E2" w:rsidR="00960A7D" w:rsidRPr="00CE791B" w:rsidRDefault="00960A7D" w:rsidP="00845D5C">
      <w:pPr>
        <w:pStyle w:val="ListParagraph"/>
        <w:shd w:val="clear" w:color="auto" w:fill="FFFFFF"/>
        <w:spacing w:after="0" w:line="240" w:lineRule="auto"/>
        <w:ind w:left="0"/>
        <w:jc w:val="both"/>
        <w:rPr>
          <w:rFonts w:cstheme="minorHAnsi"/>
        </w:rPr>
      </w:pPr>
    </w:p>
    <w:p w14:paraId="102F3279" w14:textId="77777777" w:rsidR="004D7995" w:rsidRPr="00CE791B" w:rsidRDefault="004D7995" w:rsidP="00845D5C">
      <w:pPr>
        <w:pStyle w:val="ListParagraph"/>
        <w:shd w:val="clear" w:color="auto" w:fill="FFFFFF"/>
        <w:spacing w:after="0" w:line="240" w:lineRule="auto"/>
        <w:ind w:left="0"/>
        <w:jc w:val="both"/>
        <w:rPr>
          <w:rFonts w:cstheme="minorHAnsi"/>
        </w:rPr>
      </w:pPr>
    </w:p>
    <w:p w14:paraId="18EC60EF" w14:textId="244B261A" w:rsidR="00582679" w:rsidRPr="00845D5C" w:rsidRDefault="00582679" w:rsidP="00F46F36">
      <w:pPr>
        <w:pStyle w:val="NoSpacing"/>
        <w:keepNext/>
        <w:keepLines/>
        <w:numPr>
          <w:ilvl w:val="0"/>
          <w:numId w:val="21"/>
        </w:numPr>
        <w:jc w:val="both"/>
        <w:rPr>
          <w:rFonts w:cstheme="minorHAnsi"/>
          <w:b/>
          <w:iCs/>
          <w:color w:val="0070C0"/>
        </w:rPr>
      </w:pPr>
      <w:r>
        <w:rPr>
          <w:rFonts w:cstheme="minorHAnsi"/>
          <w:b/>
          <w:iCs/>
          <w:color w:val="0070C0"/>
        </w:rPr>
        <w:t>Implications for policy</w:t>
      </w:r>
    </w:p>
    <w:p w14:paraId="68E0F38D" w14:textId="77777777" w:rsidR="00582679" w:rsidRDefault="00582679" w:rsidP="00845D5C">
      <w:pPr>
        <w:pStyle w:val="NoSpacing"/>
        <w:keepNext/>
        <w:keepLines/>
        <w:jc w:val="both"/>
        <w:rPr>
          <w:rFonts w:cstheme="minorHAnsi"/>
          <w:b/>
          <w:iCs/>
          <w:color w:val="0070C0"/>
        </w:rPr>
      </w:pPr>
    </w:p>
    <w:p w14:paraId="30C3D7B7" w14:textId="5F259409" w:rsidR="00407A45" w:rsidRPr="00845D5C" w:rsidRDefault="00AD7906" w:rsidP="00845D5C">
      <w:pPr>
        <w:pStyle w:val="ListParagraph"/>
        <w:shd w:val="clear" w:color="auto" w:fill="FFFFFF"/>
        <w:spacing w:after="0" w:line="240" w:lineRule="auto"/>
        <w:ind w:left="0"/>
        <w:contextualSpacing w:val="0"/>
        <w:jc w:val="both"/>
        <w:rPr>
          <w:rFonts w:cstheme="minorHAnsi"/>
          <w:bCs/>
          <w:iCs/>
        </w:rPr>
      </w:pPr>
      <w:r w:rsidRPr="00845D5C">
        <w:rPr>
          <w:rFonts w:cstheme="minorHAnsi"/>
        </w:rPr>
        <w:t xml:space="preserve">This </w:t>
      </w:r>
      <w:r w:rsidR="0041785F" w:rsidRPr="00845D5C">
        <w:rPr>
          <w:rFonts w:cstheme="minorHAnsi"/>
        </w:rPr>
        <w:t>N</w:t>
      </w:r>
      <w:r w:rsidRPr="00845D5C">
        <w:rPr>
          <w:rFonts w:cstheme="minorHAnsi"/>
        </w:rPr>
        <w:t xml:space="preserve">ote is an initial effort to identify a framework for countries to integrate the climate agenda into their SOE sector policies. </w:t>
      </w:r>
      <w:r w:rsidR="00C75144" w:rsidRPr="00845D5C">
        <w:rPr>
          <w:rFonts w:cstheme="minorHAnsi"/>
        </w:rPr>
        <w:t xml:space="preserve">Multiple factors </w:t>
      </w:r>
      <w:r w:rsidR="00E256FE" w:rsidRPr="00845D5C">
        <w:rPr>
          <w:rFonts w:cstheme="minorHAnsi"/>
        </w:rPr>
        <w:t xml:space="preserve">point to </w:t>
      </w:r>
      <w:r w:rsidR="00D70D6F" w:rsidRPr="00845D5C">
        <w:rPr>
          <w:rFonts w:cstheme="minorHAnsi"/>
        </w:rPr>
        <w:t>a</w:t>
      </w:r>
      <w:r w:rsidR="00C75144" w:rsidRPr="00845D5C">
        <w:rPr>
          <w:rFonts w:cstheme="minorHAnsi"/>
        </w:rPr>
        <w:t xml:space="preserve"> critical role for SOEs to play in achieving the Paris Agreement targets</w:t>
      </w:r>
      <w:r w:rsidR="00D70D6F" w:rsidRPr="00845D5C">
        <w:rPr>
          <w:rFonts w:cstheme="minorHAnsi"/>
        </w:rPr>
        <w:t>.</w:t>
      </w:r>
      <w:r w:rsidR="00C75144" w:rsidRPr="00845D5C">
        <w:rPr>
          <w:rFonts w:cstheme="minorHAnsi"/>
        </w:rPr>
        <w:t xml:space="preserve"> </w:t>
      </w:r>
      <w:r w:rsidR="00D70D6F" w:rsidRPr="00845D5C">
        <w:rPr>
          <w:rFonts w:cstheme="minorHAnsi"/>
        </w:rPr>
        <w:t>T</w:t>
      </w:r>
      <w:r w:rsidR="00C75144" w:rsidRPr="00845D5C">
        <w:rPr>
          <w:rFonts w:cstheme="minorHAnsi"/>
        </w:rPr>
        <w:t>he scope for such reforms is extensive and multi-</w:t>
      </w:r>
      <w:r w:rsidR="00EE4F41" w:rsidRPr="00845D5C">
        <w:rPr>
          <w:rFonts w:cstheme="minorHAnsi"/>
        </w:rPr>
        <w:t>dimensional</w:t>
      </w:r>
      <w:r w:rsidR="00C75144" w:rsidRPr="00845D5C">
        <w:rPr>
          <w:rFonts w:cstheme="minorHAnsi"/>
        </w:rPr>
        <w:t>.</w:t>
      </w:r>
      <w:r w:rsidR="00C75144" w:rsidRPr="00845D5C">
        <w:rPr>
          <w:rFonts w:cstheme="minorHAnsi"/>
          <w:bCs/>
          <w:iCs/>
        </w:rPr>
        <w:t xml:space="preserve"> </w:t>
      </w:r>
      <w:r w:rsidR="00407A45" w:rsidRPr="00845D5C">
        <w:rPr>
          <w:rFonts w:cstheme="minorHAnsi"/>
          <w:bCs/>
          <w:iCs/>
        </w:rPr>
        <w:t xml:space="preserve">Given the diversity of portfolios, SOE climate-action reforms will need to take into account country-specific </w:t>
      </w:r>
      <w:r w:rsidR="00F10625" w:rsidRPr="00845D5C">
        <w:rPr>
          <w:rFonts w:cstheme="minorHAnsi"/>
          <w:bCs/>
          <w:iCs/>
        </w:rPr>
        <w:t>circumstances</w:t>
      </w:r>
      <w:r w:rsidR="00407A45" w:rsidRPr="00845D5C">
        <w:rPr>
          <w:rFonts w:cstheme="minorHAnsi"/>
          <w:bCs/>
          <w:iCs/>
        </w:rPr>
        <w:t xml:space="preserve">, </w:t>
      </w:r>
      <w:r w:rsidR="00E75717" w:rsidRPr="00845D5C">
        <w:rPr>
          <w:rFonts w:cstheme="minorHAnsi"/>
          <w:bCs/>
          <w:iCs/>
        </w:rPr>
        <w:t>including</w:t>
      </w:r>
      <w:r w:rsidR="00407A45" w:rsidRPr="00845D5C">
        <w:rPr>
          <w:rFonts w:cstheme="minorHAnsi"/>
          <w:bCs/>
          <w:iCs/>
        </w:rPr>
        <w:t xml:space="preserve">: </w:t>
      </w:r>
      <w:r w:rsidR="003837D7">
        <w:rPr>
          <w:rFonts w:cstheme="minorHAnsi"/>
          <w:bCs/>
          <w:iCs/>
        </w:rPr>
        <w:t xml:space="preserve"> </w:t>
      </w:r>
      <w:r w:rsidR="00407A45" w:rsidRPr="00845D5C">
        <w:rPr>
          <w:rFonts w:cstheme="minorHAnsi"/>
          <w:bCs/>
          <w:iCs/>
        </w:rPr>
        <w:t>(a) sector and market factors, including PSD and development mandates; (b) relevant climate-related factors for the country and enterprises; (c) national climate mitigation and adaptation commitments and plans;  and, (d) the political environment and stakeholder motivation to pursue reforms. The approach of reforms will likely vary</w:t>
      </w:r>
      <w:r w:rsidR="00E75717" w:rsidRPr="00845D5C">
        <w:rPr>
          <w:rFonts w:cstheme="minorHAnsi"/>
          <w:bCs/>
          <w:iCs/>
        </w:rPr>
        <w:t>,</w:t>
      </w:r>
      <w:r w:rsidR="00407A45" w:rsidRPr="00845D5C">
        <w:rPr>
          <w:rFonts w:cstheme="minorHAnsi"/>
          <w:bCs/>
          <w:iCs/>
        </w:rPr>
        <w:t xml:space="preserve"> depending on the focus of climate action reform objectives for a given SOE industry, i.e., adaptation, mitigation, or just-transition, or a combination thereof, and </w:t>
      </w:r>
      <w:r w:rsidR="00E75717" w:rsidRPr="00845D5C">
        <w:rPr>
          <w:rFonts w:cstheme="minorHAnsi"/>
          <w:bCs/>
          <w:iCs/>
        </w:rPr>
        <w:t xml:space="preserve">depending </w:t>
      </w:r>
      <w:r w:rsidR="00407A45" w:rsidRPr="00845D5C">
        <w:rPr>
          <w:rFonts w:cstheme="minorHAnsi"/>
          <w:bCs/>
          <w:iCs/>
        </w:rPr>
        <w:t>on the scope, i.e., broad-based reforms (e.g., state ownership policy reforms), a specific industry or set of industries (e.g., infrastructure, energy, and agriculture), or cross-sectoral issues (e.g., institutional reforms).</w:t>
      </w:r>
    </w:p>
    <w:p w14:paraId="75108ABD" w14:textId="77777777" w:rsidR="00407A45" w:rsidRPr="00845D5C" w:rsidRDefault="00407A45" w:rsidP="00845D5C">
      <w:pPr>
        <w:pStyle w:val="ListParagraph"/>
        <w:shd w:val="clear" w:color="auto" w:fill="FFFFFF"/>
        <w:spacing w:after="0" w:line="240" w:lineRule="auto"/>
        <w:ind w:left="0"/>
        <w:contextualSpacing w:val="0"/>
        <w:jc w:val="both"/>
        <w:rPr>
          <w:rFonts w:cstheme="minorHAnsi"/>
        </w:rPr>
      </w:pPr>
    </w:p>
    <w:p w14:paraId="3CD7A53D" w14:textId="03E16A55" w:rsidR="00960A7D" w:rsidRPr="00845D5C" w:rsidRDefault="00960A7D" w:rsidP="00845D5C">
      <w:pPr>
        <w:pStyle w:val="NoSpacing"/>
        <w:jc w:val="both"/>
        <w:rPr>
          <w:rFonts w:cstheme="minorHAnsi"/>
          <w:bCs/>
          <w:iCs/>
        </w:rPr>
      </w:pPr>
      <w:r w:rsidRPr="00845D5C">
        <w:rPr>
          <w:rFonts w:cstheme="minorHAnsi"/>
          <w:bCs/>
          <w:iCs/>
        </w:rPr>
        <w:t>While there is great diversity of SOE-sectors across countries, there are a number of common main steps</w:t>
      </w:r>
      <w:r w:rsidR="00EA0D4A" w:rsidRPr="00845D5C">
        <w:rPr>
          <w:rFonts w:cstheme="minorHAnsi"/>
          <w:bCs/>
          <w:iCs/>
        </w:rPr>
        <w:t xml:space="preserve"> and possible entry points</w:t>
      </w:r>
      <w:r w:rsidRPr="00845D5C">
        <w:rPr>
          <w:rFonts w:cstheme="minorHAnsi"/>
          <w:bCs/>
          <w:iCs/>
        </w:rPr>
        <w:t xml:space="preserve"> for countries to adopt climate action policies, including:  (i) conducting a climate-informed state ownership policy assessment;  (ii) conducting a climate-diagnostic of the SOE sector portfolio;  (iii) formulating a climate-strategy and implementation plan for the SOE sector;  and, (iv) determining monitoring and evaluation</w:t>
      </w:r>
      <w:r w:rsidR="00EE4F41" w:rsidRPr="00845D5C">
        <w:rPr>
          <w:rFonts w:cstheme="minorHAnsi"/>
          <w:bCs/>
          <w:iCs/>
        </w:rPr>
        <w:t>,</w:t>
      </w:r>
      <w:r w:rsidRPr="00845D5C">
        <w:rPr>
          <w:rFonts w:cstheme="minorHAnsi"/>
          <w:bCs/>
          <w:iCs/>
        </w:rPr>
        <w:t xml:space="preserve"> and </w:t>
      </w:r>
      <w:r w:rsidR="00EE4F41" w:rsidRPr="00845D5C">
        <w:rPr>
          <w:rFonts w:cstheme="minorHAnsi"/>
          <w:bCs/>
          <w:iCs/>
        </w:rPr>
        <w:t xml:space="preserve">audit and </w:t>
      </w:r>
      <w:r w:rsidRPr="00845D5C">
        <w:rPr>
          <w:rFonts w:cstheme="minorHAnsi"/>
          <w:bCs/>
          <w:iCs/>
        </w:rPr>
        <w:t>disclosure requirements, including</w:t>
      </w:r>
      <w:r w:rsidR="006433B0" w:rsidRPr="00845D5C">
        <w:rPr>
          <w:rFonts w:cstheme="minorHAnsi"/>
          <w:bCs/>
          <w:iCs/>
        </w:rPr>
        <w:t xml:space="preserve"> for</w:t>
      </w:r>
      <w:r w:rsidRPr="00845D5C">
        <w:rPr>
          <w:rFonts w:cstheme="minorHAnsi"/>
          <w:bCs/>
          <w:iCs/>
        </w:rPr>
        <w:t xml:space="preserve"> regular climate assessment</w:t>
      </w:r>
      <w:r w:rsidR="00EE4F41" w:rsidRPr="00845D5C">
        <w:rPr>
          <w:rFonts w:cstheme="minorHAnsi"/>
          <w:bCs/>
          <w:iCs/>
        </w:rPr>
        <w:t>s</w:t>
      </w:r>
      <w:r w:rsidRPr="00845D5C">
        <w:rPr>
          <w:rFonts w:cstheme="minorHAnsi"/>
          <w:bCs/>
          <w:iCs/>
        </w:rPr>
        <w:t xml:space="preserve"> and diagnostic reviews. </w:t>
      </w:r>
    </w:p>
    <w:p w14:paraId="6701BAAC" w14:textId="77777777" w:rsidR="00407A45" w:rsidRPr="00845D5C" w:rsidRDefault="00407A45" w:rsidP="00845D5C">
      <w:pPr>
        <w:pStyle w:val="ListParagraph"/>
        <w:shd w:val="clear" w:color="auto" w:fill="FFFFFF"/>
        <w:spacing w:after="0" w:line="240" w:lineRule="auto"/>
        <w:ind w:left="0"/>
        <w:contextualSpacing w:val="0"/>
        <w:jc w:val="both"/>
        <w:rPr>
          <w:rFonts w:cstheme="minorHAnsi"/>
        </w:rPr>
      </w:pPr>
    </w:p>
    <w:p w14:paraId="17CB719E" w14:textId="77777777" w:rsidR="009C1E50" w:rsidRDefault="00960A7D" w:rsidP="00845D5C">
      <w:pPr>
        <w:pStyle w:val="ListParagraph"/>
        <w:shd w:val="clear" w:color="auto" w:fill="FFFFFF"/>
        <w:spacing w:after="0" w:line="240" w:lineRule="auto"/>
        <w:ind w:left="0"/>
        <w:contextualSpacing w:val="0"/>
        <w:jc w:val="both"/>
        <w:rPr>
          <w:rFonts w:cstheme="minorHAnsi"/>
        </w:rPr>
        <w:sectPr w:rsidR="009C1E50" w:rsidSect="00F46F3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845D5C">
        <w:rPr>
          <w:rFonts w:cstheme="minorHAnsi"/>
        </w:rPr>
        <w:t>Given the macro-criticality of climate change</w:t>
      </w:r>
      <w:r w:rsidR="00671D49" w:rsidRPr="00845D5C">
        <w:rPr>
          <w:rFonts w:cstheme="minorHAnsi"/>
        </w:rPr>
        <w:t xml:space="preserve"> and</w:t>
      </w:r>
      <w:r w:rsidR="007B1EC0" w:rsidRPr="00845D5C">
        <w:rPr>
          <w:rFonts w:cstheme="minorHAnsi"/>
        </w:rPr>
        <w:t xml:space="preserve"> </w:t>
      </w:r>
      <w:r w:rsidR="00FA6263" w:rsidRPr="00845D5C">
        <w:rPr>
          <w:rFonts w:cstheme="minorHAnsi"/>
        </w:rPr>
        <w:t>the</w:t>
      </w:r>
      <w:r w:rsidR="00671D49" w:rsidRPr="00845D5C">
        <w:rPr>
          <w:rFonts w:cstheme="minorHAnsi"/>
        </w:rPr>
        <w:t xml:space="preserve"> </w:t>
      </w:r>
      <w:r w:rsidR="00FA6263" w:rsidRPr="00845D5C">
        <w:rPr>
          <w:rFonts w:cstheme="minorHAnsi"/>
        </w:rPr>
        <w:t>central</w:t>
      </w:r>
      <w:r w:rsidR="00671D49" w:rsidRPr="00845D5C">
        <w:rPr>
          <w:rFonts w:cstheme="minorHAnsi"/>
        </w:rPr>
        <w:t xml:space="preserve"> role SOEs</w:t>
      </w:r>
      <w:r w:rsidR="00D85B32" w:rsidRPr="00845D5C">
        <w:rPr>
          <w:rFonts w:cstheme="minorHAnsi"/>
        </w:rPr>
        <w:t xml:space="preserve"> </w:t>
      </w:r>
      <w:r w:rsidR="00FA6263" w:rsidRPr="00845D5C">
        <w:rPr>
          <w:rFonts w:cstheme="minorHAnsi"/>
        </w:rPr>
        <w:t xml:space="preserve">have </w:t>
      </w:r>
      <w:r w:rsidR="00D85B32" w:rsidRPr="00845D5C">
        <w:rPr>
          <w:rFonts w:cstheme="minorHAnsi"/>
        </w:rPr>
        <w:t xml:space="preserve">in addressing </w:t>
      </w:r>
      <w:r w:rsidR="00EA5CF6">
        <w:rPr>
          <w:rFonts w:cstheme="minorHAnsi"/>
        </w:rPr>
        <w:t>mitigation and adaptation</w:t>
      </w:r>
      <w:r w:rsidR="00EA5CF6" w:rsidRPr="00845D5C">
        <w:rPr>
          <w:rFonts w:cstheme="minorHAnsi"/>
        </w:rPr>
        <w:t xml:space="preserve"> </w:t>
      </w:r>
      <w:r w:rsidR="005601C1" w:rsidRPr="00845D5C">
        <w:rPr>
          <w:rFonts w:cstheme="minorHAnsi"/>
        </w:rPr>
        <w:t>among many countries</w:t>
      </w:r>
      <w:r w:rsidRPr="00845D5C">
        <w:rPr>
          <w:rFonts w:cstheme="minorHAnsi"/>
        </w:rPr>
        <w:t xml:space="preserve">, </w:t>
      </w:r>
      <w:r w:rsidR="009E2017" w:rsidRPr="00845D5C">
        <w:rPr>
          <w:rFonts w:cstheme="minorHAnsi"/>
        </w:rPr>
        <w:t xml:space="preserve">particularly </w:t>
      </w:r>
      <w:r w:rsidR="004B2EF2" w:rsidRPr="00845D5C">
        <w:rPr>
          <w:rFonts w:cstheme="minorHAnsi"/>
        </w:rPr>
        <w:t xml:space="preserve">for LMICs, </w:t>
      </w:r>
      <w:r w:rsidRPr="00845D5C">
        <w:rPr>
          <w:rFonts w:cstheme="minorHAnsi"/>
        </w:rPr>
        <w:t xml:space="preserve">the topic merits further research. </w:t>
      </w:r>
      <w:r w:rsidR="00A51716" w:rsidRPr="00845D5C">
        <w:rPr>
          <w:rFonts w:cstheme="minorHAnsi"/>
        </w:rPr>
        <w:t xml:space="preserve">The scope </w:t>
      </w:r>
      <w:r w:rsidR="00F04722" w:rsidRPr="00845D5C">
        <w:rPr>
          <w:rFonts w:cstheme="minorHAnsi"/>
        </w:rPr>
        <w:t xml:space="preserve">for </w:t>
      </w:r>
      <w:r w:rsidR="00A51716" w:rsidRPr="00845D5C">
        <w:rPr>
          <w:rFonts w:cstheme="minorHAnsi"/>
        </w:rPr>
        <w:t xml:space="preserve">research is </w:t>
      </w:r>
      <w:r w:rsidR="00B04CFE" w:rsidRPr="00845D5C">
        <w:rPr>
          <w:rFonts w:cstheme="minorHAnsi"/>
        </w:rPr>
        <w:t xml:space="preserve">extensive, </w:t>
      </w:r>
      <w:r w:rsidR="007242C8" w:rsidRPr="00845D5C">
        <w:rPr>
          <w:rFonts w:cstheme="minorHAnsi"/>
        </w:rPr>
        <w:t xml:space="preserve">due </w:t>
      </w:r>
      <w:r w:rsidR="003270B9" w:rsidRPr="00845D5C">
        <w:rPr>
          <w:rFonts w:cstheme="minorHAnsi"/>
        </w:rPr>
        <w:t xml:space="preserve">both </w:t>
      </w:r>
      <w:r w:rsidR="007242C8" w:rsidRPr="00845D5C">
        <w:rPr>
          <w:rFonts w:cstheme="minorHAnsi"/>
        </w:rPr>
        <w:t>to</w:t>
      </w:r>
      <w:r w:rsidR="00B04CFE" w:rsidRPr="00845D5C">
        <w:rPr>
          <w:rFonts w:cstheme="minorHAnsi"/>
        </w:rPr>
        <w:t xml:space="preserve"> </w:t>
      </w:r>
      <w:r w:rsidR="009D2BBD" w:rsidRPr="00845D5C">
        <w:rPr>
          <w:rFonts w:cstheme="minorHAnsi"/>
        </w:rPr>
        <w:t>a dearth of literature</w:t>
      </w:r>
      <w:r w:rsidR="00A51716" w:rsidRPr="00845D5C">
        <w:rPr>
          <w:rFonts w:cstheme="minorHAnsi"/>
        </w:rPr>
        <w:t xml:space="preserve"> </w:t>
      </w:r>
      <w:r w:rsidR="007242C8" w:rsidRPr="00845D5C">
        <w:rPr>
          <w:rFonts w:cstheme="minorHAnsi"/>
        </w:rPr>
        <w:t xml:space="preserve">and </w:t>
      </w:r>
      <w:r w:rsidR="002F154E" w:rsidRPr="00845D5C">
        <w:rPr>
          <w:rFonts w:cstheme="minorHAnsi"/>
        </w:rPr>
        <w:t xml:space="preserve">the breadth of </w:t>
      </w:r>
      <w:r w:rsidR="005613DC" w:rsidRPr="00845D5C">
        <w:rPr>
          <w:rFonts w:cstheme="minorHAnsi"/>
        </w:rPr>
        <w:t>the topic</w:t>
      </w:r>
      <w:r w:rsidR="00B04CFE" w:rsidRPr="00845D5C">
        <w:rPr>
          <w:rFonts w:cstheme="minorHAnsi"/>
        </w:rPr>
        <w:t>.</w:t>
      </w:r>
      <w:r w:rsidR="00A51716" w:rsidRPr="00845D5C">
        <w:rPr>
          <w:rFonts w:cstheme="minorHAnsi"/>
        </w:rPr>
        <w:t xml:space="preserve"> </w:t>
      </w:r>
      <w:r w:rsidR="000313DF" w:rsidRPr="00845D5C">
        <w:rPr>
          <w:rFonts w:cstheme="minorHAnsi"/>
        </w:rPr>
        <w:t>A key challenge is identifying resilient and low-carbon transition pathways that balance competing near-, medium- and long-term considerations, i.e., that help SOEs in balancing multiple mandates and often with strained finances</w:t>
      </w:r>
      <w:r w:rsidR="009C1E50">
        <w:rPr>
          <w:rFonts w:cstheme="minorHAnsi"/>
        </w:rPr>
        <w:t>.</w:t>
      </w:r>
    </w:p>
    <w:p w14:paraId="2D70BBE3" w14:textId="4DD0D429" w:rsidR="008D507B" w:rsidRPr="00140499" w:rsidRDefault="008C4EDC" w:rsidP="00140499">
      <w:pPr>
        <w:pStyle w:val="NoSpacing"/>
        <w:jc w:val="center"/>
        <w:rPr>
          <w:b/>
          <w:bCs/>
        </w:rPr>
      </w:pPr>
      <w:r w:rsidRPr="00140499">
        <w:rPr>
          <w:b/>
          <w:bCs/>
        </w:rPr>
        <w:lastRenderedPageBreak/>
        <w:t>Bibliography</w:t>
      </w:r>
    </w:p>
    <w:p w14:paraId="399D476C" w14:textId="61C9C217" w:rsidR="00E03720" w:rsidRPr="00845D5C" w:rsidRDefault="00E03720" w:rsidP="00EA03EC">
      <w:pPr>
        <w:pStyle w:val="NoSpacing"/>
      </w:pPr>
    </w:p>
    <w:p w14:paraId="1427CD9E" w14:textId="77777777" w:rsidR="00E03720" w:rsidRPr="00845D5C" w:rsidRDefault="00E03720" w:rsidP="00EA03EC">
      <w:pPr>
        <w:pStyle w:val="NoSpacing"/>
      </w:pPr>
    </w:p>
    <w:p w14:paraId="629582B9" w14:textId="59048D9E"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Aghion, Philippe, Antoine </w:t>
      </w:r>
      <w:proofErr w:type="spellStart"/>
      <w:r w:rsidRPr="00F46F36">
        <w:rPr>
          <w:rFonts w:cstheme="minorHAnsi"/>
          <w:sz w:val="18"/>
          <w:szCs w:val="18"/>
        </w:rPr>
        <w:t>Dechezleprêtre</w:t>
      </w:r>
      <w:proofErr w:type="spellEnd"/>
      <w:r w:rsidRPr="00F46F36">
        <w:rPr>
          <w:rFonts w:cstheme="minorHAnsi"/>
          <w:sz w:val="18"/>
          <w:szCs w:val="18"/>
        </w:rPr>
        <w:t xml:space="preserve">, David </w:t>
      </w:r>
      <w:proofErr w:type="spellStart"/>
      <w:r w:rsidRPr="00F46F36">
        <w:rPr>
          <w:rFonts w:cstheme="minorHAnsi"/>
          <w:sz w:val="18"/>
          <w:szCs w:val="18"/>
        </w:rPr>
        <w:t>Hemous</w:t>
      </w:r>
      <w:proofErr w:type="spellEnd"/>
      <w:r w:rsidRPr="00F46F36">
        <w:rPr>
          <w:rFonts w:cstheme="minorHAnsi"/>
          <w:sz w:val="18"/>
          <w:szCs w:val="18"/>
        </w:rPr>
        <w:t xml:space="preserve">, Ralf </w:t>
      </w:r>
      <w:proofErr w:type="gramStart"/>
      <w:r w:rsidRPr="00F46F36">
        <w:rPr>
          <w:rFonts w:cstheme="minorHAnsi"/>
          <w:sz w:val="18"/>
          <w:szCs w:val="18"/>
        </w:rPr>
        <w:t>Martin</w:t>
      </w:r>
      <w:proofErr w:type="gramEnd"/>
      <w:r w:rsidRPr="00F46F36">
        <w:rPr>
          <w:rFonts w:cstheme="minorHAnsi"/>
          <w:sz w:val="18"/>
          <w:szCs w:val="18"/>
        </w:rPr>
        <w:t xml:space="preserve"> and John Van Reenen</w:t>
      </w:r>
      <w:r w:rsidR="000752F3" w:rsidRPr="00F46F36">
        <w:rPr>
          <w:rFonts w:cstheme="minorHAnsi"/>
          <w:sz w:val="18"/>
          <w:szCs w:val="18"/>
        </w:rPr>
        <w:t xml:space="preserve"> (2012)</w:t>
      </w:r>
      <w:r w:rsidRPr="00F46F36">
        <w:rPr>
          <w:rFonts w:cstheme="minorHAnsi"/>
          <w:sz w:val="18"/>
          <w:szCs w:val="18"/>
        </w:rPr>
        <w:t>, Carbon taxes, path dependency and directed technical change: evidence from the auto industry</w:t>
      </w:r>
      <w:r w:rsidR="000752F3" w:rsidRPr="00F46F36">
        <w:rPr>
          <w:rFonts w:cstheme="minorHAnsi"/>
          <w:sz w:val="18"/>
          <w:szCs w:val="18"/>
        </w:rPr>
        <w:t>.</w:t>
      </w:r>
      <w:r w:rsidRPr="00F46F36">
        <w:rPr>
          <w:rFonts w:cstheme="minorHAnsi"/>
          <w:sz w:val="18"/>
          <w:szCs w:val="18"/>
        </w:rPr>
        <w:t xml:space="preserve"> </w:t>
      </w:r>
      <w:r w:rsidR="000752F3" w:rsidRPr="00F46F36">
        <w:rPr>
          <w:rFonts w:cstheme="minorHAnsi"/>
          <w:sz w:val="18"/>
          <w:szCs w:val="18"/>
        </w:rPr>
        <w:t>(</w:t>
      </w:r>
      <w:r w:rsidRPr="00F46F36">
        <w:rPr>
          <w:rFonts w:cstheme="minorHAnsi"/>
          <w:sz w:val="18"/>
          <w:szCs w:val="18"/>
        </w:rPr>
        <w:t>November 2012</w:t>
      </w:r>
      <w:r w:rsidR="000752F3" w:rsidRPr="00F46F36">
        <w:rPr>
          <w:rFonts w:cstheme="minorHAnsi"/>
          <w:sz w:val="18"/>
          <w:szCs w:val="18"/>
        </w:rPr>
        <w:t>)</w:t>
      </w:r>
      <w:r w:rsidRPr="00F46F36">
        <w:rPr>
          <w:rFonts w:cstheme="minorHAnsi"/>
          <w:sz w:val="18"/>
          <w:szCs w:val="18"/>
        </w:rPr>
        <w:t xml:space="preserve"> Centre for Climate Change Economics and Policy Working Paper No. 120. </w:t>
      </w:r>
      <w:hyperlink r:id="rId20" w:history="1">
        <w:r w:rsidRPr="00F46F36">
          <w:rPr>
            <w:rStyle w:val="Hyperlink"/>
            <w:rFonts w:cstheme="minorHAnsi"/>
            <w:sz w:val="18"/>
            <w:szCs w:val="18"/>
          </w:rPr>
          <w:t>https://www.lse.ac.uk/granthaminstitute/publication/carbon-taxes-path-dependency-and-directed-technical-change-evidence-from-the-auto-industry-working-paper-102/</w:t>
        </w:r>
      </w:hyperlink>
    </w:p>
    <w:p w14:paraId="1CC4CEB2" w14:textId="74422FAB"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Andrés, Luis Alberto; Guasch, José Luis; López </w:t>
      </w:r>
      <w:proofErr w:type="spellStart"/>
      <w:r w:rsidRPr="00F46F36">
        <w:rPr>
          <w:rFonts w:cstheme="minorHAnsi"/>
          <w:sz w:val="18"/>
          <w:szCs w:val="18"/>
        </w:rPr>
        <w:t>Azumendi</w:t>
      </w:r>
      <w:proofErr w:type="spellEnd"/>
      <w:r w:rsidRPr="00F46F36">
        <w:rPr>
          <w:rFonts w:cstheme="minorHAnsi"/>
          <w:sz w:val="18"/>
          <w:szCs w:val="18"/>
        </w:rPr>
        <w:t xml:space="preserve">, Sebastián </w:t>
      </w:r>
      <w:r w:rsidR="000752F3" w:rsidRPr="00F46F36">
        <w:rPr>
          <w:rFonts w:cstheme="minorHAnsi"/>
          <w:sz w:val="18"/>
          <w:szCs w:val="18"/>
        </w:rPr>
        <w:t>(</w:t>
      </w:r>
      <w:r w:rsidRPr="00F46F36">
        <w:rPr>
          <w:rFonts w:cstheme="minorHAnsi"/>
          <w:sz w:val="18"/>
          <w:szCs w:val="18"/>
        </w:rPr>
        <w:t>2011</w:t>
      </w:r>
      <w:r w:rsidR="000752F3" w:rsidRPr="00F46F36">
        <w:rPr>
          <w:rFonts w:cstheme="minorHAnsi"/>
          <w:sz w:val="18"/>
          <w:szCs w:val="18"/>
        </w:rPr>
        <w:t>)</w:t>
      </w:r>
      <w:r w:rsidRPr="00F46F36">
        <w:rPr>
          <w:rFonts w:cstheme="minorHAnsi"/>
          <w:sz w:val="18"/>
          <w:szCs w:val="18"/>
        </w:rPr>
        <w:t xml:space="preserve">. Governance in State-Owned Enterprises Revisited: The Cases of Water and Electricity in Latin America and the Caribbean. Policy Research Working Paper; No. 5747. World Bank. </w:t>
      </w:r>
      <w:hyperlink r:id="rId21" w:history="1">
        <w:r w:rsidRPr="00F46F36">
          <w:rPr>
            <w:rStyle w:val="Hyperlink"/>
            <w:rFonts w:cstheme="minorHAnsi"/>
            <w:sz w:val="18"/>
            <w:szCs w:val="18"/>
          </w:rPr>
          <w:t>https://openknowledge.worldbank.org/handle/10986/3508</w:t>
        </w:r>
      </w:hyperlink>
      <w:r w:rsidRPr="00F46F36">
        <w:rPr>
          <w:rFonts w:cstheme="minorHAnsi"/>
          <w:sz w:val="18"/>
          <w:szCs w:val="18"/>
        </w:rPr>
        <w:t xml:space="preserve">    </w:t>
      </w:r>
    </w:p>
    <w:p w14:paraId="453A5430" w14:textId="4219BE65"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Andrews, Colin, Aude de </w:t>
      </w:r>
      <w:proofErr w:type="spellStart"/>
      <w:r w:rsidRPr="00F46F36">
        <w:rPr>
          <w:rFonts w:cstheme="minorHAnsi"/>
          <w:sz w:val="18"/>
          <w:szCs w:val="18"/>
        </w:rPr>
        <w:t>Montesquiou</w:t>
      </w:r>
      <w:proofErr w:type="spellEnd"/>
      <w:r w:rsidRPr="00F46F36">
        <w:rPr>
          <w:rFonts w:cstheme="minorHAnsi"/>
          <w:sz w:val="18"/>
          <w:szCs w:val="18"/>
        </w:rPr>
        <w:t xml:space="preserve">, Ines Arevalo Sanchez, Puja Vasudeva Dutta, Boban Varghese Paul, </w:t>
      </w:r>
      <w:proofErr w:type="spellStart"/>
      <w:r w:rsidRPr="00F46F36">
        <w:rPr>
          <w:rFonts w:cstheme="minorHAnsi"/>
          <w:sz w:val="18"/>
          <w:szCs w:val="18"/>
        </w:rPr>
        <w:t>Sadna</w:t>
      </w:r>
      <w:proofErr w:type="spellEnd"/>
      <w:r w:rsidRPr="00F46F36">
        <w:rPr>
          <w:rFonts w:cstheme="minorHAnsi"/>
          <w:sz w:val="18"/>
          <w:szCs w:val="18"/>
        </w:rPr>
        <w:t xml:space="preserve"> Samaranayake, Janet </w:t>
      </w:r>
      <w:proofErr w:type="spellStart"/>
      <w:r w:rsidRPr="00F46F36">
        <w:rPr>
          <w:rFonts w:cstheme="minorHAnsi"/>
          <w:sz w:val="18"/>
          <w:szCs w:val="18"/>
        </w:rPr>
        <w:t>Heisey</w:t>
      </w:r>
      <w:proofErr w:type="spellEnd"/>
      <w:r w:rsidRPr="00F46F36">
        <w:rPr>
          <w:rFonts w:cstheme="minorHAnsi"/>
          <w:sz w:val="18"/>
          <w:szCs w:val="18"/>
        </w:rPr>
        <w:t>, Timothy Clay, and Sarang Chaudhary</w:t>
      </w:r>
      <w:r w:rsidR="000752F3" w:rsidRPr="00F46F36">
        <w:rPr>
          <w:rFonts w:cstheme="minorHAnsi"/>
          <w:sz w:val="18"/>
          <w:szCs w:val="18"/>
        </w:rPr>
        <w:t xml:space="preserve"> (</w:t>
      </w:r>
      <w:r w:rsidR="002A690B" w:rsidRPr="00F46F36">
        <w:rPr>
          <w:rFonts w:cstheme="minorHAnsi"/>
          <w:sz w:val="18"/>
          <w:szCs w:val="18"/>
        </w:rPr>
        <w:t>2021)</w:t>
      </w:r>
      <w:r w:rsidRPr="00F46F36">
        <w:rPr>
          <w:rFonts w:cstheme="minorHAnsi"/>
          <w:sz w:val="18"/>
          <w:szCs w:val="18"/>
        </w:rPr>
        <w:t xml:space="preserve">. The State of Economic Inclusion Report 2021: The Potential to Scale. 2021. Washington, DC: World Bank. </w:t>
      </w:r>
      <w:hyperlink r:id="rId22" w:history="1">
        <w:r w:rsidRPr="00F46F36">
          <w:rPr>
            <w:rStyle w:val="Hyperlink"/>
            <w:rFonts w:cstheme="minorHAnsi"/>
            <w:sz w:val="18"/>
            <w:szCs w:val="18"/>
          </w:rPr>
          <w:t>https://openknowledge.worldbank.org/handle/10986/34917</w:t>
        </w:r>
      </w:hyperlink>
      <w:r w:rsidRPr="00F46F36">
        <w:rPr>
          <w:rFonts w:cstheme="minorHAnsi"/>
          <w:sz w:val="18"/>
          <w:szCs w:val="18"/>
        </w:rPr>
        <w:t xml:space="preserve"> </w:t>
      </w:r>
    </w:p>
    <w:p w14:paraId="69BC80E3" w14:textId="158FE90D"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Asian Development Bank (ADB</w:t>
      </w:r>
      <w:r w:rsidR="005D2738" w:rsidRPr="00F46F36">
        <w:rPr>
          <w:rFonts w:cstheme="minorHAnsi"/>
          <w:sz w:val="18"/>
          <w:szCs w:val="18"/>
        </w:rPr>
        <w:t xml:space="preserve">, </w:t>
      </w:r>
      <w:r w:rsidR="002A690B" w:rsidRPr="00F46F36">
        <w:rPr>
          <w:rFonts w:cstheme="minorHAnsi"/>
          <w:sz w:val="18"/>
          <w:szCs w:val="18"/>
        </w:rPr>
        <w:t>2020)</w:t>
      </w:r>
      <w:r w:rsidRPr="00F46F36">
        <w:rPr>
          <w:rFonts w:cstheme="minorHAnsi"/>
          <w:sz w:val="18"/>
          <w:szCs w:val="18"/>
        </w:rPr>
        <w:t xml:space="preserve">. Reforms, Opportunities, and Challenges for State-Owned Enterprises, July 2020, ADB. </w:t>
      </w:r>
      <w:hyperlink r:id="rId23" w:history="1">
        <w:r w:rsidRPr="00F46F36">
          <w:rPr>
            <w:rStyle w:val="Hyperlink"/>
            <w:rFonts w:cstheme="minorHAnsi"/>
            <w:sz w:val="18"/>
            <w:szCs w:val="18"/>
          </w:rPr>
          <w:t>https://dx.doi.org/10.22617/TCS200201-2</w:t>
        </w:r>
      </w:hyperlink>
      <w:r w:rsidRPr="00F46F36">
        <w:rPr>
          <w:rFonts w:cstheme="minorHAnsi"/>
          <w:sz w:val="18"/>
          <w:szCs w:val="18"/>
        </w:rPr>
        <w:t xml:space="preserve"> </w:t>
      </w:r>
      <w:r w:rsidRPr="00F46F36">
        <w:rPr>
          <w:rStyle w:val="Hyperlink"/>
          <w:rFonts w:cstheme="minorHAnsi"/>
          <w:sz w:val="18"/>
          <w:szCs w:val="18"/>
        </w:rPr>
        <w:t>Reforms, Opportunities, and Challenges for State-Owned Enterprises, July 2020, ADB. https://dx.doi.org/10.22617/TCS200201-2</w:t>
      </w:r>
    </w:p>
    <w:p w14:paraId="7FA9814B" w14:textId="21A302F7"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Batini, Nicoletta, et. al</w:t>
      </w:r>
      <w:r w:rsidR="00CA41BB" w:rsidRPr="00F46F36">
        <w:rPr>
          <w:rFonts w:cstheme="minorHAnsi"/>
          <w:sz w:val="18"/>
          <w:szCs w:val="18"/>
        </w:rPr>
        <w:t xml:space="preserve"> (forthcoming). </w:t>
      </w:r>
      <w:r w:rsidRPr="00F46F36">
        <w:rPr>
          <w:rFonts w:cstheme="minorHAnsi"/>
          <w:sz w:val="18"/>
          <w:szCs w:val="18"/>
        </w:rPr>
        <w:t>Building Back Better:  How big are green fiscal multipliers? IMF, forthcoming.</w:t>
      </w:r>
    </w:p>
    <w:p w14:paraId="4B5A4AC4" w14:textId="0B53E108" w:rsidR="00CB6ED3" w:rsidRPr="00F46F36" w:rsidRDefault="00CB6ED3" w:rsidP="00140499">
      <w:pPr>
        <w:pStyle w:val="NoSpacing"/>
        <w:spacing w:after="60"/>
        <w:ind w:left="720" w:hanging="720"/>
        <w:rPr>
          <w:rStyle w:val="Hyperlink"/>
          <w:rFonts w:cstheme="minorHAnsi"/>
          <w:sz w:val="18"/>
          <w:szCs w:val="18"/>
        </w:rPr>
      </w:pPr>
      <w:r w:rsidRPr="00F46F36">
        <w:rPr>
          <w:rFonts w:cstheme="minorHAnsi"/>
          <w:sz w:val="18"/>
          <w:szCs w:val="18"/>
        </w:rPr>
        <w:t>Baum, Anna, et. al, (2019)</w:t>
      </w:r>
      <w:r w:rsidR="00CA41BB" w:rsidRPr="00F46F36">
        <w:rPr>
          <w:rFonts w:cstheme="minorHAnsi"/>
          <w:sz w:val="18"/>
          <w:szCs w:val="18"/>
        </w:rPr>
        <w:t>.</w:t>
      </w:r>
      <w:r w:rsidRPr="00F46F36">
        <w:rPr>
          <w:rFonts w:cstheme="minorHAnsi"/>
          <w:sz w:val="18"/>
          <w:szCs w:val="18"/>
        </w:rPr>
        <w:t xml:space="preserve"> Governance and State-Owned Enterprises: How Costly is Corruption? November 2019, IMF. </w:t>
      </w:r>
      <w:hyperlink r:id="rId24" w:history="1">
        <w:r w:rsidRPr="00F46F36">
          <w:rPr>
            <w:rStyle w:val="Hyperlink"/>
            <w:rFonts w:cstheme="minorHAnsi"/>
            <w:sz w:val="18"/>
            <w:szCs w:val="18"/>
          </w:rPr>
          <w:t>https://www.imf.org/en/Publications/WP/Issues/2019/11/22/Governance-and-State-Owned-Enterprises-How-Costly-is-Corruption-48800</w:t>
        </w:r>
      </w:hyperlink>
    </w:p>
    <w:p w14:paraId="24D20B9D" w14:textId="49F243D0"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Baum, Anna, et. al </w:t>
      </w:r>
      <w:r w:rsidR="002A690B" w:rsidRPr="00F46F36">
        <w:rPr>
          <w:rFonts w:cstheme="minorHAnsi"/>
          <w:sz w:val="18"/>
          <w:szCs w:val="18"/>
        </w:rPr>
        <w:t>(2020)</w:t>
      </w:r>
      <w:r w:rsidR="00CA41BB" w:rsidRPr="00F46F36">
        <w:rPr>
          <w:rFonts w:cstheme="minorHAnsi"/>
          <w:sz w:val="18"/>
          <w:szCs w:val="18"/>
        </w:rPr>
        <w:t>.</w:t>
      </w:r>
      <w:r w:rsidR="002A690B" w:rsidRPr="00F46F36">
        <w:rPr>
          <w:rFonts w:cstheme="minorHAnsi"/>
          <w:sz w:val="18"/>
          <w:szCs w:val="18"/>
        </w:rPr>
        <w:t xml:space="preserve"> </w:t>
      </w:r>
      <w:r w:rsidRPr="00F46F36">
        <w:rPr>
          <w:rFonts w:cstheme="minorHAnsi"/>
          <w:sz w:val="18"/>
          <w:szCs w:val="18"/>
        </w:rPr>
        <w:t>Managing Fiscal Risks from State-Owned Enterprises</w:t>
      </w:r>
      <w:r w:rsidR="00CA41BB" w:rsidRPr="00F46F36">
        <w:rPr>
          <w:rFonts w:cstheme="minorHAnsi"/>
          <w:sz w:val="18"/>
          <w:szCs w:val="18"/>
        </w:rPr>
        <w:t>.</w:t>
      </w:r>
      <w:r w:rsidRPr="00F46F36">
        <w:rPr>
          <w:rFonts w:cstheme="minorHAnsi"/>
          <w:sz w:val="18"/>
          <w:szCs w:val="18"/>
        </w:rPr>
        <w:t xml:space="preserve"> September 2020, IMF. </w:t>
      </w:r>
      <w:hyperlink r:id="rId25" w:history="1">
        <w:r w:rsidRPr="00F46F36">
          <w:rPr>
            <w:rStyle w:val="Hyperlink"/>
            <w:rFonts w:cstheme="minorHAnsi"/>
            <w:sz w:val="18"/>
            <w:szCs w:val="18"/>
          </w:rPr>
          <w:t>https://www.imf.org/en/Publications/WP/Issues/2020/09/25/Managing-Fiscal-Risks-from-State-Owned-Enterprises-49773</w:t>
        </w:r>
      </w:hyperlink>
      <w:r w:rsidRPr="00F46F36">
        <w:rPr>
          <w:rFonts w:cstheme="minorHAnsi"/>
          <w:sz w:val="18"/>
          <w:szCs w:val="18"/>
        </w:rPr>
        <w:t xml:space="preserve"> </w:t>
      </w:r>
    </w:p>
    <w:p w14:paraId="0CAC31B1" w14:textId="44F344E1" w:rsidR="003E38D2" w:rsidRPr="00F46F36" w:rsidRDefault="008A551D" w:rsidP="00140499">
      <w:pPr>
        <w:pStyle w:val="NoSpacing"/>
        <w:spacing w:after="60"/>
        <w:ind w:left="720" w:hanging="720"/>
        <w:rPr>
          <w:rFonts w:cstheme="minorHAnsi"/>
          <w:sz w:val="18"/>
          <w:szCs w:val="18"/>
        </w:rPr>
      </w:pPr>
      <w:r w:rsidRPr="00F46F36">
        <w:rPr>
          <w:rFonts w:cstheme="minorHAnsi"/>
          <w:sz w:val="18"/>
          <w:szCs w:val="18"/>
        </w:rPr>
        <w:t>Benoit, Philippe (2019)</w:t>
      </w:r>
      <w:r w:rsidR="001876D6" w:rsidRPr="00F46F36">
        <w:rPr>
          <w:rFonts w:cstheme="minorHAnsi"/>
          <w:sz w:val="18"/>
          <w:szCs w:val="18"/>
        </w:rPr>
        <w:t>.</w:t>
      </w:r>
      <w:r w:rsidRPr="00F46F36">
        <w:rPr>
          <w:rFonts w:cstheme="minorHAnsi"/>
          <w:sz w:val="18"/>
          <w:szCs w:val="18"/>
        </w:rPr>
        <w:t xml:space="preserve"> Engaging State-Owned Enterprises in Climate Action. New York, Columbia. </w:t>
      </w:r>
      <w:hyperlink r:id="rId26" w:history="1">
        <w:r w:rsidRPr="00F46F36">
          <w:rPr>
            <w:rStyle w:val="Hyperlink"/>
            <w:rFonts w:cstheme="minorHAnsi"/>
            <w:sz w:val="18"/>
            <w:szCs w:val="18"/>
          </w:rPr>
          <w:t>https://www.energypolicy.columbia.edu/research/report/engaging-state-owned-enterprises-climate-action</w:t>
        </w:r>
      </w:hyperlink>
      <w:r w:rsidR="003E38D2" w:rsidRPr="00F46F36">
        <w:rPr>
          <w:rFonts w:cstheme="minorHAnsi"/>
          <w:sz w:val="18"/>
          <w:szCs w:val="18"/>
        </w:rPr>
        <w:t xml:space="preserve">. </w:t>
      </w:r>
    </w:p>
    <w:p w14:paraId="44FAF997" w14:textId="472CB32D"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Benoit, </w:t>
      </w:r>
      <w:proofErr w:type="gramStart"/>
      <w:r w:rsidRPr="00F46F36">
        <w:rPr>
          <w:rFonts w:cstheme="minorHAnsi"/>
          <w:sz w:val="18"/>
          <w:szCs w:val="18"/>
        </w:rPr>
        <w:t>Philippe</w:t>
      </w:r>
      <w:proofErr w:type="gramEnd"/>
      <w:r w:rsidRPr="00F46F36">
        <w:rPr>
          <w:rFonts w:cstheme="minorHAnsi"/>
          <w:sz w:val="18"/>
          <w:szCs w:val="18"/>
        </w:rPr>
        <w:t xml:space="preserve"> and Alex Clark</w:t>
      </w:r>
      <w:r w:rsidR="002A690B" w:rsidRPr="00F46F36">
        <w:rPr>
          <w:rFonts w:cstheme="minorHAnsi"/>
          <w:sz w:val="18"/>
          <w:szCs w:val="18"/>
        </w:rPr>
        <w:t xml:space="preserve"> (2020)</w:t>
      </w:r>
      <w:r w:rsidR="001876D6" w:rsidRPr="00F46F36">
        <w:rPr>
          <w:rFonts w:cstheme="minorHAnsi"/>
          <w:sz w:val="18"/>
          <w:szCs w:val="18"/>
        </w:rPr>
        <w:t>.</w:t>
      </w:r>
      <w:r w:rsidRPr="00F46F36">
        <w:rPr>
          <w:rFonts w:cstheme="minorHAnsi"/>
          <w:sz w:val="18"/>
          <w:szCs w:val="18"/>
        </w:rPr>
        <w:t xml:space="preserve"> Making State-Owned Enterprises Work for Climate in China and Beyond</w:t>
      </w:r>
      <w:r w:rsidR="001876D6" w:rsidRPr="00F46F36">
        <w:rPr>
          <w:rFonts w:cstheme="minorHAnsi"/>
          <w:sz w:val="18"/>
          <w:szCs w:val="18"/>
        </w:rPr>
        <w:t>.</w:t>
      </w:r>
      <w:r w:rsidRPr="00F46F36">
        <w:rPr>
          <w:rFonts w:cstheme="minorHAnsi"/>
          <w:sz w:val="18"/>
          <w:szCs w:val="18"/>
        </w:rPr>
        <w:t xml:space="preserve"> Inter Press Service, 24 September 2020. </w:t>
      </w:r>
      <w:hyperlink r:id="rId27" w:history="1">
        <w:r w:rsidRPr="00F46F36">
          <w:rPr>
            <w:rStyle w:val="Hyperlink"/>
            <w:rFonts w:cstheme="minorHAnsi"/>
            <w:sz w:val="18"/>
            <w:szCs w:val="18"/>
          </w:rPr>
          <w:t>http://www.ipsnews.net/2020/09/making-state-owned-enterprises-work-for-climate-in-china-and-beyond/</w:t>
        </w:r>
      </w:hyperlink>
      <w:r w:rsidRPr="00F46F36">
        <w:rPr>
          <w:rFonts w:cstheme="minorHAnsi"/>
          <w:sz w:val="18"/>
          <w:szCs w:val="18"/>
        </w:rPr>
        <w:t xml:space="preserve"> </w:t>
      </w:r>
    </w:p>
    <w:p w14:paraId="6B45E8B9" w14:textId="3F74C8A4"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Bond, Kingsmill, et al. </w:t>
      </w:r>
      <w:r w:rsidR="002A690B" w:rsidRPr="00F46F36">
        <w:rPr>
          <w:rFonts w:cstheme="minorHAnsi"/>
          <w:sz w:val="18"/>
          <w:szCs w:val="18"/>
        </w:rPr>
        <w:t>(2021)</w:t>
      </w:r>
      <w:r w:rsidR="00486BFD" w:rsidRPr="00F46F36">
        <w:rPr>
          <w:rFonts w:cstheme="minorHAnsi"/>
          <w:sz w:val="18"/>
          <w:szCs w:val="18"/>
        </w:rPr>
        <w:t>.</w:t>
      </w:r>
      <w:r w:rsidR="002A690B" w:rsidRPr="00F46F36">
        <w:rPr>
          <w:rFonts w:cstheme="minorHAnsi"/>
          <w:sz w:val="18"/>
          <w:szCs w:val="18"/>
        </w:rPr>
        <w:t xml:space="preserve"> </w:t>
      </w:r>
      <w:r w:rsidRPr="00F46F36">
        <w:rPr>
          <w:rFonts w:cstheme="minorHAnsi"/>
          <w:sz w:val="18"/>
          <w:szCs w:val="18"/>
        </w:rPr>
        <w:t>The Sky’s the Limit: Solar and wind energy potential is 100 times as much as global energy demand</w:t>
      </w:r>
      <w:r w:rsidR="00486BFD" w:rsidRPr="00F46F36">
        <w:rPr>
          <w:rFonts w:cstheme="minorHAnsi"/>
          <w:sz w:val="18"/>
          <w:szCs w:val="18"/>
        </w:rPr>
        <w:t>.</w:t>
      </w:r>
      <w:r w:rsidRPr="00F46F36">
        <w:rPr>
          <w:rFonts w:cstheme="minorHAnsi"/>
          <w:sz w:val="18"/>
          <w:szCs w:val="18"/>
        </w:rPr>
        <w:t xml:space="preserve"> Energy transition, Carbon Tracker, 23 April 2021. </w:t>
      </w:r>
      <w:hyperlink r:id="rId28" w:history="1">
        <w:r w:rsidR="00923646" w:rsidRPr="00F46F36">
          <w:rPr>
            <w:rStyle w:val="Hyperlink"/>
            <w:rFonts w:cstheme="minorHAnsi"/>
            <w:sz w:val="18"/>
            <w:szCs w:val="18"/>
          </w:rPr>
          <w:t>https://carbontracker.org/reports/the-skys-the-limit-solar-wind/</w:t>
        </w:r>
      </w:hyperlink>
      <w:r w:rsidR="00923646" w:rsidRPr="00F46F36">
        <w:rPr>
          <w:rFonts w:cstheme="minorHAnsi"/>
          <w:sz w:val="18"/>
          <w:szCs w:val="18"/>
        </w:rPr>
        <w:t xml:space="preserve"> </w:t>
      </w:r>
    </w:p>
    <w:p w14:paraId="73FDFD5C" w14:textId="7E421D82"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Bowen, A., Duffy, C. &amp; </w:t>
      </w:r>
      <w:proofErr w:type="spellStart"/>
      <w:r w:rsidRPr="00F46F36">
        <w:rPr>
          <w:rFonts w:cstheme="minorHAnsi"/>
          <w:sz w:val="18"/>
          <w:szCs w:val="18"/>
        </w:rPr>
        <w:t>Frankhauser</w:t>
      </w:r>
      <w:proofErr w:type="spellEnd"/>
      <w:r w:rsidRPr="00F46F36">
        <w:rPr>
          <w:rFonts w:cstheme="minorHAnsi"/>
          <w:sz w:val="18"/>
          <w:szCs w:val="18"/>
        </w:rPr>
        <w:t>, S. (2016)</w:t>
      </w:r>
      <w:r w:rsidR="00344C29" w:rsidRPr="00F46F36">
        <w:rPr>
          <w:rFonts w:cstheme="minorHAnsi"/>
          <w:sz w:val="18"/>
          <w:szCs w:val="18"/>
        </w:rPr>
        <w:t>.</w:t>
      </w:r>
      <w:r w:rsidRPr="00F46F36">
        <w:rPr>
          <w:rFonts w:cstheme="minorHAnsi"/>
          <w:sz w:val="18"/>
          <w:szCs w:val="18"/>
        </w:rPr>
        <w:t xml:space="preserve"> </w:t>
      </w:r>
      <w:r w:rsidRPr="00F46F36">
        <w:rPr>
          <w:rFonts w:cstheme="minorHAnsi"/>
          <w:iCs/>
          <w:sz w:val="18"/>
          <w:szCs w:val="18"/>
        </w:rPr>
        <w:t>Green Growth and the New Industrial Revolution.</w:t>
      </w:r>
      <w:r w:rsidRPr="00F46F36">
        <w:rPr>
          <w:rFonts w:cstheme="minorHAnsi"/>
          <w:sz w:val="18"/>
          <w:szCs w:val="18"/>
        </w:rPr>
        <w:t xml:space="preserve"> Policy brief.  Global Green Growth Institute. LSE. </w:t>
      </w:r>
      <w:hyperlink r:id="rId29" w:history="1">
        <w:r w:rsidRPr="00F46F36">
          <w:rPr>
            <w:rStyle w:val="Hyperlink"/>
            <w:rFonts w:cstheme="minorHAnsi"/>
            <w:sz w:val="18"/>
            <w:szCs w:val="18"/>
          </w:rPr>
          <w:t>https://www.lse.ac.uk/granthaminstitute/wp-content/uploads/2016/01/Bowen-et-al-2016.pdf</w:t>
        </w:r>
      </w:hyperlink>
      <w:r w:rsidRPr="00F46F36">
        <w:rPr>
          <w:rFonts w:cstheme="minorHAnsi"/>
          <w:sz w:val="18"/>
          <w:szCs w:val="18"/>
        </w:rPr>
        <w:t xml:space="preserve"> </w:t>
      </w:r>
    </w:p>
    <w:p w14:paraId="30F9A05A" w14:textId="67F73E11" w:rsidR="00181868" w:rsidRPr="00F46F36" w:rsidRDefault="00181868" w:rsidP="00140499">
      <w:pPr>
        <w:pStyle w:val="NoSpacing"/>
        <w:spacing w:after="60"/>
        <w:ind w:left="720" w:hanging="720"/>
        <w:rPr>
          <w:rFonts w:cstheme="minorHAnsi"/>
          <w:sz w:val="18"/>
          <w:szCs w:val="18"/>
        </w:rPr>
      </w:pPr>
      <w:bookmarkStart w:id="7" w:name="_Hlk70673395"/>
      <w:r w:rsidRPr="00F46F36">
        <w:rPr>
          <w:rFonts w:cstheme="minorHAnsi"/>
          <w:sz w:val="18"/>
          <w:szCs w:val="18"/>
        </w:rPr>
        <w:t xml:space="preserve">Bridle, R., </w:t>
      </w:r>
      <w:proofErr w:type="spellStart"/>
      <w:r w:rsidRPr="00F46F36">
        <w:rPr>
          <w:rFonts w:cstheme="minorHAnsi"/>
          <w:sz w:val="18"/>
          <w:szCs w:val="18"/>
        </w:rPr>
        <w:t>Kitson</w:t>
      </w:r>
      <w:proofErr w:type="spellEnd"/>
      <w:r w:rsidRPr="00F46F36">
        <w:rPr>
          <w:rFonts w:cstheme="minorHAnsi"/>
          <w:sz w:val="18"/>
          <w:szCs w:val="18"/>
        </w:rPr>
        <w:t>, L., Duan, H., Sanchez, L., &amp; Merrill, T. (2017). At the crossroads: Balancing the financial and social costs of coal transition in China</w:t>
      </w:r>
      <w:r w:rsidR="00486BFD" w:rsidRPr="00F46F36">
        <w:rPr>
          <w:rFonts w:cstheme="minorHAnsi"/>
          <w:sz w:val="18"/>
          <w:szCs w:val="18"/>
        </w:rPr>
        <w:t>. July 2017,</w:t>
      </w:r>
      <w:r w:rsidR="00BE23BD" w:rsidRPr="00F46F36">
        <w:rPr>
          <w:rFonts w:cstheme="minorHAnsi"/>
          <w:sz w:val="18"/>
          <w:szCs w:val="18"/>
        </w:rPr>
        <w:t xml:space="preserve"> International Institute for Sustainable Development (</w:t>
      </w:r>
      <w:r w:rsidR="00486BFD" w:rsidRPr="00F46F36">
        <w:rPr>
          <w:rFonts w:cstheme="minorHAnsi"/>
          <w:sz w:val="18"/>
          <w:szCs w:val="18"/>
        </w:rPr>
        <w:t>IISD</w:t>
      </w:r>
      <w:r w:rsidR="00BE23BD" w:rsidRPr="00F46F36">
        <w:rPr>
          <w:rFonts w:cstheme="minorHAnsi"/>
          <w:sz w:val="18"/>
          <w:szCs w:val="18"/>
        </w:rPr>
        <w:t>)</w:t>
      </w:r>
      <w:r w:rsidR="00486BFD" w:rsidRPr="00F46F36">
        <w:rPr>
          <w:rFonts w:cstheme="minorHAnsi"/>
          <w:sz w:val="18"/>
          <w:szCs w:val="18"/>
        </w:rPr>
        <w:t xml:space="preserve">. </w:t>
      </w:r>
      <w:hyperlink r:id="rId30" w:history="1">
        <w:r w:rsidR="004A7661" w:rsidRPr="00F46F36">
          <w:rPr>
            <w:rStyle w:val="Hyperlink"/>
            <w:rFonts w:cstheme="minorHAnsi"/>
            <w:sz w:val="18"/>
            <w:szCs w:val="18"/>
          </w:rPr>
          <w:t>https://www.iisd.org/publications/crossroads-balancing-financial-and-social-costs-coal-transition-china</w:t>
        </w:r>
      </w:hyperlink>
      <w:r w:rsidR="001A5325" w:rsidRPr="00F46F36">
        <w:rPr>
          <w:rFonts w:cstheme="minorHAnsi"/>
          <w:sz w:val="18"/>
          <w:szCs w:val="18"/>
        </w:rPr>
        <w:t xml:space="preserve"> </w:t>
      </w:r>
    </w:p>
    <w:bookmarkEnd w:id="7"/>
    <w:p w14:paraId="3DB8F44A" w14:textId="6A00886A" w:rsidR="00CB1F8D" w:rsidRPr="00F46F36" w:rsidRDefault="00CB1F8D" w:rsidP="00F46F36">
      <w:pPr>
        <w:pStyle w:val="NoSpacing"/>
        <w:spacing w:after="60"/>
        <w:ind w:left="720" w:hanging="720"/>
        <w:rPr>
          <w:rFonts w:cstheme="minorHAnsi"/>
          <w:sz w:val="18"/>
          <w:szCs w:val="18"/>
        </w:rPr>
      </w:pPr>
      <w:r w:rsidRPr="00F46F36">
        <w:rPr>
          <w:rFonts w:cstheme="minorHAnsi"/>
          <w:sz w:val="18"/>
          <w:szCs w:val="18"/>
        </w:rPr>
        <w:t xml:space="preserve">China’s Global Energy Finance Database, 2021. Boston University Global Development Policy Center. </w:t>
      </w:r>
      <w:hyperlink r:id="rId31" w:anchor="/all/Country" w:history="1">
        <w:r w:rsidRPr="00F46F36">
          <w:rPr>
            <w:rStyle w:val="Hyperlink"/>
            <w:rFonts w:cstheme="minorHAnsi"/>
            <w:sz w:val="18"/>
            <w:szCs w:val="18"/>
          </w:rPr>
          <w:t>https://www.bu.edu/cgef/#/all/Country</w:t>
        </w:r>
      </w:hyperlink>
      <w:r w:rsidRPr="00F46F36">
        <w:rPr>
          <w:rFonts w:cstheme="minorHAnsi"/>
          <w:sz w:val="18"/>
          <w:szCs w:val="18"/>
        </w:rPr>
        <w:t xml:space="preserve"> </w:t>
      </w:r>
    </w:p>
    <w:p w14:paraId="46CDB72A" w14:textId="5616A4B1"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Climate Watch, the World Resources Institute, Washington DC, 2020. </w:t>
      </w:r>
      <w:hyperlink r:id="rId32" w:history="1">
        <w:r w:rsidRPr="00F46F36">
          <w:rPr>
            <w:rStyle w:val="Hyperlink"/>
            <w:rFonts w:cstheme="minorHAnsi"/>
            <w:sz w:val="18"/>
            <w:szCs w:val="18"/>
          </w:rPr>
          <w:t>https://www.wri.org/resources/data-visualizations/world-greenhouse-gas-emissions-2016</w:t>
        </w:r>
      </w:hyperlink>
      <w:r w:rsidRPr="00F46F36">
        <w:rPr>
          <w:rFonts w:cstheme="minorHAnsi"/>
          <w:sz w:val="18"/>
          <w:szCs w:val="18"/>
        </w:rPr>
        <w:t xml:space="preserve">  </w:t>
      </w:r>
    </w:p>
    <w:p w14:paraId="5CF8A989" w14:textId="55732B1E" w:rsidR="003E38D2" w:rsidRPr="00F46F36" w:rsidRDefault="003E38D2" w:rsidP="00140499">
      <w:pPr>
        <w:pStyle w:val="NoSpacing"/>
        <w:spacing w:after="60"/>
        <w:ind w:left="720" w:hanging="720"/>
        <w:rPr>
          <w:rFonts w:cstheme="minorHAnsi"/>
          <w:sz w:val="18"/>
          <w:szCs w:val="18"/>
        </w:rPr>
      </w:pPr>
      <w:proofErr w:type="spellStart"/>
      <w:r w:rsidRPr="00F46F36">
        <w:rPr>
          <w:rFonts w:cstheme="minorHAnsi"/>
          <w:sz w:val="18"/>
          <w:szCs w:val="18"/>
        </w:rPr>
        <w:t>Cosbey</w:t>
      </w:r>
      <w:proofErr w:type="spellEnd"/>
      <w:r w:rsidRPr="00F46F36">
        <w:rPr>
          <w:rFonts w:cstheme="minorHAnsi"/>
          <w:sz w:val="18"/>
          <w:szCs w:val="18"/>
        </w:rPr>
        <w:t>, Aaron</w:t>
      </w:r>
      <w:r w:rsidR="00344C29" w:rsidRPr="00F46F36">
        <w:rPr>
          <w:rFonts w:cstheme="minorHAnsi"/>
          <w:sz w:val="18"/>
          <w:szCs w:val="18"/>
        </w:rPr>
        <w:t xml:space="preserve"> (</w:t>
      </w:r>
      <w:r w:rsidR="000D3FBD" w:rsidRPr="00F46F36">
        <w:rPr>
          <w:rFonts w:cstheme="minorHAnsi"/>
          <w:sz w:val="18"/>
          <w:szCs w:val="18"/>
        </w:rPr>
        <w:t>2008)</w:t>
      </w:r>
      <w:r w:rsidR="00344C29" w:rsidRPr="00F46F36">
        <w:rPr>
          <w:rFonts w:cstheme="minorHAnsi"/>
          <w:sz w:val="18"/>
          <w:szCs w:val="18"/>
        </w:rPr>
        <w:t>.</w:t>
      </w:r>
      <w:r w:rsidRPr="00F46F36">
        <w:rPr>
          <w:rFonts w:cstheme="minorHAnsi"/>
          <w:sz w:val="18"/>
          <w:szCs w:val="18"/>
        </w:rPr>
        <w:t xml:space="preserve"> Border Carbon Adjustment. Background paper, International Institute for Sustainable Development. August 2008. </w:t>
      </w:r>
      <w:hyperlink r:id="rId33" w:history="1">
        <w:r w:rsidRPr="00F46F36">
          <w:rPr>
            <w:rStyle w:val="Hyperlink"/>
            <w:rFonts w:cstheme="minorHAnsi"/>
            <w:sz w:val="18"/>
            <w:szCs w:val="18"/>
          </w:rPr>
          <w:t>https://www.iisd.org/system/files/publications/cph_trade_climate_border_carbon.pdf</w:t>
        </w:r>
      </w:hyperlink>
      <w:r w:rsidRPr="00F46F36">
        <w:rPr>
          <w:rFonts w:cstheme="minorHAnsi"/>
          <w:sz w:val="18"/>
          <w:szCs w:val="18"/>
        </w:rPr>
        <w:t xml:space="preserve"> </w:t>
      </w:r>
    </w:p>
    <w:p w14:paraId="4A8CE075" w14:textId="3E4A00E1" w:rsidR="003E38D2" w:rsidRPr="00F46F36" w:rsidRDefault="003E38D2" w:rsidP="00140499">
      <w:pPr>
        <w:pStyle w:val="NoSpacing"/>
        <w:spacing w:after="60"/>
        <w:ind w:left="720" w:hanging="720"/>
        <w:rPr>
          <w:rFonts w:cstheme="minorHAnsi"/>
          <w:sz w:val="18"/>
          <w:szCs w:val="18"/>
        </w:rPr>
      </w:pPr>
      <w:proofErr w:type="spellStart"/>
      <w:r w:rsidRPr="00F46F36">
        <w:rPr>
          <w:rFonts w:cstheme="minorHAnsi"/>
          <w:sz w:val="18"/>
          <w:szCs w:val="18"/>
        </w:rPr>
        <w:t>Dechezlepretre</w:t>
      </w:r>
      <w:proofErr w:type="spellEnd"/>
      <w:r w:rsidRPr="00F46F36">
        <w:rPr>
          <w:rFonts w:cstheme="minorHAnsi"/>
          <w:sz w:val="18"/>
          <w:szCs w:val="18"/>
        </w:rPr>
        <w:t xml:space="preserve">, A, </w:t>
      </w:r>
      <w:proofErr w:type="spellStart"/>
      <w:proofErr w:type="gramStart"/>
      <w:r w:rsidRPr="00F46F36">
        <w:rPr>
          <w:rFonts w:cstheme="minorHAnsi"/>
          <w:sz w:val="18"/>
          <w:szCs w:val="18"/>
        </w:rPr>
        <w:t>Martin,R</w:t>
      </w:r>
      <w:proofErr w:type="spellEnd"/>
      <w:proofErr w:type="gramEnd"/>
      <w:r w:rsidRPr="00F46F36">
        <w:rPr>
          <w:rFonts w:cstheme="minorHAnsi"/>
          <w:sz w:val="18"/>
          <w:szCs w:val="18"/>
        </w:rPr>
        <w:t xml:space="preserve"> &amp; </w:t>
      </w:r>
      <w:proofErr w:type="spellStart"/>
      <w:r w:rsidRPr="00F46F36">
        <w:rPr>
          <w:rFonts w:cstheme="minorHAnsi"/>
          <w:sz w:val="18"/>
          <w:szCs w:val="18"/>
        </w:rPr>
        <w:t>Bassi</w:t>
      </w:r>
      <w:proofErr w:type="spellEnd"/>
      <w:r w:rsidRPr="00F46F36">
        <w:rPr>
          <w:rFonts w:cstheme="minorHAnsi"/>
          <w:sz w:val="18"/>
          <w:szCs w:val="18"/>
        </w:rPr>
        <w:t>, S. (2016)</w:t>
      </w:r>
      <w:r w:rsidR="00344C29" w:rsidRPr="00F46F36">
        <w:rPr>
          <w:rFonts w:cstheme="minorHAnsi"/>
          <w:sz w:val="18"/>
          <w:szCs w:val="18"/>
        </w:rPr>
        <w:t>.</w:t>
      </w:r>
      <w:r w:rsidRPr="00F46F36">
        <w:rPr>
          <w:rFonts w:cstheme="minorHAnsi"/>
          <w:sz w:val="18"/>
          <w:szCs w:val="18"/>
        </w:rPr>
        <w:t xml:space="preserve"> </w:t>
      </w:r>
      <w:r w:rsidRPr="00F46F36">
        <w:rPr>
          <w:rFonts w:cstheme="minorHAnsi"/>
          <w:iCs/>
          <w:sz w:val="18"/>
          <w:szCs w:val="18"/>
        </w:rPr>
        <w:t>Climate Change Policy: Innovation and Growth</w:t>
      </w:r>
      <w:r w:rsidRPr="00F46F36">
        <w:rPr>
          <w:rFonts w:cstheme="minorHAnsi"/>
          <w:sz w:val="18"/>
          <w:szCs w:val="18"/>
        </w:rPr>
        <w:t>. Policy brief.  Global Green Growth Institute. LSE.</w:t>
      </w:r>
    </w:p>
    <w:p w14:paraId="198BD3BB" w14:textId="3AEED5E0" w:rsidR="003E38D2" w:rsidRPr="00F46F36" w:rsidRDefault="003E38D2" w:rsidP="00140499">
      <w:pPr>
        <w:pStyle w:val="NoSpacing"/>
        <w:spacing w:after="60"/>
        <w:ind w:left="720" w:hanging="720"/>
        <w:rPr>
          <w:rFonts w:cstheme="minorHAnsi"/>
          <w:sz w:val="18"/>
          <w:szCs w:val="18"/>
        </w:rPr>
      </w:pPr>
      <w:proofErr w:type="spellStart"/>
      <w:r w:rsidRPr="00F46F36">
        <w:rPr>
          <w:rFonts w:cstheme="minorHAnsi"/>
          <w:sz w:val="18"/>
          <w:szCs w:val="18"/>
        </w:rPr>
        <w:t>Dechezleprêtre</w:t>
      </w:r>
      <w:proofErr w:type="spellEnd"/>
      <w:r w:rsidRPr="00F46F36">
        <w:rPr>
          <w:rFonts w:cstheme="minorHAnsi"/>
          <w:sz w:val="18"/>
          <w:szCs w:val="18"/>
        </w:rPr>
        <w:t xml:space="preserve">, A., Martin, R., and Mohnen, M., </w:t>
      </w:r>
      <w:r w:rsidR="000D3FBD" w:rsidRPr="00F46F36">
        <w:rPr>
          <w:rFonts w:cstheme="minorHAnsi"/>
          <w:sz w:val="18"/>
          <w:szCs w:val="18"/>
        </w:rPr>
        <w:t>(</w:t>
      </w:r>
      <w:r w:rsidRPr="00F46F36">
        <w:rPr>
          <w:rFonts w:cstheme="minorHAnsi"/>
          <w:sz w:val="18"/>
          <w:szCs w:val="18"/>
        </w:rPr>
        <w:t>2014</w:t>
      </w:r>
      <w:r w:rsidR="000D3FBD" w:rsidRPr="00F46F36">
        <w:rPr>
          <w:rFonts w:cstheme="minorHAnsi"/>
          <w:sz w:val="18"/>
          <w:szCs w:val="18"/>
        </w:rPr>
        <w:t>)</w:t>
      </w:r>
      <w:r w:rsidRPr="00F46F36">
        <w:rPr>
          <w:rFonts w:cstheme="minorHAnsi"/>
          <w:sz w:val="18"/>
          <w:szCs w:val="18"/>
        </w:rPr>
        <w:t>. Knowledge spillovers from clean technologies: A patent citation analysis. Working Paper 135, London: Grantham Research Institute on Climate Change and the Environment, London School of Economics and Political Science, and Centre for Climate Change Economics and Policy.</w:t>
      </w:r>
    </w:p>
    <w:p w14:paraId="24465DA4" w14:textId="2265F675"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Drum, W. Bernard </w:t>
      </w:r>
      <w:r w:rsidR="000D3FBD" w:rsidRPr="00F46F36">
        <w:rPr>
          <w:rFonts w:cstheme="minorHAnsi"/>
          <w:sz w:val="18"/>
          <w:szCs w:val="18"/>
        </w:rPr>
        <w:t>(2017)</w:t>
      </w:r>
      <w:r w:rsidR="00420E3A" w:rsidRPr="00F46F36">
        <w:rPr>
          <w:rFonts w:cstheme="minorHAnsi"/>
          <w:sz w:val="18"/>
          <w:szCs w:val="18"/>
        </w:rPr>
        <w:t>.</w:t>
      </w:r>
      <w:r w:rsidR="000D3FBD" w:rsidRPr="00F46F36">
        <w:rPr>
          <w:rFonts w:cstheme="minorHAnsi"/>
          <w:sz w:val="18"/>
          <w:szCs w:val="18"/>
        </w:rPr>
        <w:t xml:space="preserve"> </w:t>
      </w:r>
      <w:r w:rsidRPr="00F46F36">
        <w:rPr>
          <w:rFonts w:cstheme="minorHAnsi"/>
          <w:sz w:val="18"/>
          <w:szCs w:val="18"/>
        </w:rPr>
        <w:t>Lessons from the Revival of US Rustbelt Cities, March 2017, The World Bank, background research paper for the World Bank, Innovative China: New Drivers of Growth. World Bank Group and Development Research Center of the State Council, the People’s Republic of China, 2019.</w:t>
      </w:r>
      <w:r w:rsidR="00420E3A" w:rsidRPr="00F46F36">
        <w:rPr>
          <w:rFonts w:cstheme="minorHAnsi"/>
          <w:sz w:val="18"/>
          <w:szCs w:val="18"/>
        </w:rPr>
        <w:t xml:space="preserve"> </w:t>
      </w:r>
      <w:r w:rsidRPr="00F46F36">
        <w:rPr>
          <w:rFonts w:cstheme="minorHAnsi"/>
          <w:sz w:val="18"/>
          <w:szCs w:val="18"/>
        </w:rPr>
        <w:t xml:space="preserve">Global Trends in Renewable Energy Investment 2020 (2020). Frankfurt School-UNEP Centre/BNEF. </w:t>
      </w:r>
      <w:hyperlink r:id="rId34" w:history="1">
        <w:r w:rsidRPr="00F46F36">
          <w:rPr>
            <w:rStyle w:val="Hyperlink"/>
            <w:rFonts w:cstheme="minorHAnsi"/>
            <w:sz w:val="18"/>
            <w:szCs w:val="18"/>
          </w:rPr>
          <w:t>https://www.fs-unep-centre.org/global-trends-in-renewable-energy-investment-2020/</w:t>
        </w:r>
      </w:hyperlink>
    </w:p>
    <w:p w14:paraId="3882EBD9" w14:textId="119EA9BE" w:rsidR="00420E3A" w:rsidRPr="00F46F36" w:rsidRDefault="00420E3A" w:rsidP="00140499">
      <w:pPr>
        <w:pStyle w:val="NoSpacing"/>
        <w:spacing w:after="60"/>
        <w:ind w:left="720" w:hanging="720"/>
        <w:rPr>
          <w:rFonts w:cstheme="minorHAnsi"/>
          <w:sz w:val="18"/>
          <w:szCs w:val="18"/>
        </w:rPr>
      </w:pPr>
      <w:r w:rsidRPr="00F46F36">
        <w:rPr>
          <w:rFonts w:cstheme="minorHAnsi"/>
          <w:sz w:val="18"/>
          <w:szCs w:val="18"/>
        </w:rPr>
        <w:lastRenderedPageBreak/>
        <w:t xml:space="preserve">Energy Security, Ukraine Government Portal (accessed 11 May 2021), </w:t>
      </w:r>
      <w:hyperlink r:id="rId35" w:history="1">
        <w:r w:rsidRPr="00F46F36">
          <w:rPr>
            <w:rStyle w:val="Hyperlink"/>
            <w:rFonts w:cstheme="minorHAnsi"/>
            <w:sz w:val="18"/>
            <w:szCs w:val="18"/>
          </w:rPr>
          <w:t>https://www.kmu.gov.ua/en/reformi/ekonomichne-zrostannya/reforma-energetichnogo-sektoru</w:t>
        </w:r>
      </w:hyperlink>
    </w:p>
    <w:p w14:paraId="351E644E" w14:textId="27FC7EDA" w:rsidR="00F779A5" w:rsidRPr="00F46F36" w:rsidRDefault="00F779A5" w:rsidP="00140499">
      <w:pPr>
        <w:pStyle w:val="NoSpacing"/>
        <w:spacing w:after="60"/>
        <w:ind w:left="720" w:hanging="720"/>
        <w:rPr>
          <w:rFonts w:cstheme="minorHAnsi"/>
          <w:sz w:val="18"/>
          <w:szCs w:val="18"/>
        </w:rPr>
      </w:pPr>
      <w:proofErr w:type="spellStart"/>
      <w:r w:rsidRPr="00F46F36">
        <w:rPr>
          <w:rFonts w:cstheme="minorHAnsi"/>
          <w:sz w:val="18"/>
          <w:szCs w:val="18"/>
        </w:rPr>
        <w:t>Fikova</w:t>
      </w:r>
      <w:proofErr w:type="spellEnd"/>
      <w:r w:rsidRPr="00F46F36">
        <w:rPr>
          <w:rFonts w:cstheme="minorHAnsi"/>
          <w:sz w:val="18"/>
          <w:szCs w:val="18"/>
        </w:rPr>
        <w:t>, Monica, et al.</w:t>
      </w:r>
      <w:r w:rsidR="000D3FBD" w:rsidRPr="00F46F36">
        <w:rPr>
          <w:rFonts w:cstheme="minorHAnsi"/>
          <w:sz w:val="18"/>
          <w:szCs w:val="18"/>
        </w:rPr>
        <w:t xml:space="preserve"> (2018)</w:t>
      </w:r>
      <w:r w:rsidR="00275699" w:rsidRPr="00F46F36">
        <w:rPr>
          <w:rFonts w:cstheme="minorHAnsi"/>
          <w:sz w:val="18"/>
          <w:szCs w:val="18"/>
        </w:rPr>
        <w:t>.</w:t>
      </w:r>
      <w:r w:rsidR="000D3FBD" w:rsidRPr="00F46F36">
        <w:rPr>
          <w:rFonts w:cstheme="minorHAnsi"/>
          <w:sz w:val="18"/>
          <w:szCs w:val="18"/>
        </w:rPr>
        <w:t xml:space="preserve"> </w:t>
      </w:r>
      <w:r w:rsidRPr="00F46F36">
        <w:rPr>
          <w:rFonts w:cstheme="minorHAnsi"/>
          <w:sz w:val="18"/>
          <w:szCs w:val="18"/>
        </w:rPr>
        <w:t>Nordic and Baltic Public Sector Green Bonds</w:t>
      </w:r>
      <w:r w:rsidR="00275699" w:rsidRPr="00F46F36">
        <w:rPr>
          <w:rFonts w:cstheme="minorHAnsi"/>
          <w:sz w:val="18"/>
          <w:szCs w:val="18"/>
        </w:rPr>
        <w:t>.</w:t>
      </w:r>
      <w:r w:rsidRPr="00F46F36">
        <w:rPr>
          <w:rFonts w:cstheme="minorHAnsi"/>
          <w:sz w:val="18"/>
          <w:szCs w:val="18"/>
        </w:rPr>
        <w:t xml:space="preserve"> Foreign &amp; Commonwealth Office and Climate Bonds Initiative</w:t>
      </w:r>
      <w:r w:rsidR="00C415BB" w:rsidRPr="00F46F36">
        <w:rPr>
          <w:rFonts w:cstheme="minorHAnsi"/>
          <w:sz w:val="18"/>
          <w:szCs w:val="18"/>
        </w:rPr>
        <w:t xml:space="preserve">, </w:t>
      </w:r>
      <w:proofErr w:type="gramStart"/>
      <w:r w:rsidR="00C415BB" w:rsidRPr="00F46F36">
        <w:rPr>
          <w:rFonts w:cstheme="minorHAnsi"/>
          <w:sz w:val="18"/>
          <w:szCs w:val="18"/>
        </w:rPr>
        <w:t>February,</w:t>
      </w:r>
      <w:proofErr w:type="gramEnd"/>
      <w:r w:rsidR="00C415BB" w:rsidRPr="00F46F36">
        <w:rPr>
          <w:rFonts w:cstheme="minorHAnsi"/>
          <w:sz w:val="18"/>
          <w:szCs w:val="18"/>
        </w:rPr>
        <w:t xml:space="preserve"> </w:t>
      </w:r>
      <w:r w:rsidRPr="00F46F36">
        <w:rPr>
          <w:rFonts w:cstheme="minorHAnsi"/>
          <w:sz w:val="18"/>
          <w:szCs w:val="18"/>
        </w:rPr>
        <w:t xml:space="preserve">2018. </w:t>
      </w:r>
      <w:hyperlink r:id="rId36" w:history="1">
        <w:r w:rsidRPr="00F46F36">
          <w:rPr>
            <w:rStyle w:val="Hyperlink"/>
            <w:rFonts w:cstheme="minorHAnsi"/>
            <w:sz w:val="18"/>
            <w:szCs w:val="18"/>
          </w:rPr>
          <w:t>https://www.climatebonds.net/resources/reports/nordic-and-baltic-public-sector-green-bonds</w:t>
        </w:r>
      </w:hyperlink>
      <w:r w:rsidRPr="00F46F36">
        <w:rPr>
          <w:rFonts w:cstheme="minorHAnsi"/>
          <w:sz w:val="18"/>
          <w:szCs w:val="18"/>
        </w:rPr>
        <w:t xml:space="preserve"> </w:t>
      </w:r>
    </w:p>
    <w:p w14:paraId="1AAF69C9" w14:textId="694C60B4" w:rsidR="007A52F8" w:rsidRPr="00F46F36" w:rsidRDefault="007A52F8" w:rsidP="00140499">
      <w:pPr>
        <w:pStyle w:val="NoSpacing"/>
        <w:spacing w:after="60"/>
        <w:ind w:left="720" w:hanging="720"/>
        <w:rPr>
          <w:rFonts w:cstheme="minorHAnsi"/>
          <w:sz w:val="18"/>
          <w:szCs w:val="18"/>
        </w:rPr>
      </w:pPr>
      <w:r w:rsidRPr="00F46F36">
        <w:rPr>
          <w:rFonts w:cstheme="minorHAnsi"/>
          <w:sz w:val="18"/>
          <w:szCs w:val="18"/>
        </w:rPr>
        <w:t xml:space="preserve">Gaspar, Vitor, Paulo </w:t>
      </w:r>
      <w:proofErr w:type="spellStart"/>
      <w:r w:rsidRPr="00F46F36">
        <w:rPr>
          <w:rFonts w:cstheme="minorHAnsi"/>
          <w:sz w:val="18"/>
          <w:szCs w:val="18"/>
        </w:rPr>
        <w:t>Medas</w:t>
      </w:r>
      <w:proofErr w:type="spellEnd"/>
      <w:r w:rsidRPr="00F46F36">
        <w:rPr>
          <w:rFonts w:cstheme="minorHAnsi"/>
          <w:sz w:val="18"/>
          <w:szCs w:val="18"/>
        </w:rPr>
        <w:t xml:space="preserve">, and John </w:t>
      </w:r>
      <w:proofErr w:type="spellStart"/>
      <w:r w:rsidRPr="00F46F36">
        <w:rPr>
          <w:rFonts w:cstheme="minorHAnsi"/>
          <w:sz w:val="18"/>
          <w:szCs w:val="18"/>
        </w:rPr>
        <w:t>Ralyea</w:t>
      </w:r>
      <w:proofErr w:type="spellEnd"/>
      <w:r w:rsidRPr="00F46F36">
        <w:rPr>
          <w:rFonts w:cstheme="minorHAnsi"/>
          <w:sz w:val="18"/>
          <w:szCs w:val="18"/>
        </w:rPr>
        <w:t xml:space="preserve">, </w:t>
      </w:r>
      <w:r w:rsidR="000D3FBD" w:rsidRPr="00F46F36">
        <w:rPr>
          <w:rFonts w:cstheme="minorHAnsi"/>
          <w:sz w:val="18"/>
          <w:szCs w:val="18"/>
        </w:rPr>
        <w:t xml:space="preserve">(2020), </w:t>
      </w:r>
      <w:r w:rsidRPr="00F46F36">
        <w:rPr>
          <w:rFonts w:cstheme="minorHAnsi"/>
          <w:sz w:val="18"/>
          <w:szCs w:val="18"/>
        </w:rPr>
        <w:t xml:space="preserve">“State-Owned Enterprises in the Time of COVID-19,” IMF Blog, 7 May 2020, IMF. </w:t>
      </w:r>
      <w:hyperlink r:id="rId37" w:history="1">
        <w:r w:rsidRPr="00F46F36">
          <w:rPr>
            <w:rStyle w:val="Hyperlink"/>
            <w:rFonts w:cstheme="minorHAnsi"/>
            <w:sz w:val="18"/>
            <w:szCs w:val="18"/>
          </w:rPr>
          <w:t>https://blogs.imf.org/2020/05/07/state-owned-enterprises-in-the-time-of-covid-19/</w:t>
        </w:r>
      </w:hyperlink>
      <w:r w:rsidRPr="00F46F36">
        <w:rPr>
          <w:rFonts w:cstheme="minorHAnsi"/>
          <w:sz w:val="18"/>
          <w:szCs w:val="18"/>
        </w:rPr>
        <w:t xml:space="preserve"> </w:t>
      </w:r>
    </w:p>
    <w:p w14:paraId="2B4519CE" w14:textId="4FBE05E5" w:rsidR="002523A7" w:rsidRPr="00F46F36" w:rsidRDefault="002523A7" w:rsidP="00140499">
      <w:pPr>
        <w:pStyle w:val="NoSpacing"/>
        <w:spacing w:after="60"/>
        <w:ind w:left="720" w:hanging="720"/>
        <w:rPr>
          <w:rFonts w:cstheme="minorHAnsi"/>
          <w:sz w:val="18"/>
          <w:szCs w:val="18"/>
        </w:rPr>
      </w:pPr>
      <w:proofErr w:type="spellStart"/>
      <w:r w:rsidRPr="00F46F36">
        <w:rPr>
          <w:rFonts w:cstheme="minorHAnsi"/>
          <w:sz w:val="18"/>
          <w:szCs w:val="18"/>
        </w:rPr>
        <w:t>Goldthau</w:t>
      </w:r>
      <w:proofErr w:type="spellEnd"/>
      <w:r w:rsidRPr="00F46F36">
        <w:rPr>
          <w:rFonts w:cstheme="minorHAnsi"/>
          <w:sz w:val="18"/>
          <w:szCs w:val="18"/>
        </w:rPr>
        <w:t xml:space="preserve"> A., </w:t>
      </w:r>
      <w:proofErr w:type="spellStart"/>
      <w:r w:rsidRPr="00F46F36">
        <w:rPr>
          <w:rFonts w:cstheme="minorHAnsi"/>
          <w:sz w:val="18"/>
          <w:szCs w:val="18"/>
        </w:rPr>
        <w:t>Eicke</w:t>
      </w:r>
      <w:proofErr w:type="spellEnd"/>
      <w:r w:rsidRPr="00F46F36">
        <w:rPr>
          <w:rFonts w:cstheme="minorHAnsi"/>
          <w:sz w:val="18"/>
          <w:szCs w:val="18"/>
        </w:rPr>
        <w:t xml:space="preserve"> L., </w:t>
      </w:r>
      <w:proofErr w:type="spellStart"/>
      <w:r w:rsidRPr="00F46F36">
        <w:rPr>
          <w:rFonts w:cstheme="minorHAnsi"/>
          <w:sz w:val="18"/>
          <w:szCs w:val="18"/>
        </w:rPr>
        <w:t>Weko</w:t>
      </w:r>
      <w:proofErr w:type="spellEnd"/>
      <w:r w:rsidRPr="00F46F36">
        <w:rPr>
          <w:rFonts w:cstheme="minorHAnsi"/>
          <w:sz w:val="18"/>
          <w:szCs w:val="18"/>
        </w:rPr>
        <w:t xml:space="preserve"> S. (2020)</w:t>
      </w:r>
      <w:r w:rsidR="000D3FBD" w:rsidRPr="00F46F36">
        <w:rPr>
          <w:rFonts w:cstheme="minorHAnsi"/>
          <w:sz w:val="18"/>
          <w:szCs w:val="18"/>
        </w:rPr>
        <w:t>,</w:t>
      </w:r>
      <w:r w:rsidRPr="00F46F36">
        <w:rPr>
          <w:rFonts w:cstheme="minorHAnsi"/>
          <w:sz w:val="18"/>
          <w:szCs w:val="18"/>
        </w:rPr>
        <w:t xml:space="preserve"> The Global Energy Transition and the Global South. In: Hafner M., </w:t>
      </w:r>
      <w:proofErr w:type="spellStart"/>
      <w:r w:rsidRPr="00F46F36">
        <w:rPr>
          <w:rFonts w:cstheme="minorHAnsi"/>
          <w:sz w:val="18"/>
          <w:szCs w:val="18"/>
        </w:rPr>
        <w:t>Tagliapietra</w:t>
      </w:r>
      <w:proofErr w:type="spellEnd"/>
      <w:r w:rsidRPr="00F46F36">
        <w:rPr>
          <w:rFonts w:cstheme="minorHAnsi"/>
          <w:sz w:val="18"/>
          <w:szCs w:val="18"/>
        </w:rPr>
        <w:t xml:space="preserve"> S. (eds) The Geopolitics of the Global Energy Transition. Lecture Notes in Energy, vol 73. Springer, Cham. </w:t>
      </w:r>
      <w:hyperlink r:id="rId38" w:history="1">
        <w:r w:rsidRPr="00F46F36">
          <w:rPr>
            <w:rStyle w:val="Hyperlink"/>
            <w:rFonts w:cstheme="minorHAnsi"/>
            <w:sz w:val="18"/>
            <w:szCs w:val="18"/>
          </w:rPr>
          <w:t>https://doi.org/10.1007/978-3-030-39066-2_14</w:t>
        </w:r>
      </w:hyperlink>
      <w:r w:rsidRPr="00F46F36">
        <w:rPr>
          <w:rFonts w:cstheme="minorHAnsi"/>
          <w:sz w:val="18"/>
          <w:szCs w:val="18"/>
        </w:rPr>
        <w:t xml:space="preserve"> </w:t>
      </w:r>
    </w:p>
    <w:p w14:paraId="47F504B9" w14:textId="25981B41" w:rsidR="00E43DA8" w:rsidRPr="00F46F36" w:rsidRDefault="00E43DA8" w:rsidP="00140499">
      <w:pPr>
        <w:pStyle w:val="NoSpacing"/>
        <w:spacing w:after="60"/>
        <w:ind w:left="720" w:hanging="720"/>
        <w:rPr>
          <w:rFonts w:cstheme="minorHAnsi"/>
          <w:sz w:val="18"/>
          <w:szCs w:val="18"/>
        </w:rPr>
      </w:pPr>
      <w:r w:rsidRPr="00F46F36">
        <w:rPr>
          <w:rFonts w:cstheme="minorHAnsi"/>
          <w:sz w:val="18"/>
          <w:szCs w:val="18"/>
        </w:rPr>
        <w:t>Ham, Nathanael</w:t>
      </w:r>
      <w:r w:rsidR="004C3892" w:rsidRPr="00F46F36">
        <w:rPr>
          <w:rFonts w:cstheme="minorHAnsi"/>
          <w:sz w:val="18"/>
          <w:szCs w:val="18"/>
        </w:rPr>
        <w:t xml:space="preserve"> (2020)</w:t>
      </w:r>
      <w:r w:rsidRPr="00F46F36">
        <w:rPr>
          <w:rFonts w:cstheme="minorHAnsi"/>
          <w:sz w:val="18"/>
          <w:szCs w:val="18"/>
        </w:rPr>
        <w:t xml:space="preserve">. The Potential of Corporate Social Responsibility: A Case Study on Effective Implementation of CSR from Denmark. MJIL, Volume 42, November 2020. </w:t>
      </w:r>
      <w:hyperlink r:id="rId39" w:anchor="_ftn21" w:history="1">
        <w:r w:rsidRPr="00F46F36">
          <w:rPr>
            <w:rStyle w:val="Hyperlink"/>
            <w:rFonts w:cstheme="minorHAnsi"/>
            <w:sz w:val="18"/>
            <w:szCs w:val="18"/>
          </w:rPr>
          <w:t>http://www.mjilonline.org/the-potential-of-corporate-social-responsibility-a-case-study-on-effective-implementation-of-csr-from-denmark/#_ftn21</w:t>
        </w:r>
      </w:hyperlink>
      <w:r w:rsidRPr="00F46F36">
        <w:rPr>
          <w:rFonts w:cstheme="minorHAnsi"/>
          <w:sz w:val="18"/>
          <w:szCs w:val="18"/>
        </w:rPr>
        <w:t xml:space="preserve"> </w:t>
      </w:r>
    </w:p>
    <w:p w14:paraId="516D765C" w14:textId="2683B462"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Hepburn, Cameron, Brian O’Callaghan, Nicholas Stern, Joseph Stiglitz, and Dimitri </w:t>
      </w:r>
      <w:proofErr w:type="spellStart"/>
      <w:r w:rsidRPr="00F46F36">
        <w:rPr>
          <w:rFonts w:cstheme="minorHAnsi"/>
          <w:sz w:val="18"/>
          <w:szCs w:val="18"/>
        </w:rPr>
        <w:t>Zenghelis</w:t>
      </w:r>
      <w:proofErr w:type="spellEnd"/>
      <w:r w:rsidR="000D3FBD" w:rsidRPr="00F46F36">
        <w:rPr>
          <w:rFonts w:cstheme="minorHAnsi"/>
          <w:sz w:val="18"/>
          <w:szCs w:val="18"/>
        </w:rPr>
        <w:t xml:space="preserve"> (2020)</w:t>
      </w:r>
      <w:r w:rsidR="00275699" w:rsidRPr="00F46F36">
        <w:rPr>
          <w:rFonts w:cstheme="minorHAnsi"/>
          <w:sz w:val="18"/>
          <w:szCs w:val="18"/>
        </w:rPr>
        <w:t xml:space="preserve">. </w:t>
      </w:r>
      <w:r w:rsidRPr="00F46F36">
        <w:rPr>
          <w:rFonts w:cstheme="minorHAnsi"/>
          <w:sz w:val="18"/>
          <w:szCs w:val="18"/>
        </w:rPr>
        <w:t xml:space="preserve">Will COVID-19 fiscal recovery packages accelerate or retard progress on climate change? Forthcoming in the Oxford Review of Economic Policy 36 (S1), 4 May 2020. Oxford Smith School of Enterprise and the Environment, Working Paper No. 20-02, ISSN 2732-4214. </w:t>
      </w:r>
      <w:hyperlink r:id="rId40" w:history="1">
        <w:r w:rsidRPr="00F46F36">
          <w:rPr>
            <w:rStyle w:val="Hyperlink"/>
            <w:rFonts w:cstheme="minorHAnsi"/>
            <w:sz w:val="18"/>
            <w:szCs w:val="18"/>
          </w:rPr>
          <w:t>https://www.smithschool.ox.ac.uk/publications/wpapers/workingpaper20-02.pdf</w:t>
        </w:r>
      </w:hyperlink>
      <w:r w:rsidRPr="00F46F36">
        <w:rPr>
          <w:rFonts w:cstheme="minorHAnsi"/>
          <w:sz w:val="18"/>
          <w:szCs w:val="18"/>
        </w:rPr>
        <w:t xml:space="preserve"> </w:t>
      </w:r>
    </w:p>
    <w:p w14:paraId="6F628E25" w14:textId="25ABD1CC"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Hsu, Po-</w:t>
      </w:r>
      <w:proofErr w:type="spellStart"/>
      <w:r w:rsidRPr="00F46F36">
        <w:rPr>
          <w:rFonts w:cstheme="minorHAnsi"/>
          <w:sz w:val="18"/>
          <w:szCs w:val="18"/>
        </w:rPr>
        <w:t>Hsuan</w:t>
      </w:r>
      <w:proofErr w:type="spellEnd"/>
      <w:r w:rsidRPr="00F46F36">
        <w:rPr>
          <w:rFonts w:cstheme="minorHAnsi"/>
          <w:sz w:val="18"/>
          <w:szCs w:val="18"/>
        </w:rPr>
        <w:t xml:space="preserve"> and Liang, Hao and Matos, Pedro </w:t>
      </w:r>
      <w:r w:rsidR="000D3FBD" w:rsidRPr="00F46F36">
        <w:rPr>
          <w:rFonts w:cstheme="minorHAnsi"/>
          <w:sz w:val="18"/>
          <w:szCs w:val="18"/>
        </w:rPr>
        <w:t xml:space="preserve">(2020). </w:t>
      </w:r>
      <w:r w:rsidRPr="00F46F36">
        <w:rPr>
          <w:rFonts w:cstheme="minorHAnsi"/>
          <w:sz w:val="18"/>
          <w:szCs w:val="18"/>
        </w:rPr>
        <w:t>Leviathan Inc. and Corporate Environmental Engagement (</w:t>
      </w:r>
      <w:r w:rsidR="000752F3" w:rsidRPr="00F46F36">
        <w:rPr>
          <w:rFonts w:cstheme="minorHAnsi"/>
          <w:sz w:val="18"/>
          <w:szCs w:val="18"/>
        </w:rPr>
        <w:t xml:space="preserve">22 </w:t>
      </w:r>
      <w:r w:rsidRPr="00F46F36">
        <w:rPr>
          <w:rFonts w:cstheme="minorHAnsi"/>
          <w:sz w:val="18"/>
          <w:szCs w:val="18"/>
        </w:rPr>
        <w:t xml:space="preserve">December 2020). Darden Business School Working Paper No. 2960832, ECGI - Finance Working Paper No. 526/2017, Available at SSRN: </w:t>
      </w:r>
      <w:hyperlink r:id="rId41" w:history="1">
        <w:r w:rsidRPr="00F46F36">
          <w:rPr>
            <w:rStyle w:val="Hyperlink"/>
            <w:rFonts w:cstheme="minorHAnsi"/>
            <w:sz w:val="18"/>
            <w:szCs w:val="18"/>
          </w:rPr>
          <w:t>https://ssrn.com/abstract=2960832</w:t>
        </w:r>
      </w:hyperlink>
      <w:r w:rsidRPr="00F46F36">
        <w:rPr>
          <w:rFonts w:cstheme="minorHAnsi"/>
          <w:sz w:val="18"/>
          <w:szCs w:val="18"/>
        </w:rPr>
        <w:t xml:space="preserve">  or </w:t>
      </w:r>
      <w:hyperlink r:id="rId42" w:history="1">
        <w:r w:rsidRPr="00F46F36">
          <w:rPr>
            <w:rStyle w:val="Hyperlink"/>
            <w:rFonts w:cstheme="minorHAnsi"/>
            <w:sz w:val="18"/>
            <w:szCs w:val="18"/>
          </w:rPr>
          <w:t>http://dx.doi.org/10.2139/ssrn.2960832</w:t>
        </w:r>
      </w:hyperlink>
    </w:p>
    <w:p w14:paraId="5AE6A6D2" w14:textId="77777777"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Jones, L. (1975). Public Enterprise and Economic Development: The Korean Case. Seoul: Korea Development Institute.</w:t>
      </w:r>
    </w:p>
    <w:p w14:paraId="465CFC41" w14:textId="648A8716" w:rsidR="00E838B5" w:rsidRPr="00F46F36" w:rsidRDefault="00E838B5" w:rsidP="00140499">
      <w:pPr>
        <w:pStyle w:val="NoSpacing"/>
        <w:spacing w:after="60"/>
        <w:ind w:left="720" w:hanging="720"/>
        <w:rPr>
          <w:rFonts w:cstheme="minorHAnsi"/>
          <w:sz w:val="18"/>
          <w:szCs w:val="18"/>
        </w:rPr>
      </w:pPr>
      <w:r w:rsidRPr="00F46F36">
        <w:rPr>
          <w:rFonts w:cstheme="minorHAnsi"/>
          <w:sz w:val="18"/>
          <w:szCs w:val="18"/>
        </w:rPr>
        <w:t xml:space="preserve">Kane, </w:t>
      </w:r>
      <w:proofErr w:type="spellStart"/>
      <w:r w:rsidRPr="00F46F36">
        <w:rPr>
          <w:rFonts w:cstheme="minorHAnsi"/>
          <w:sz w:val="18"/>
          <w:szCs w:val="18"/>
        </w:rPr>
        <w:t>Korin</w:t>
      </w:r>
      <w:proofErr w:type="spellEnd"/>
      <w:r w:rsidRPr="00F46F36">
        <w:rPr>
          <w:rFonts w:cstheme="minorHAnsi"/>
          <w:sz w:val="18"/>
          <w:szCs w:val="18"/>
        </w:rPr>
        <w:t xml:space="preserve"> and Hans Christiansen (2015)</w:t>
      </w:r>
      <w:r w:rsidR="00275699" w:rsidRPr="00F46F36">
        <w:rPr>
          <w:rFonts w:cstheme="minorHAnsi"/>
          <w:sz w:val="18"/>
          <w:szCs w:val="18"/>
        </w:rPr>
        <w:t>.</w:t>
      </w:r>
      <w:r w:rsidRPr="00F46F36">
        <w:rPr>
          <w:rFonts w:cstheme="minorHAnsi"/>
          <w:sz w:val="18"/>
          <w:szCs w:val="18"/>
        </w:rPr>
        <w:t xml:space="preserve"> State-owned enterprises: Good governance as a facilitator for development</w:t>
      </w:r>
      <w:r w:rsidR="00275699" w:rsidRPr="00F46F36">
        <w:rPr>
          <w:rFonts w:cstheme="minorHAnsi"/>
          <w:sz w:val="18"/>
          <w:szCs w:val="18"/>
        </w:rPr>
        <w:t>.</w:t>
      </w:r>
      <w:r w:rsidRPr="00F46F36">
        <w:rPr>
          <w:rFonts w:cstheme="minorHAnsi"/>
          <w:sz w:val="18"/>
          <w:szCs w:val="18"/>
        </w:rPr>
        <w:t xml:space="preserve"> Coherence for Development: Better Policies for Better Lives, Issue 5, OECD, April 2015.</w:t>
      </w:r>
    </w:p>
    <w:p w14:paraId="5D9ABC86" w14:textId="5BF74B90" w:rsidR="003E38D2" w:rsidRPr="00F46F36" w:rsidRDefault="003E38D2" w:rsidP="00140499">
      <w:pPr>
        <w:pStyle w:val="NoSpacing"/>
        <w:spacing w:after="60"/>
        <w:ind w:left="720" w:hanging="720"/>
        <w:rPr>
          <w:rFonts w:cstheme="minorHAnsi"/>
          <w:color w:val="000000"/>
          <w:sz w:val="18"/>
          <w:szCs w:val="18"/>
        </w:rPr>
      </w:pPr>
      <w:proofErr w:type="spellStart"/>
      <w:r w:rsidRPr="00F46F36">
        <w:rPr>
          <w:rFonts w:cstheme="minorHAnsi"/>
          <w:sz w:val="18"/>
          <w:szCs w:val="18"/>
        </w:rPr>
        <w:t>Klinga</w:t>
      </w:r>
      <w:proofErr w:type="spellEnd"/>
      <w:r w:rsidRPr="00F46F36">
        <w:rPr>
          <w:rFonts w:cstheme="minorHAnsi"/>
          <w:sz w:val="18"/>
          <w:szCs w:val="18"/>
        </w:rPr>
        <w:t xml:space="preserve">, Gerhard et. al </w:t>
      </w:r>
      <w:r w:rsidR="000D3FBD" w:rsidRPr="00F46F36">
        <w:rPr>
          <w:rFonts w:cstheme="minorHAnsi"/>
          <w:sz w:val="18"/>
          <w:szCs w:val="18"/>
        </w:rPr>
        <w:t>(</w:t>
      </w:r>
      <w:r w:rsidRPr="00F46F36">
        <w:rPr>
          <w:rFonts w:cstheme="minorHAnsi"/>
          <w:sz w:val="18"/>
          <w:szCs w:val="18"/>
        </w:rPr>
        <w:t>2018</w:t>
      </w:r>
      <w:r w:rsidR="000D3FBD" w:rsidRPr="00F46F36">
        <w:rPr>
          <w:rFonts w:cstheme="minorHAnsi"/>
          <w:sz w:val="18"/>
          <w:szCs w:val="18"/>
        </w:rPr>
        <w:t>)</w:t>
      </w:r>
      <w:r w:rsidR="00560EAC" w:rsidRPr="00F46F36">
        <w:rPr>
          <w:rFonts w:cstheme="minorHAnsi"/>
          <w:sz w:val="18"/>
          <w:szCs w:val="18"/>
        </w:rPr>
        <w:t>.</w:t>
      </w:r>
      <w:r w:rsidRPr="00F46F36">
        <w:rPr>
          <w:rFonts w:cstheme="minorHAnsi"/>
          <w:sz w:val="18"/>
          <w:szCs w:val="18"/>
        </w:rPr>
        <w:t xml:space="preserve"> Climate Vulnerability and the Cost of Debt</w:t>
      </w:r>
      <w:r w:rsidR="00275699" w:rsidRPr="00F46F36">
        <w:rPr>
          <w:rFonts w:cstheme="minorHAnsi"/>
          <w:sz w:val="18"/>
          <w:szCs w:val="18"/>
        </w:rPr>
        <w:t>.</w:t>
      </w:r>
      <w:r w:rsidRPr="00F46F36">
        <w:rPr>
          <w:rFonts w:cstheme="minorHAnsi"/>
          <w:sz w:val="18"/>
          <w:szCs w:val="18"/>
        </w:rPr>
        <w:t xml:space="preserve"> SOAS University of London and German Development Institute, 18 June 2018, SOAS Research Online: </w:t>
      </w:r>
      <w:hyperlink r:id="rId43" w:history="1">
        <w:r w:rsidR="00560EAC" w:rsidRPr="00F46F36">
          <w:rPr>
            <w:rStyle w:val="Hyperlink"/>
            <w:rFonts w:cstheme="minorHAnsi"/>
            <w:sz w:val="18"/>
            <w:szCs w:val="18"/>
          </w:rPr>
          <w:t>http://eprints.soas.ac.uk/26045</w:t>
        </w:r>
      </w:hyperlink>
      <w:r w:rsidR="00560EAC" w:rsidRPr="00F46F36">
        <w:rPr>
          <w:rFonts w:cstheme="minorHAnsi"/>
          <w:sz w:val="18"/>
          <w:szCs w:val="18"/>
        </w:rPr>
        <w:t xml:space="preserve">  </w:t>
      </w:r>
    </w:p>
    <w:p w14:paraId="143F52A6" w14:textId="711D9DB7"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Krogstrup, S. &amp; Oman, W. (2019): IMF Working Paper. </w:t>
      </w:r>
      <w:r w:rsidRPr="00F46F36">
        <w:rPr>
          <w:rFonts w:cstheme="minorHAnsi"/>
          <w:iCs/>
          <w:sz w:val="18"/>
          <w:szCs w:val="18"/>
        </w:rPr>
        <w:t xml:space="preserve">Macroeconomic and Financial Policies for Climate Change Mitigation: A Review of the Literature.  </w:t>
      </w:r>
      <w:r w:rsidRPr="00F46F36">
        <w:rPr>
          <w:rFonts w:cstheme="minorHAnsi"/>
          <w:sz w:val="18"/>
          <w:szCs w:val="18"/>
        </w:rPr>
        <w:t>Washington, DC.  IMF</w:t>
      </w:r>
      <w:r w:rsidR="00782453" w:rsidRPr="00F46F36">
        <w:rPr>
          <w:rFonts w:cstheme="minorHAnsi"/>
          <w:sz w:val="18"/>
          <w:szCs w:val="18"/>
        </w:rPr>
        <w:t xml:space="preserve"> (2019).</w:t>
      </w:r>
      <w:r w:rsidRPr="00F46F36">
        <w:rPr>
          <w:rFonts w:cstheme="minorHAnsi"/>
          <w:sz w:val="18"/>
          <w:szCs w:val="18"/>
        </w:rPr>
        <w:t xml:space="preserve"> </w:t>
      </w:r>
    </w:p>
    <w:p w14:paraId="6A1CA88D" w14:textId="3DD49EF3" w:rsidR="00F14370" w:rsidRPr="00F46F36" w:rsidRDefault="00F14370" w:rsidP="00140499">
      <w:pPr>
        <w:pStyle w:val="NoSpacing"/>
        <w:spacing w:after="60"/>
        <w:ind w:left="720" w:hanging="720"/>
        <w:rPr>
          <w:rFonts w:cstheme="minorHAnsi"/>
          <w:sz w:val="18"/>
          <w:szCs w:val="18"/>
        </w:rPr>
      </w:pPr>
      <w:r w:rsidRPr="00F46F36">
        <w:rPr>
          <w:rFonts w:cstheme="minorHAnsi"/>
          <w:sz w:val="18"/>
          <w:szCs w:val="18"/>
        </w:rPr>
        <w:t xml:space="preserve">Malaysia Airlines Group (MAG, </w:t>
      </w:r>
      <w:r w:rsidR="00275699" w:rsidRPr="00F46F36">
        <w:rPr>
          <w:rFonts w:cstheme="minorHAnsi"/>
          <w:sz w:val="18"/>
          <w:szCs w:val="18"/>
        </w:rPr>
        <w:t>2021).</w:t>
      </w:r>
      <w:r w:rsidRPr="00F46F36">
        <w:rPr>
          <w:rFonts w:cstheme="minorHAnsi"/>
          <w:sz w:val="18"/>
          <w:szCs w:val="18"/>
        </w:rPr>
        <w:t xml:space="preserve"> Sustainability Blueprint announcement: </w:t>
      </w:r>
      <w:hyperlink r:id="rId44" w:history="1">
        <w:r w:rsidRPr="00F46F36">
          <w:rPr>
            <w:rStyle w:val="Hyperlink"/>
            <w:rFonts w:cstheme="minorHAnsi"/>
            <w:sz w:val="18"/>
            <w:szCs w:val="18"/>
          </w:rPr>
          <w:t>https://www.malaysiaairlines.com/cn/en/news-article/2021/malaysia-aviation-group-launched-sustainability-blueprint.html</w:t>
        </w:r>
      </w:hyperlink>
      <w:r w:rsidRPr="00F46F36">
        <w:rPr>
          <w:rFonts w:cstheme="minorHAnsi"/>
          <w:sz w:val="18"/>
          <w:szCs w:val="18"/>
        </w:rPr>
        <w:t xml:space="preserve"> </w:t>
      </w:r>
    </w:p>
    <w:p w14:paraId="5C526858" w14:textId="0AB652E4"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Mayer, Benoit, </w:t>
      </w:r>
      <w:proofErr w:type="spellStart"/>
      <w:r w:rsidRPr="00F46F36">
        <w:rPr>
          <w:rFonts w:cstheme="minorHAnsi"/>
          <w:sz w:val="18"/>
          <w:szCs w:val="18"/>
        </w:rPr>
        <w:t>Mikko</w:t>
      </w:r>
      <w:proofErr w:type="spellEnd"/>
      <w:r w:rsidRPr="00F46F36">
        <w:rPr>
          <w:rFonts w:cstheme="minorHAnsi"/>
          <w:sz w:val="18"/>
          <w:szCs w:val="18"/>
        </w:rPr>
        <w:t xml:space="preserve"> </w:t>
      </w:r>
      <w:proofErr w:type="spellStart"/>
      <w:r w:rsidRPr="00F46F36">
        <w:rPr>
          <w:rFonts w:cstheme="minorHAnsi"/>
          <w:sz w:val="18"/>
          <w:szCs w:val="18"/>
        </w:rPr>
        <w:t>Rajavuori</w:t>
      </w:r>
      <w:proofErr w:type="spellEnd"/>
      <w:r w:rsidRPr="00F46F36">
        <w:rPr>
          <w:rFonts w:cstheme="minorHAnsi"/>
          <w:sz w:val="18"/>
          <w:szCs w:val="18"/>
        </w:rPr>
        <w:t>, and Mandy Meng Fang</w:t>
      </w:r>
      <w:r w:rsidR="000D3FBD" w:rsidRPr="00F46F36">
        <w:rPr>
          <w:rFonts w:cstheme="minorHAnsi"/>
          <w:sz w:val="18"/>
          <w:szCs w:val="18"/>
        </w:rPr>
        <w:t xml:space="preserve"> (2017)</w:t>
      </w:r>
      <w:r w:rsidR="001F0994" w:rsidRPr="00F46F36">
        <w:rPr>
          <w:rFonts w:cstheme="minorHAnsi"/>
          <w:sz w:val="18"/>
          <w:szCs w:val="18"/>
        </w:rPr>
        <w:t>.</w:t>
      </w:r>
      <w:r w:rsidRPr="00F46F36">
        <w:rPr>
          <w:rFonts w:cstheme="minorHAnsi"/>
          <w:sz w:val="18"/>
          <w:szCs w:val="18"/>
        </w:rPr>
        <w:t xml:space="preserve"> The Contribution of State-Owned Enterprises to Climate Change Mitigation in China</w:t>
      </w:r>
      <w:r w:rsidR="001F0994" w:rsidRPr="00F46F36">
        <w:rPr>
          <w:rFonts w:cstheme="minorHAnsi"/>
          <w:sz w:val="18"/>
          <w:szCs w:val="18"/>
        </w:rPr>
        <w:t>.</w:t>
      </w:r>
      <w:r w:rsidRPr="00F46F36">
        <w:rPr>
          <w:rFonts w:cstheme="minorHAnsi"/>
          <w:sz w:val="18"/>
          <w:szCs w:val="18"/>
        </w:rPr>
        <w:t xml:space="preserve"> Climate Law, Volume 7: Issue 2-3, 01 September 2017, pp 97-124. </w:t>
      </w:r>
      <w:hyperlink r:id="rId45" w:history="1">
        <w:r w:rsidRPr="00F46F36">
          <w:rPr>
            <w:rStyle w:val="Hyperlink"/>
            <w:rFonts w:cstheme="minorHAnsi"/>
            <w:sz w:val="18"/>
            <w:szCs w:val="18"/>
          </w:rPr>
          <w:t>https://brill.com/view/journals/clla/7/2-3/article-p97_97.xml?language=en</w:t>
        </w:r>
      </w:hyperlink>
      <w:r w:rsidRPr="00F46F36">
        <w:rPr>
          <w:rFonts w:cstheme="minorHAnsi"/>
          <w:sz w:val="18"/>
          <w:szCs w:val="18"/>
        </w:rPr>
        <w:t xml:space="preserve"> </w:t>
      </w:r>
    </w:p>
    <w:p w14:paraId="6C01ECF0" w14:textId="3C53CBC5" w:rsidR="0006573D" w:rsidRPr="00F46F36" w:rsidRDefault="0006573D" w:rsidP="00140499">
      <w:pPr>
        <w:pStyle w:val="NoSpacing"/>
        <w:spacing w:after="60"/>
        <w:ind w:left="720" w:hanging="720"/>
        <w:rPr>
          <w:rFonts w:cstheme="minorHAnsi"/>
          <w:sz w:val="18"/>
          <w:szCs w:val="18"/>
        </w:rPr>
      </w:pPr>
      <w:r w:rsidRPr="00F46F36">
        <w:rPr>
          <w:rFonts w:cstheme="minorHAnsi"/>
          <w:sz w:val="18"/>
          <w:szCs w:val="18"/>
        </w:rPr>
        <w:t xml:space="preserve">Manuilova </w:t>
      </w:r>
      <w:r w:rsidR="00BD1954" w:rsidRPr="00F46F36">
        <w:rPr>
          <w:rFonts w:cstheme="minorHAnsi"/>
          <w:sz w:val="18"/>
          <w:szCs w:val="18"/>
        </w:rPr>
        <w:t xml:space="preserve">N., </w:t>
      </w:r>
      <w:r w:rsidRPr="00F46F36">
        <w:rPr>
          <w:rFonts w:cstheme="minorHAnsi"/>
          <w:sz w:val="18"/>
          <w:szCs w:val="18"/>
        </w:rPr>
        <w:t>and R. Burdescu (May 2021)</w:t>
      </w:r>
      <w:r w:rsidR="00BD1954" w:rsidRPr="00F46F36">
        <w:rPr>
          <w:rFonts w:cstheme="minorHAnsi"/>
          <w:sz w:val="18"/>
          <w:szCs w:val="18"/>
        </w:rPr>
        <w:t>. “Building SOEs Crisis Management and Resilience</w:t>
      </w:r>
      <w:r w:rsidR="00A56893" w:rsidRPr="00F46F36">
        <w:rPr>
          <w:rFonts w:cstheme="minorHAnsi"/>
          <w:sz w:val="18"/>
          <w:szCs w:val="18"/>
        </w:rPr>
        <w:t>. World Bank.</w:t>
      </w:r>
    </w:p>
    <w:p w14:paraId="6079E117" w14:textId="7AD8D8CB"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McKinsey and Company</w:t>
      </w:r>
      <w:r w:rsidR="000D3FBD" w:rsidRPr="00F46F36">
        <w:rPr>
          <w:rFonts w:cstheme="minorHAnsi"/>
          <w:sz w:val="18"/>
          <w:szCs w:val="18"/>
        </w:rPr>
        <w:t xml:space="preserve"> (2021)</w:t>
      </w:r>
      <w:r w:rsidR="00560EAC" w:rsidRPr="00F46F36">
        <w:rPr>
          <w:rFonts w:cstheme="minorHAnsi"/>
          <w:sz w:val="18"/>
          <w:szCs w:val="18"/>
        </w:rPr>
        <w:t>.</w:t>
      </w:r>
      <w:r w:rsidRPr="00F46F36">
        <w:rPr>
          <w:rFonts w:cstheme="minorHAnsi"/>
          <w:sz w:val="18"/>
          <w:szCs w:val="18"/>
        </w:rPr>
        <w:t xml:space="preserve"> The big choices for oil and gas in navigating the energy transition</w:t>
      </w:r>
      <w:r w:rsidR="001F0994" w:rsidRPr="00F46F36">
        <w:rPr>
          <w:rFonts w:cstheme="minorHAnsi"/>
          <w:sz w:val="18"/>
          <w:szCs w:val="18"/>
        </w:rPr>
        <w:t>.</w:t>
      </w:r>
      <w:r w:rsidRPr="00F46F36">
        <w:rPr>
          <w:rFonts w:cstheme="minorHAnsi"/>
          <w:sz w:val="18"/>
          <w:szCs w:val="18"/>
        </w:rPr>
        <w:t xml:space="preserve"> 10 </w:t>
      </w:r>
      <w:proofErr w:type="gramStart"/>
      <w:r w:rsidRPr="00F46F36">
        <w:rPr>
          <w:rFonts w:cstheme="minorHAnsi"/>
          <w:sz w:val="18"/>
          <w:szCs w:val="18"/>
        </w:rPr>
        <w:t>March,</w:t>
      </w:r>
      <w:proofErr w:type="gramEnd"/>
      <w:r w:rsidRPr="00F46F36">
        <w:rPr>
          <w:rFonts w:cstheme="minorHAnsi"/>
          <w:sz w:val="18"/>
          <w:szCs w:val="18"/>
        </w:rPr>
        <w:t xml:space="preserve"> 2021, McKinsey and Company. </w:t>
      </w:r>
      <w:hyperlink r:id="rId46" w:history="1">
        <w:r w:rsidRPr="00F46F36">
          <w:rPr>
            <w:rStyle w:val="Hyperlink"/>
            <w:rFonts w:cstheme="minorHAnsi"/>
            <w:sz w:val="18"/>
            <w:szCs w:val="18"/>
          </w:rPr>
          <w:t>https://www.mckinsey.com/industries/oil-and-gas/our-insights/the-big-choices-for-oil-and-gas-in-navigating-the-energy-transition</w:t>
        </w:r>
      </w:hyperlink>
      <w:r w:rsidRPr="00F46F36">
        <w:rPr>
          <w:rFonts w:cstheme="minorHAnsi"/>
          <w:sz w:val="18"/>
          <w:szCs w:val="18"/>
        </w:rPr>
        <w:t xml:space="preserve"> </w:t>
      </w:r>
    </w:p>
    <w:p w14:paraId="3EBD297D" w14:textId="756836FD"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Ministry of Climate and Environment</w:t>
      </w:r>
      <w:r w:rsidR="00AB6578" w:rsidRPr="00F46F36">
        <w:rPr>
          <w:rFonts w:cstheme="minorHAnsi"/>
          <w:sz w:val="18"/>
          <w:szCs w:val="18"/>
        </w:rPr>
        <w:t>, Norway</w:t>
      </w:r>
      <w:r w:rsidRPr="00F46F36">
        <w:rPr>
          <w:rFonts w:cstheme="minorHAnsi"/>
          <w:sz w:val="18"/>
          <w:szCs w:val="18"/>
        </w:rPr>
        <w:t xml:space="preserve"> </w:t>
      </w:r>
      <w:r w:rsidR="000D3FBD" w:rsidRPr="00F46F36">
        <w:rPr>
          <w:rFonts w:cstheme="minorHAnsi"/>
          <w:sz w:val="18"/>
          <w:szCs w:val="18"/>
        </w:rPr>
        <w:t>(2021)</w:t>
      </w:r>
      <w:r w:rsidR="00560EAC" w:rsidRPr="00F46F36">
        <w:rPr>
          <w:rFonts w:cstheme="minorHAnsi"/>
          <w:sz w:val="18"/>
          <w:szCs w:val="18"/>
        </w:rPr>
        <w:t>.</w:t>
      </w:r>
      <w:r w:rsidR="000D3FBD" w:rsidRPr="00F46F36">
        <w:rPr>
          <w:rFonts w:cstheme="minorHAnsi"/>
          <w:sz w:val="18"/>
          <w:szCs w:val="18"/>
        </w:rPr>
        <w:t xml:space="preserve"> </w:t>
      </w:r>
      <w:r w:rsidRPr="00F46F36">
        <w:rPr>
          <w:rFonts w:cstheme="minorHAnsi"/>
          <w:sz w:val="18"/>
          <w:szCs w:val="18"/>
        </w:rPr>
        <w:t>Norway’s comprehensive climate action plan</w:t>
      </w:r>
      <w:r w:rsidR="001F0994" w:rsidRPr="00F46F36">
        <w:rPr>
          <w:rFonts w:cstheme="minorHAnsi"/>
          <w:sz w:val="18"/>
          <w:szCs w:val="18"/>
        </w:rPr>
        <w:t>.</w:t>
      </w:r>
      <w:r w:rsidRPr="00F46F36">
        <w:rPr>
          <w:rFonts w:cstheme="minorHAnsi"/>
          <w:sz w:val="18"/>
          <w:szCs w:val="18"/>
        </w:rPr>
        <w:t xml:space="preserve"> 08 January 2021, Government of Norway.  </w:t>
      </w:r>
      <w:hyperlink r:id="rId47" w:history="1">
        <w:r w:rsidRPr="00F46F36">
          <w:rPr>
            <w:rStyle w:val="Hyperlink"/>
            <w:rFonts w:cstheme="minorHAnsi"/>
            <w:sz w:val="18"/>
            <w:szCs w:val="18"/>
          </w:rPr>
          <w:t>https://www.regjeringen.no/en/aktuelt/heilskapeleg-plan-for-a-na-klimamalet/id2827600/?expand=factbox2834802</w:t>
        </w:r>
      </w:hyperlink>
      <w:r w:rsidRPr="00F46F36">
        <w:rPr>
          <w:rFonts w:cstheme="minorHAnsi"/>
          <w:sz w:val="18"/>
          <w:szCs w:val="18"/>
        </w:rPr>
        <w:t xml:space="preserve"> </w:t>
      </w:r>
    </w:p>
    <w:p w14:paraId="5130DD4B" w14:textId="726464A5" w:rsidR="00EC1FA1" w:rsidRPr="00F46F36" w:rsidRDefault="00EC1FA1" w:rsidP="00140499">
      <w:pPr>
        <w:pStyle w:val="NoSpacing"/>
        <w:spacing w:after="60"/>
        <w:ind w:left="720" w:hanging="720"/>
        <w:rPr>
          <w:rFonts w:cstheme="minorHAnsi"/>
          <w:sz w:val="18"/>
          <w:szCs w:val="18"/>
        </w:rPr>
      </w:pPr>
      <w:r w:rsidRPr="00F46F36">
        <w:rPr>
          <w:rFonts w:cstheme="minorHAnsi"/>
          <w:sz w:val="18"/>
          <w:szCs w:val="18"/>
        </w:rPr>
        <w:t>Ministry of Enterprise and Innovation</w:t>
      </w:r>
      <w:r w:rsidR="00AB6578" w:rsidRPr="00F46F36">
        <w:rPr>
          <w:rFonts w:cstheme="minorHAnsi"/>
          <w:sz w:val="18"/>
          <w:szCs w:val="18"/>
        </w:rPr>
        <w:t>, Sweden</w:t>
      </w:r>
      <w:r w:rsidR="000D3FBD" w:rsidRPr="00F46F36">
        <w:rPr>
          <w:rFonts w:cstheme="minorHAnsi"/>
          <w:sz w:val="18"/>
          <w:szCs w:val="18"/>
        </w:rPr>
        <w:t xml:space="preserve"> (2020)</w:t>
      </w:r>
      <w:r w:rsidR="00560EAC" w:rsidRPr="00F46F36">
        <w:rPr>
          <w:rFonts w:cstheme="minorHAnsi"/>
          <w:sz w:val="18"/>
          <w:szCs w:val="18"/>
        </w:rPr>
        <w:t>.</w:t>
      </w:r>
      <w:r w:rsidRPr="00F46F36">
        <w:rPr>
          <w:rFonts w:cstheme="minorHAnsi"/>
          <w:sz w:val="18"/>
          <w:szCs w:val="18"/>
        </w:rPr>
        <w:t xml:space="preserve"> Annual Report for State-owned Enterprises 2019, Government Offices of Sweden, 30 September 2020. </w:t>
      </w:r>
      <w:hyperlink r:id="rId48" w:history="1">
        <w:r w:rsidRPr="00F46F36">
          <w:rPr>
            <w:rStyle w:val="Hyperlink"/>
            <w:rFonts w:cstheme="minorHAnsi"/>
            <w:sz w:val="18"/>
            <w:szCs w:val="18"/>
          </w:rPr>
          <w:t>https://www.government.se/reports/2020/09/annual-report-for-state-owned-enterprises-2019/</w:t>
        </w:r>
      </w:hyperlink>
      <w:r w:rsidRPr="00F46F36">
        <w:rPr>
          <w:rFonts w:cstheme="minorHAnsi"/>
          <w:sz w:val="18"/>
          <w:szCs w:val="18"/>
        </w:rPr>
        <w:t xml:space="preserve"> </w:t>
      </w:r>
    </w:p>
    <w:p w14:paraId="3BE45D0C" w14:textId="1075F80B" w:rsidR="007776C0" w:rsidRPr="00F46F36" w:rsidRDefault="007776C0" w:rsidP="00140499">
      <w:pPr>
        <w:pStyle w:val="NoSpacing"/>
        <w:spacing w:after="60"/>
        <w:ind w:left="720" w:hanging="720"/>
        <w:rPr>
          <w:rFonts w:cstheme="minorHAnsi"/>
          <w:sz w:val="18"/>
          <w:szCs w:val="18"/>
        </w:rPr>
      </w:pPr>
      <w:r w:rsidRPr="00F46F36">
        <w:rPr>
          <w:rFonts w:cstheme="minorHAnsi"/>
          <w:sz w:val="18"/>
          <w:szCs w:val="18"/>
        </w:rPr>
        <w:t xml:space="preserve">Morsing, Mette (2011). State-Owned Enterprises: A Corporatization of Governments? Management Communication Quarterly. 25. 710-717. </w:t>
      </w:r>
      <w:hyperlink r:id="rId49" w:history="1">
        <w:r w:rsidRPr="00F46F36">
          <w:rPr>
            <w:rStyle w:val="Hyperlink"/>
            <w:rFonts w:cstheme="minorHAnsi"/>
            <w:sz w:val="18"/>
            <w:szCs w:val="18"/>
          </w:rPr>
          <w:t>file:///C:/Users/wb114542/Downloads/0893318911415600.pdf</w:t>
        </w:r>
      </w:hyperlink>
    </w:p>
    <w:p w14:paraId="79ED7D18" w14:textId="18B97944" w:rsidR="003E38D2" w:rsidRPr="00F46F36" w:rsidRDefault="003E38D2" w:rsidP="00140499">
      <w:pPr>
        <w:pStyle w:val="NoSpacing"/>
        <w:spacing w:after="60"/>
        <w:ind w:left="720" w:hanging="720"/>
        <w:rPr>
          <w:rFonts w:cstheme="minorHAnsi"/>
          <w:color w:val="000000"/>
          <w:sz w:val="18"/>
          <w:szCs w:val="18"/>
        </w:rPr>
      </w:pPr>
      <w:proofErr w:type="spellStart"/>
      <w:r w:rsidRPr="00F46F36">
        <w:rPr>
          <w:rFonts w:cstheme="minorHAnsi"/>
          <w:sz w:val="18"/>
          <w:szCs w:val="18"/>
        </w:rPr>
        <w:t>Organisation</w:t>
      </w:r>
      <w:proofErr w:type="spellEnd"/>
      <w:r w:rsidRPr="00F46F36">
        <w:rPr>
          <w:rFonts w:cstheme="minorHAnsi"/>
          <w:sz w:val="18"/>
          <w:szCs w:val="18"/>
        </w:rPr>
        <w:t xml:space="preserve"> for Economic Co-operation and Development (OECD)</w:t>
      </w:r>
      <w:r w:rsidRPr="00F46F36">
        <w:rPr>
          <w:rFonts w:cstheme="minorHAnsi"/>
          <w:color w:val="000000"/>
          <w:sz w:val="18"/>
          <w:szCs w:val="18"/>
        </w:rPr>
        <w:t>, (2020</w:t>
      </w:r>
      <w:r w:rsidR="00695F1A" w:rsidRPr="00F46F36">
        <w:rPr>
          <w:rFonts w:cstheme="minorHAnsi"/>
          <w:color w:val="000000"/>
          <w:sz w:val="18"/>
          <w:szCs w:val="18"/>
        </w:rPr>
        <w:t>a</w:t>
      </w:r>
      <w:r w:rsidRPr="00F46F36">
        <w:rPr>
          <w:rFonts w:cstheme="minorHAnsi"/>
          <w:color w:val="000000"/>
          <w:sz w:val="18"/>
          <w:szCs w:val="18"/>
        </w:rPr>
        <w:t>), Business and Finance Outlook 2020: Sustainable and Resilient Finance, OECD Publishing, Paris, </w:t>
      </w:r>
      <w:hyperlink r:id="rId50" w:history="1">
        <w:r w:rsidRPr="00F46F36">
          <w:rPr>
            <w:rStyle w:val="Hyperlink"/>
            <w:rFonts w:cstheme="minorHAnsi"/>
            <w:sz w:val="18"/>
            <w:szCs w:val="18"/>
          </w:rPr>
          <w:t>https://doi.org/10.1787/eb61fd29-en</w:t>
        </w:r>
      </w:hyperlink>
      <w:r w:rsidRPr="00F46F36">
        <w:rPr>
          <w:rFonts w:cstheme="minorHAnsi"/>
          <w:color w:val="000000"/>
          <w:sz w:val="18"/>
          <w:szCs w:val="18"/>
        </w:rPr>
        <w:t>.</w:t>
      </w:r>
    </w:p>
    <w:p w14:paraId="26E4F602" w14:textId="1E6DF32E"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OECD </w:t>
      </w:r>
      <w:r w:rsidR="009714B3" w:rsidRPr="00F46F36">
        <w:rPr>
          <w:rFonts w:cstheme="minorHAnsi"/>
          <w:sz w:val="18"/>
          <w:szCs w:val="18"/>
        </w:rPr>
        <w:t>(</w:t>
      </w:r>
      <w:r w:rsidRPr="00F46F36">
        <w:rPr>
          <w:rFonts w:cstheme="minorHAnsi"/>
          <w:sz w:val="18"/>
          <w:szCs w:val="18"/>
        </w:rPr>
        <w:t>2015</w:t>
      </w:r>
      <w:r w:rsidR="009714B3" w:rsidRPr="00F46F36">
        <w:rPr>
          <w:rFonts w:cstheme="minorHAnsi"/>
          <w:sz w:val="18"/>
          <w:szCs w:val="18"/>
        </w:rPr>
        <w:t>)</w:t>
      </w:r>
      <w:r w:rsidRPr="00F46F36">
        <w:rPr>
          <w:rFonts w:cstheme="minorHAnsi"/>
          <w:sz w:val="18"/>
          <w:szCs w:val="18"/>
        </w:rPr>
        <w:t xml:space="preserve">. Guidelines on Corporate Governance of State-Owned Enterprises. Paris: OECD. </w:t>
      </w:r>
      <w:hyperlink r:id="rId51" w:history="1">
        <w:r w:rsidRPr="00F46F36">
          <w:rPr>
            <w:rStyle w:val="Hyperlink"/>
            <w:rFonts w:cstheme="minorHAnsi"/>
            <w:sz w:val="18"/>
            <w:szCs w:val="18"/>
          </w:rPr>
          <w:t>http://www.oecd.org/corporate/guidelines-corporate-governance-SOEs.htm</w:t>
        </w:r>
      </w:hyperlink>
      <w:r w:rsidRPr="00F46F36">
        <w:rPr>
          <w:rFonts w:cstheme="minorHAnsi"/>
          <w:sz w:val="18"/>
          <w:szCs w:val="18"/>
        </w:rPr>
        <w:t xml:space="preserve"> </w:t>
      </w:r>
    </w:p>
    <w:p w14:paraId="11C5D271" w14:textId="77A88F7E" w:rsidR="0007518C" w:rsidRPr="00F46F36" w:rsidRDefault="0007518C" w:rsidP="00140499">
      <w:pPr>
        <w:pStyle w:val="NoSpacing"/>
        <w:spacing w:after="60"/>
        <w:ind w:left="720" w:hanging="720"/>
        <w:rPr>
          <w:rFonts w:cstheme="minorHAnsi"/>
          <w:sz w:val="18"/>
          <w:szCs w:val="18"/>
        </w:rPr>
      </w:pPr>
      <w:r w:rsidRPr="00F46F36">
        <w:rPr>
          <w:rFonts w:cstheme="minorHAnsi"/>
          <w:sz w:val="18"/>
          <w:szCs w:val="18"/>
        </w:rPr>
        <w:t>OECD (2020</w:t>
      </w:r>
      <w:r w:rsidR="00695F1A" w:rsidRPr="00F46F36">
        <w:rPr>
          <w:rFonts w:cstheme="minorHAnsi"/>
          <w:sz w:val="18"/>
          <w:szCs w:val="18"/>
        </w:rPr>
        <w:t>b</w:t>
      </w:r>
      <w:r w:rsidRPr="00F46F36">
        <w:rPr>
          <w:rFonts w:cstheme="minorHAnsi"/>
          <w:sz w:val="18"/>
          <w:szCs w:val="18"/>
        </w:rPr>
        <w:t xml:space="preserve">), Implementing the OECD Guidelines on Corporate Governance of State-Owned Enterprises: Review of Recent Developments, OECD Publishing, Paris, </w:t>
      </w:r>
      <w:hyperlink r:id="rId52" w:history="1">
        <w:r w:rsidRPr="00F46F36">
          <w:rPr>
            <w:rStyle w:val="Hyperlink"/>
            <w:rFonts w:cstheme="minorHAnsi"/>
            <w:sz w:val="18"/>
            <w:szCs w:val="18"/>
          </w:rPr>
          <w:t>https://doi.org/10.1787/4caa0c3b-en</w:t>
        </w:r>
      </w:hyperlink>
      <w:r w:rsidRPr="00F46F36">
        <w:rPr>
          <w:rFonts w:cstheme="minorHAnsi"/>
          <w:sz w:val="18"/>
          <w:szCs w:val="18"/>
        </w:rPr>
        <w:t xml:space="preserve"> </w:t>
      </w:r>
    </w:p>
    <w:p w14:paraId="38BE80F8" w14:textId="7B16FE81"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OECD </w:t>
      </w:r>
      <w:r w:rsidR="009714B3" w:rsidRPr="00F46F36">
        <w:rPr>
          <w:rFonts w:cstheme="minorHAnsi"/>
          <w:sz w:val="18"/>
          <w:szCs w:val="18"/>
        </w:rPr>
        <w:t>(</w:t>
      </w:r>
      <w:r w:rsidRPr="00F46F36">
        <w:rPr>
          <w:rFonts w:cstheme="minorHAnsi"/>
          <w:sz w:val="18"/>
          <w:szCs w:val="18"/>
        </w:rPr>
        <w:t>2011</w:t>
      </w:r>
      <w:r w:rsidR="009714B3" w:rsidRPr="00F46F36">
        <w:rPr>
          <w:rFonts w:cstheme="minorHAnsi"/>
          <w:sz w:val="18"/>
          <w:szCs w:val="18"/>
        </w:rPr>
        <w:t>)</w:t>
      </w:r>
      <w:r w:rsidRPr="00F46F36">
        <w:rPr>
          <w:rFonts w:cstheme="minorHAnsi"/>
          <w:sz w:val="18"/>
          <w:szCs w:val="18"/>
        </w:rPr>
        <w:t xml:space="preserve">. Towards green growth. Paris: OECD. </w:t>
      </w:r>
      <w:hyperlink r:id="rId53" w:history="1">
        <w:r w:rsidRPr="00F46F36">
          <w:rPr>
            <w:rStyle w:val="Hyperlink"/>
            <w:rFonts w:cstheme="minorHAnsi"/>
            <w:sz w:val="18"/>
            <w:szCs w:val="18"/>
          </w:rPr>
          <w:t>https://www.oecd.org/greengrowth/48012345.pdf</w:t>
        </w:r>
      </w:hyperlink>
      <w:r w:rsidRPr="00F46F36">
        <w:rPr>
          <w:rFonts w:cstheme="minorHAnsi"/>
          <w:sz w:val="18"/>
          <w:szCs w:val="18"/>
        </w:rPr>
        <w:t xml:space="preserve"> </w:t>
      </w:r>
    </w:p>
    <w:p w14:paraId="7F66868D" w14:textId="61591FDB"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lastRenderedPageBreak/>
        <w:t>OEC</w:t>
      </w:r>
      <w:r w:rsidR="004C3892" w:rsidRPr="00F46F36">
        <w:rPr>
          <w:rFonts w:cstheme="minorHAnsi"/>
          <w:sz w:val="18"/>
          <w:szCs w:val="18"/>
        </w:rPr>
        <w:t>D</w:t>
      </w:r>
      <w:r w:rsidRPr="00F46F36">
        <w:rPr>
          <w:rFonts w:cstheme="minorHAnsi"/>
          <w:sz w:val="18"/>
          <w:szCs w:val="18"/>
        </w:rPr>
        <w:t xml:space="preserve"> </w:t>
      </w:r>
      <w:r w:rsidR="009714B3" w:rsidRPr="00F46F36">
        <w:rPr>
          <w:rFonts w:cstheme="minorHAnsi"/>
          <w:sz w:val="18"/>
          <w:szCs w:val="18"/>
        </w:rPr>
        <w:t>(</w:t>
      </w:r>
      <w:r w:rsidRPr="00F46F36">
        <w:rPr>
          <w:rFonts w:cstheme="minorHAnsi"/>
          <w:sz w:val="18"/>
          <w:szCs w:val="18"/>
        </w:rPr>
        <w:t>2018</w:t>
      </w:r>
      <w:r w:rsidR="009714B3" w:rsidRPr="00F46F36">
        <w:rPr>
          <w:rFonts w:cstheme="minorHAnsi"/>
          <w:sz w:val="18"/>
          <w:szCs w:val="18"/>
        </w:rPr>
        <w:t>)</w:t>
      </w:r>
      <w:r w:rsidR="00053035" w:rsidRPr="00F46F36">
        <w:rPr>
          <w:rFonts w:cstheme="minorHAnsi"/>
          <w:sz w:val="18"/>
          <w:szCs w:val="18"/>
        </w:rPr>
        <w:t xml:space="preserve">. </w:t>
      </w:r>
      <w:proofErr w:type="spellStart"/>
      <w:r w:rsidRPr="00F46F36">
        <w:rPr>
          <w:rFonts w:cstheme="minorHAnsi"/>
          <w:sz w:val="18"/>
          <w:szCs w:val="18"/>
        </w:rPr>
        <w:t>Professionalising</w:t>
      </w:r>
      <w:proofErr w:type="spellEnd"/>
      <w:r w:rsidRPr="00F46F36">
        <w:rPr>
          <w:rFonts w:cstheme="minorHAnsi"/>
          <w:sz w:val="18"/>
          <w:szCs w:val="18"/>
        </w:rPr>
        <w:t xml:space="preserve"> Boards of Directors of State-Owned Enterprises: Stocktaking of National Practices. Paris: OECD. </w:t>
      </w:r>
      <w:hyperlink r:id="rId54" w:history="1">
        <w:r w:rsidRPr="00F46F36">
          <w:rPr>
            <w:rStyle w:val="Hyperlink"/>
            <w:rFonts w:cstheme="minorHAnsi"/>
            <w:sz w:val="18"/>
            <w:szCs w:val="18"/>
          </w:rPr>
          <w:t>http://www.oecd.org/daf/ca/soemarket.htm</w:t>
        </w:r>
      </w:hyperlink>
      <w:r w:rsidRPr="00F46F36">
        <w:rPr>
          <w:rFonts w:cstheme="minorHAnsi"/>
          <w:sz w:val="18"/>
          <w:szCs w:val="18"/>
        </w:rPr>
        <w:t xml:space="preserve"> and </w:t>
      </w:r>
      <w:hyperlink r:id="rId55" w:history="1">
        <w:r w:rsidRPr="00F46F36">
          <w:rPr>
            <w:rStyle w:val="Hyperlink"/>
            <w:rFonts w:cstheme="minorHAnsi"/>
            <w:sz w:val="18"/>
            <w:szCs w:val="18"/>
          </w:rPr>
          <w:t>http://www.oecd.org/corporate/ca/Professionalising-boards-of-directors-of-SOEs.pdf</w:t>
        </w:r>
      </w:hyperlink>
      <w:r w:rsidRPr="00F46F36">
        <w:rPr>
          <w:rFonts w:cstheme="minorHAnsi"/>
          <w:sz w:val="18"/>
          <w:szCs w:val="18"/>
        </w:rPr>
        <w:t xml:space="preserve"> </w:t>
      </w:r>
    </w:p>
    <w:p w14:paraId="657309C6" w14:textId="3CBE23FA" w:rsidR="00CE0A85" w:rsidRPr="00F46F36" w:rsidRDefault="00CE0A85" w:rsidP="00140499">
      <w:pPr>
        <w:pStyle w:val="NoSpacing"/>
        <w:spacing w:after="60"/>
        <w:ind w:left="720" w:hanging="720"/>
        <w:rPr>
          <w:rFonts w:cstheme="minorHAnsi"/>
          <w:sz w:val="18"/>
          <w:szCs w:val="18"/>
        </w:rPr>
      </w:pPr>
      <w:r w:rsidRPr="00F46F36">
        <w:rPr>
          <w:rFonts w:cstheme="minorHAnsi"/>
          <w:sz w:val="18"/>
          <w:szCs w:val="18"/>
        </w:rPr>
        <w:t xml:space="preserve">OECD (2017). Investing in Climate, Investing </w:t>
      </w:r>
      <w:proofErr w:type="gramStart"/>
      <w:r w:rsidRPr="00F46F36">
        <w:rPr>
          <w:rFonts w:cstheme="minorHAnsi"/>
          <w:sz w:val="18"/>
          <w:szCs w:val="18"/>
        </w:rPr>
        <w:t>In</w:t>
      </w:r>
      <w:proofErr w:type="gramEnd"/>
      <w:r w:rsidRPr="00F46F36">
        <w:rPr>
          <w:rFonts w:cstheme="minorHAnsi"/>
          <w:sz w:val="18"/>
          <w:szCs w:val="18"/>
        </w:rPr>
        <w:t xml:space="preserve"> Growth. OECD, Paris.</w:t>
      </w:r>
    </w:p>
    <w:p w14:paraId="549ADC72" w14:textId="4D64C272" w:rsidR="0019279A" w:rsidRPr="00F46F36" w:rsidRDefault="0019279A" w:rsidP="00140499">
      <w:pPr>
        <w:pStyle w:val="NoSpacing"/>
        <w:spacing w:after="60"/>
        <w:ind w:left="720" w:hanging="720"/>
        <w:rPr>
          <w:rFonts w:cstheme="minorHAnsi"/>
          <w:sz w:val="18"/>
          <w:szCs w:val="18"/>
        </w:rPr>
      </w:pPr>
      <w:r w:rsidRPr="00F46F36">
        <w:rPr>
          <w:rFonts w:cstheme="minorHAnsi"/>
          <w:sz w:val="18"/>
          <w:szCs w:val="18"/>
        </w:rPr>
        <w:t>OECD (2017</w:t>
      </w:r>
      <w:r w:rsidR="00721DE3" w:rsidRPr="00F46F36">
        <w:rPr>
          <w:rFonts w:cstheme="minorHAnsi"/>
          <w:sz w:val="18"/>
          <w:szCs w:val="18"/>
        </w:rPr>
        <w:t>a</w:t>
      </w:r>
      <w:r w:rsidRPr="00F46F36">
        <w:rPr>
          <w:rFonts w:cstheme="minorHAnsi"/>
          <w:sz w:val="18"/>
          <w:szCs w:val="18"/>
        </w:rPr>
        <w:t>)</w:t>
      </w:r>
      <w:r w:rsidR="005D2738" w:rsidRPr="00F46F36">
        <w:rPr>
          <w:rFonts w:cstheme="minorHAnsi"/>
          <w:sz w:val="18"/>
          <w:szCs w:val="18"/>
        </w:rPr>
        <w:t>.</w:t>
      </w:r>
      <w:r w:rsidRPr="00F46F36">
        <w:rPr>
          <w:rFonts w:cstheme="minorHAnsi"/>
          <w:sz w:val="18"/>
          <w:szCs w:val="18"/>
        </w:rPr>
        <w:t xml:space="preserve"> The Size and Sectoral Distribution of State-Owned Enterprises, OECD, Paris.</w:t>
      </w:r>
    </w:p>
    <w:p w14:paraId="2B78FC02" w14:textId="33280C4C" w:rsidR="00053035" w:rsidRPr="00F46F36" w:rsidRDefault="00053035" w:rsidP="00140499">
      <w:pPr>
        <w:pStyle w:val="NoSpacing"/>
        <w:spacing w:after="60"/>
        <w:ind w:left="720" w:hanging="720"/>
        <w:rPr>
          <w:rFonts w:cstheme="minorHAnsi"/>
          <w:sz w:val="18"/>
          <w:szCs w:val="18"/>
        </w:rPr>
      </w:pPr>
      <w:r w:rsidRPr="00F46F36">
        <w:rPr>
          <w:rFonts w:cstheme="minorHAnsi"/>
          <w:sz w:val="18"/>
          <w:szCs w:val="18"/>
        </w:rPr>
        <w:t xml:space="preserve">OECD </w:t>
      </w:r>
      <w:r w:rsidR="009714B3" w:rsidRPr="00F46F36">
        <w:rPr>
          <w:rFonts w:cstheme="minorHAnsi"/>
          <w:sz w:val="18"/>
          <w:szCs w:val="18"/>
        </w:rPr>
        <w:t>(</w:t>
      </w:r>
      <w:r w:rsidRPr="00F46F36">
        <w:rPr>
          <w:rFonts w:cstheme="minorHAnsi"/>
          <w:sz w:val="18"/>
          <w:szCs w:val="18"/>
        </w:rPr>
        <w:t>2018</w:t>
      </w:r>
      <w:r w:rsidR="009714B3" w:rsidRPr="00F46F36">
        <w:rPr>
          <w:rFonts w:cstheme="minorHAnsi"/>
          <w:sz w:val="18"/>
          <w:szCs w:val="18"/>
        </w:rPr>
        <w:t>)</w:t>
      </w:r>
      <w:r w:rsidRPr="00F46F36">
        <w:rPr>
          <w:rFonts w:cstheme="minorHAnsi"/>
          <w:sz w:val="18"/>
          <w:szCs w:val="18"/>
        </w:rPr>
        <w:t xml:space="preserve">. Update on Recent Progress in Reform of Inefficient Fossil Fuel Subsidies that Encourage Wasteful Consumptions. OECD, Paris. June 2018. </w:t>
      </w:r>
      <w:hyperlink r:id="rId56" w:history="1">
        <w:r w:rsidRPr="00F46F36">
          <w:rPr>
            <w:rStyle w:val="Hyperlink"/>
            <w:rFonts w:cstheme="minorHAnsi"/>
            <w:sz w:val="18"/>
            <w:szCs w:val="18"/>
          </w:rPr>
          <w:t>https://www.oecd.org/fossil-fuels/publication/update-progress-reform-fossil-fuel-subsidies-g20.pdf</w:t>
        </w:r>
      </w:hyperlink>
      <w:r w:rsidRPr="00F46F36">
        <w:rPr>
          <w:rFonts w:cstheme="minorHAnsi"/>
          <w:sz w:val="18"/>
          <w:szCs w:val="18"/>
        </w:rPr>
        <w:t xml:space="preserve"> </w:t>
      </w:r>
    </w:p>
    <w:p w14:paraId="0D0C8872" w14:textId="0BC6A5F4" w:rsidR="00FC0D39" w:rsidRPr="00F46F36" w:rsidRDefault="00FC0D39" w:rsidP="00140499">
      <w:pPr>
        <w:pStyle w:val="NoSpacing"/>
        <w:spacing w:after="60"/>
        <w:ind w:left="720" w:hanging="720"/>
        <w:rPr>
          <w:rFonts w:cstheme="minorHAnsi"/>
          <w:sz w:val="18"/>
          <w:szCs w:val="18"/>
        </w:rPr>
      </w:pPr>
      <w:r w:rsidRPr="00F46F36">
        <w:rPr>
          <w:rFonts w:cstheme="minorHAnsi"/>
          <w:sz w:val="18"/>
          <w:szCs w:val="18"/>
        </w:rPr>
        <w:t xml:space="preserve">Our World in Data based on the Global Carbon Project. </w:t>
      </w:r>
      <w:hyperlink r:id="rId57" w:history="1">
        <w:r w:rsidRPr="00F46F36">
          <w:rPr>
            <w:rStyle w:val="Hyperlink"/>
            <w:rFonts w:cstheme="minorHAnsi"/>
            <w:sz w:val="18"/>
            <w:szCs w:val="18"/>
          </w:rPr>
          <w:t>https://ourworldindata.org/co2-and-other-greenhouse-gas-emissions</w:t>
        </w:r>
      </w:hyperlink>
      <w:r w:rsidRPr="00F46F36">
        <w:rPr>
          <w:rFonts w:cstheme="minorHAnsi"/>
          <w:sz w:val="18"/>
          <w:szCs w:val="18"/>
        </w:rPr>
        <w:t xml:space="preserve"> </w:t>
      </w:r>
    </w:p>
    <w:p w14:paraId="1B44D4F9" w14:textId="5948A633" w:rsidR="003E38D2" w:rsidRPr="00F46F36" w:rsidRDefault="003E38D2" w:rsidP="00140499">
      <w:pPr>
        <w:pStyle w:val="NoSpacing"/>
        <w:spacing w:after="60"/>
        <w:ind w:left="720" w:hanging="720"/>
        <w:rPr>
          <w:rFonts w:cstheme="minorHAnsi"/>
          <w:sz w:val="18"/>
          <w:szCs w:val="18"/>
        </w:rPr>
      </w:pPr>
      <w:proofErr w:type="spellStart"/>
      <w:r w:rsidRPr="00F46F36">
        <w:rPr>
          <w:rFonts w:cstheme="minorHAnsi"/>
          <w:sz w:val="18"/>
          <w:szCs w:val="18"/>
        </w:rPr>
        <w:t>Prag</w:t>
      </w:r>
      <w:proofErr w:type="spellEnd"/>
      <w:r w:rsidRPr="00F46F36">
        <w:rPr>
          <w:rFonts w:cstheme="minorHAnsi"/>
          <w:sz w:val="18"/>
          <w:szCs w:val="18"/>
        </w:rPr>
        <w:t xml:space="preserve">, Andrew </w:t>
      </w:r>
      <w:r w:rsidR="009714B3" w:rsidRPr="00F46F36">
        <w:rPr>
          <w:rFonts w:cstheme="minorHAnsi"/>
          <w:sz w:val="18"/>
          <w:szCs w:val="18"/>
        </w:rPr>
        <w:t>(2020)</w:t>
      </w:r>
      <w:r w:rsidR="001F0994" w:rsidRPr="00F46F36">
        <w:rPr>
          <w:rFonts w:cstheme="minorHAnsi"/>
          <w:sz w:val="18"/>
          <w:szCs w:val="18"/>
        </w:rPr>
        <w:t>.</w:t>
      </w:r>
      <w:r w:rsidR="009714B3" w:rsidRPr="00F46F36">
        <w:rPr>
          <w:rFonts w:cstheme="minorHAnsi"/>
          <w:sz w:val="18"/>
          <w:szCs w:val="18"/>
        </w:rPr>
        <w:t xml:space="preserve"> </w:t>
      </w:r>
      <w:r w:rsidRPr="00F46F36">
        <w:rPr>
          <w:rFonts w:cstheme="minorHAnsi"/>
          <w:sz w:val="18"/>
          <w:szCs w:val="18"/>
        </w:rPr>
        <w:t xml:space="preserve">The Climate Challenge and Trade: Would border carbon adjustments accelerate or hinder climate action? OECD, 25 </w:t>
      </w:r>
      <w:proofErr w:type="gramStart"/>
      <w:r w:rsidRPr="00F46F36">
        <w:rPr>
          <w:rFonts w:cstheme="minorHAnsi"/>
          <w:sz w:val="18"/>
          <w:szCs w:val="18"/>
        </w:rPr>
        <w:t>February,</w:t>
      </w:r>
      <w:proofErr w:type="gramEnd"/>
      <w:r w:rsidRPr="00F46F36">
        <w:rPr>
          <w:rFonts w:cstheme="minorHAnsi"/>
          <w:sz w:val="18"/>
          <w:szCs w:val="18"/>
        </w:rPr>
        <w:t xml:space="preserve"> 2020.</w:t>
      </w:r>
    </w:p>
    <w:p w14:paraId="3AAB10C6" w14:textId="06268C51" w:rsidR="003E38D2" w:rsidRPr="00F46F36" w:rsidRDefault="003E38D2" w:rsidP="00140499">
      <w:pPr>
        <w:pStyle w:val="NoSpacing"/>
        <w:spacing w:after="60"/>
        <w:ind w:left="720" w:hanging="720"/>
        <w:rPr>
          <w:rFonts w:cstheme="minorHAnsi"/>
          <w:sz w:val="18"/>
          <w:szCs w:val="18"/>
        </w:rPr>
      </w:pPr>
      <w:proofErr w:type="spellStart"/>
      <w:r w:rsidRPr="00F46F36">
        <w:rPr>
          <w:rFonts w:cstheme="minorHAnsi"/>
          <w:sz w:val="18"/>
          <w:szCs w:val="18"/>
        </w:rPr>
        <w:t>Prag</w:t>
      </w:r>
      <w:proofErr w:type="spellEnd"/>
      <w:r w:rsidRPr="00F46F36">
        <w:rPr>
          <w:rFonts w:cstheme="minorHAnsi"/>
          <w:sz w:val="18"/>
          <w:szCs w:val="18"/>
        </w:rPr>
        <w:t xml:space="preserve">, A., D. </w:t>
      </w:r>
      <w:proofErr w:type="spellStart"/>
      <w:r w:rsidRPr="00F46F36">
        <w:rPr>
          <w:rFonts w:cstheme="minorHAnsi"/>
          <w:sz w:val="18"/>
          <w:szCs w:val="18"/>
        </w:rPr>
        <w:t>Röttgers</w:t>
      </w:r>
      <w:proofErr w:type="spellEnd"/>
      <w:r w:rsidRPr="00F46F36">
        <w:rPr>
          <w:rFonts w:cstheme="minorHAnsi"/>
          <w:sz w:val="18"/>
          <w:szCs w:val="18"/>
        </w:rPr>
        <w:t xml:space="preserve"> and I. Scherrer (2018)</w:t>
      </w:r>
      <w:r w:rsidR="001F0994" w:rsidRPr="00F46F36">
        <w:rPr>
          <w:rFonts w:cstheme="minorHAnsi"/>
          <w:sz w:val="18"/>
          <w:szCs w:val="18"/>
        </w:rPr>
        <w:t xml:space="preserve">. </w:t>
      </w:r>
      <w:r w:rsidRPr="00F46F36">
        <w:rPr>
          <w:rFonts w:cstheme="minorHAnsi"/>
          <w:sz w:val="18"/>
          <w:szCs w:val="18"/>
        </w:rPr>
        <w:t>State-Owned Enterprises and the Low-Carbon Transition</w:t>
      </w:r>
      <w:r w:rsidR="00942BD2" w:rsidRPr="00F46F36">
        <w:rPr>
          <w:rFonts w:cstheme="minorHAnsi"/>
          <w:sz w:val="18"/>
          <w:szCs w:val="18"/>
        </w:rPr>
        <w:t>.</w:t>
      </w:r>
      <w:r w:rsidRPr="00F46F36">
        <w:rPr>
          <w:rFonts w:cstheme="minorHAnsi"/>
          <w:sz w:val="18"/>
          <w:szCs w:val="18"/>
        </w:rPr>
        <w:t xml:space="preserve"> OECD Environment Working Papers, No. 129, OECD Publishing, Paris, </w:t>
      </w:r>
      <w:hyperlink r:id="rId58" w:history="1">
        <w:r w:rsidR="00942BD2" w:rsidRPr="00F46F36">
          <w:rPr>
            <w:rStyle w:val="Hyperlink"/>
            <w:rFonts w:cstheme="minorHAnsi"/>
            <w:sz w:val="18"/>
            <w:szCs w:val="18"/>
          </w:rPr>
          <w:t>https://doi.org/10.1787/06ff826b-en</w:t>
        </w:r>
      </w:hyperlink>
      <w:r w:rsidR="00942BD2" w:rsidRPr="00F46F36">
        <w:rPr>
          <w:rFonts w:cstheme="minorHAnsi"/>
          <w:sz w:val="18"/>
          <w:szCs w:val="18"/>
        </w:rPr>
        <w:t xml:space="preserve"> </w:t>
      </w:r>
    </w:p>
    <w:p w14:paraId="4FAF5E3C" w14:textId="0FE1ACE9"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Pfeiffer, Alexander &amp; Millar, Richard &amp; Hepburn, Cameron &amp; </w:t>
      </w:r>
      <w:proofErr w:type="spellStart"/>
      <w:r w:rsidRPr="00F46F36">
        <w:rPr>
          <w:rFonts w:cstheme="minorHAnsi"/>
          <w:sz w:val="18"/>
          <w:szCs w:val="18"/>
        </w:rPr>
        <w:t>Beinhocker</w:t>
      </w:r>
      <w:proofErr w:type="spellEnd"/>
      <w:r w:rsidRPr="00F46F36">
        <w:rPr>
          <w:rFonts w:cstheme="minorHAnsi"/>
          <w:sz w:val="18"/>
          <w:szCs w:val="18"/>
        </w:rPr>
        <w:t>, Eric (2016). The “2°C Capital Stock” for Electricity Generation: Committed Cumulative Carbon Emissions from the Electricity Generation Sector and the Transition to a Green Economy. Applied Energy. 179. 10.1016/j.apenergy.2016.02.093.</w:t>
      </w:r>
    </w:p>
    <w:p w14:paraId="15BF09A1" w14:textId="70BD5058" w:rsidR="003E38D2" w:rsidRPr="00F46F36" w:rsidRDefault="00942BD2" w:rsidP="00140499">
      <w:pPr>
        <w:pStyle w:val="NoSpacing"/>
        <w:spacing w:after="60"/>
        <w:ind w:left="720" w:hanging="720"/>
        <w:rPr>
          <w:rFonts w:cstheme="minorHAnsi"/>
          <w:sz w:val="18"/>
          <w:szCs w:val="18"/>
        </w:rPr>
      </w:pPr>
      <w:r w:rsidRPr="00F46F36">
        <w:rPr>
          <w:rFonts w:cstheme="minorHAnsi"/>
          <w:sz w:val="18"/>
          <w:szCs w:val="18"/>
        </w:rPr>
        <w:t>Public-Private Infrastructure Advisory Facility (</w:t>
      </w:r>
      <w:r w:rsidR="003E38D2" w:rsidRPr="00F46F36">
        <w:rPr>
          <w:rFonts w:cstheme="minorHAnsi"/>
          <w:sz w:val="18"/>
          <w:szCs w:val="18"/>
        </w:rPr>
        <w:t>PPIAF</w:t>
      </w:r>
      <w:r w:rsidRPr="00F46F36">
        <w:rPr>
          <w:rFonts w:cstheme="minorHAnsi"/>
          <w:sz w:val="18"/>
          <w:szCs w:val="18"/>
        </w:rPr>
        <w:t xml:space="preserve">, </w:t>
      </w:r>
      <w:r w:rsidR="003E38D2" w:rsidRPr="00F46F36">
        <w:rPr>
          <w:rFonts w:cstheme="minorHAnsi"/>
          <w:sz w:val="18"/>
          <w:szCs w:val="18"/>
        </w:rPr>
        <w:t>2017</w:t>
      </w:r>
      <w:r w:rsidR="009714B3" w:rsidRPr="00F46F36">
        <w:rPr>
          <w:rFonts w:cstheme="minorHAnsi"/>
          <w:sz w:val="18"/>
          <w:szCs w:val="18"/>
        </w:rPr>
        <w:t>)</w:t>
      </w:r>
      <w:r w:rsidRPr="00F46F36">
        <w:rPr>
          <w:rFonts w:cstheme="minorHAnsi"/>
          <w:sz w:val="18"/>
          <w:szCs w:val="18"/>
        </w:rPr>
        <w:t>.</w:t>
      </w:r>
      <w:r w:rsidR="003E38D2" w:rsidRPr="00F46F36">
        <w:rPr>
          <w:rFonts w:cstheme="minorHAnsi"/>
          <w:sz w:val="18"/>
          <w:szCs w:val="18"/>
        </w:rPr>
        <w:t xml:space="preserve"> Who Sponsors Infrastructure Projects? Disentangling public and private contributions</w:t>
      </w:r>
      <w:r w:rsidRPr="00F46F36">
        <w:rPr>
          <w:rFonts w:cstheme="minorHAnsi"/>
          <w:sz w:val="18"/>
          <w:szCs w:val="18"/>
        </w:rPr>
        <w:t>.</w:t>
      </w:r>
      <w:r w:rsidR="003E38D2" w:rsidRPr="00F46F36">
        <w:rPr>
          <w:rFonts w:cstheme="minorHAnsi"/>
          <w:sz w:val="18"/>
          <w:szCs w:val="18"/>
        </w:rPr>
        <w:t xml:space="preserve"> 2017, The World Bank. </w:t>
      </w:r>
      <w:hyperlink r:id="rId59" w:history="1">
        <w:r w:rsidR="003E38D2" w:rsidRPr="00F46F36">
          <w:rPr>
            <w:rStyle w:val="Hyperlink"/>
            <w:rFonts w:cstheme="minorHAnsi"/>
            <w:sz w:val="18"/>
            <w:szCs w:val="18"/>
          </w:rPr>
          <w:t>https://ppi.worldbank.org/en/ppi</w:t>
        </w:r>
      </w:hyperlink>
      <w:r w:rsidR="003E38D2" w:rsidRPr="00F46F36">
        <w:rPr>
          <w:rFonts w:cstheme="minorHAnsi"/>
          <w:sz w:val="18"/>
          <w:szCs w:val="18"/>
        </w:rPr>
        <w:t xml:space="preserve"> </w:t>
      </w:r>
    </w:p>
    <w:p w14:paraId="0A116687" w14:textId="774F5B53" w:rsidR="00837C5C" w:rsidRPr="00F46F36" w:rsidRDefault="00837C5C" w:rsidP="00140499">
      <w:pPr>
        <w:pStyle w:val="NoSpacing"/>
        <w:spacing w:after="60"/>
        <w:ind w:left="720" w:hanging="720"/>
        <w:rPr>
          <w:rFonts w:cstheme="minorHAnsi"/>
          <w:sz w:val="18"/>
          <w:szCs w:val="18"/>
        </w:rPr>
      </w:pPr>
      <w:r w:rsidRPr="00F46F36">
        <w:rPr>
          <w:rFonts w:cstheme="minorHAnsi"/>
          <w:sz w:val="18"/>
          <w:szCs w:val="18"/>
        </w:rPr>
        <w:t>P</w:t>
      </w:r>
      <w:r w:rsidR="00560EAC" w:rsidRPr="00F46F36">
        <w:rPr>
          <w:rFonts w:cstheme="minorHAnsi"/>
          <w:sz w:val="18"/>
          <w:szCs w:val="18"/>
        </w:rPr>
        <w:t xml:space="preserve">rice </w:t>
      </w:r>
      <w:r w:rsidRPr="00F46F36">
        <w:rPr>
          <w:rFonts w:cstheme="minorHAnsi"/>
          <w:sz w:val="18"/>
          <w:szCs w:val="18"/>
        </w:rPr>
        <w:t>W</w:t>
      </w:r>
      <w:r w:rsidR="00560EAC" w:rsidRPr="00F46F36">
        <w:rPr>
          <w:rFonts w:cstheme="minorHAnsi"/>
          <w:sz w:val="18"/>
          <w:szCs w:val="18"/>
        </w:rPr>
        <w:t xml:space="preserve">aterhouse </w:t>
      </w:r>
      <w:r w:rsidRPr="00F46F36">
        <w:rPr>
          <w:rFonts w:cstheme="minorHAnsi"/>
          <w:sz w:val="18"/>
          <w:szCs w:val="18"/>
        </w:rPr>
        <w:t>C</w:t>
      </w:r>
      <w:r w:rsidR="00560EAC" w:rsidRPr="00F46F36">
        <w:rPr>
          <w:rFonts w:cstheme="minorHAnsi"/>
          <w:sz w:val="18"/>
          <w:szCs w:val="18"/>
        </w:rPr>
        <w:t>oopers</w:t>
      </w:r>
      <w:r w:rsidRPr="00F46F36">
        <w:rPr>
          <w:rFonts w:cstheme="minorHAnsi"/>
          <w:sz w:val="18"/>
          <w:szCs w:val="18"/>
        </w:rPr>
        <w:t xml:space="preserve"> (</w:t>
      </w:r>
      <w:r w:rsidR="00560EAC" w:rsidRPr="00F46F36">
        <w:rPr>
          <w:rFonts w:cstheme="minorHAnsi"/>
          <w:sz w:val="18"/>
          <w:szCs w:val="18"/>
        </w:rPr>
        <w:t xml:space="preserve">PWC, </w:t>
      </w:r>
      <w:r w:rsidRPr="00F46F36">
        <w:rPr>
          <w:rFonts w:cstheme="minorHAnsi"/>
          <w:sz w:val="18"/>
          <w:szCs w:val="18"/>
        </w:rPr>
        <w:t>2016)</w:t>
      </w:r>
      <w:r w:rsidR="00560EAC" w:rsidRPr="00F46F36">
        <w:rPr>
          <w:rFonts w:cstheme="minorHAnsi"/>
          <w:sz w:val="18"/>
          <w:szCs w:val="18"/>
        </w:rPr>
        <w:t>.</w:t>
      </w:r>
      <w:r w:rsidRPr="00F46F36">
        <w:rPr>
          <w:rFonts w:cstheme="minorHAnsi"/>
          <w:sz w:val="18"/>
          <w:szCs w:val="18"/>
        </w:rPr>
        <w:t xml:space="preserve"> Sovereign Investors 2020: A growing force</w:t>
      </w:r>
      <w:r w:rsidR="008E0237" w:rsidRPr="00F46F36">
        <w:rPr>
          <w:rFonts w:cstheme="minorHAnsi"/>
          <w:sz w:val="18"/>
          <w:szCs w:val="18"/>
        </w:rPr>
        <w:t>.</w:t>
      </w:r>
      <w:r w:rsidRPr="00F46F36">
        <w:rPr>
          <w:rFonts w:cstheme="minorHAnsi"/>
          <w:sz w:val="18"/>
          <w:szCs w:val="18"/>
        </w:rPr>
        <w:t xml:space="preserve"> PWC, 2016. </w:t>
      </w:r>
      <w:hyperlink r:id="rId60" w:history="1">
        <w:r w:rsidRPr="00F46F36">
          <w:rPr>
            <w:rStyle w:val="Hyperlink"/>
            <w:rFonts w:cstheme="minorHAnsi"/>
            <w:sz w:val="18"/>
            <w:szCs w:val="18"/>
          </w:rPr>
          <w:t>https://www.pwc.com/gx/en/sovereign-wealth-investment-funds/publications/assets/sovereign-investors-2020.pdf</w:t>
        </w:r>
      </w:hyperlink>
      <w:r w:rsidRPr="00F46F36">
        <w:rPr>
          <w:rFonts w:cstheme="minorHAnsi"/>
          <w:sz w:val="18"/>
          <w:szCs w:val="18"/>
        </w:rPr>
        <w:t xml:space="preserve">    </w:t>
      </w:r>
    </w:p>
    <w:p w14:paraId="1A0AD452" w14:textId="78A692C8" w:rsidR="009F3E7C" w:rsidRPr="00F46F36" w:rsidRDefault="009F3E7C" w:rsidP="00140499">
      <w:pPr>
        <w:pStyle w:val="NoSpacing"/>
        <w:spacing w:after="60"/>
        <w:ind w:left="720" w:hanging="720"/>
        <w:rPr>
          <w:rFonts w:cstheme="minorHAnsi"/>
          <w:sz w:val="18"/>
          <w:szCs w:val="18"/>
        </w:rPr>
      </w:pPr>
      <w:r w:rsidRPr="00F46F36">
        <w:rPr>
          <w:rFonts w:cstheme="minorHAnsi"/>
          <w:sz w:val="18"/>
          <w:szCs w:val="18"/>
        </w:rPr>
        <w:t>Ritchie</w:t>
      </w:r>
      <w:r w:rsidR="00600809" w:rsidRPr="00F46F36">
        <w:rPr>
          <w:rFonts w:cstheme="minorHAnsi"/>
          <w:sz w:val="18"/>
          <w:szCs w:val="18"/>
        </w:rPr>
        <w:t>,</w:t>
      </w:r>
      <w:r w:rsidRPr="00F46F36">
        <w:rPr>
          <w:rFonts w:cstheme="minorHAnsi"/>
          <w:sz w:val="18"/>
          <w:szCs w:val="18"/>
        </w:rPr>
        <w:t xml:space="preserve"> </w:t>
      </w:r>
      <w:proofErr w:type="gramStart"/>
      <w:r w:rsidRPr="00F46F36">
        <w:rPr>
          <w:rFonts w:cstheme="minorHAnsi"/>
          <w:sz w:val="18"/>
          <w:szCs w:val="18"/>
        </w:rPr>
        <w:t>Hannah</w:t>
      </w:r>
      <w:proofErr w:type="gramEnd"/>
      <w:r w:rsidRPr="00F46F36">
        <w:rPr>
          <w:rFonts w:cstheme="minorHAnsi"/>
          <w:sz w:val="18"/>
          <w:szCs w:val="18"/>
        </w:rPr>
        <w:t xml:space="preserve"> and Max </w:t>
      </w:r>
      <w:proofErr w:type="spellStart"/>
      <w:r w:rsidRPr="00F46F36">
        <w:rPr>
          <w:rFonts w:cstheme="minorHAnsi"/>
          <w:sz w:val="18"/>
          <w:szCs w:val="18"/>
        </w:rPr>
        <w:t>Roser</w:t>
      </w:r>
      <w:proofErr w:type="spellEnd"/>
      <w:r w:rsidRPr="00F46F36">
        <w:rPr>
          <w:rFonts w:cstheme="minorHAnsi"/>
          <w:sz w:val="18"/>
          <w:szCs w:val="18"/>
        </w:rPr>
        <w:t xml:space="preserve"> (2020). CO₂ and Greenhouse Gas Emissions. Our World in Data based on the Global Carbon Project, August 2020. </w:t>
      </w:r>
      <w:hyperlink r:id="rId61" w:history="1">
        <w:r w:rsidRPr="00F46F36">
          <w:rPr>
            <w:rStyle w:val="Hyperlink"/>
            <w:rFonts w:cstheme="minorHAnsi"/>
            <w:sz w:val="18"/>
            <w:szCs w:val="18"/>
          </w:rPr>
          <w:t>https://ourworldindata.org/co2-and-other-greenhouse-gas-emissions</w:t>
        </w:r>
      </w:hyperlink>
      <w:r w:rsidRPr="00F46F36">
        <w:rPr>
          <w:rFonts w:cstheme="minorHAnsi"/>
          <w:sz w:val="18"/>
          <w:szCs w:val="18"/>
        </w:rPr>
        <w:t xml:space="preserve">. </w:t>
      </w:r>
    </w:p>
    <w:p w14:paraId="5CE11331" w14:textId="7D114180"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Rodrick, D. (2014). </w:t>
      </w:r>
      <w:r w:rsidRPr="00F46F36">
        <w:rPr>
          <w:rFonts w:cstheme="minorHAnsi"/>
          <w:iCs/>
          <w:sz w:val="18"/>
          <w:szCs w:val="18"/>
        </w:rPr>
        <w:t>Green Industrial Policy.</w:t>
      </w:r>
      <w:r w:rsidRPr="00F46F36">
        <w:rPr>
          <w:rFonts w:cstheme="minorHAnsi"/>
          <w:sz w:val="18"/>
          <w:szCs w:val="18"/>
        </w:rPr>
        <w:t xml:space="preserve">  Oxford Review of Economic Policies 30/3: pp. 469-491.</w:t>
      </w:r>
    </w:p>
    <w:p w14:paraId="41AA375C" w14:textId="177CAB68" w:rsidR="003E38D2" w:rsidRPr="00F46F36" w:rsidRDefault="003E38D2" w:rsidP="00140499">
      <w:pPr>
        <w:pStyle w:val="NoSpacing"/>
        <w:spacing w:after="60"/>
        <w:ind w:left="720" w:hanging="720"/>
        <w:rPr>
          <w:rStyle w:val="ng-tns-c1-0"/>
          <w:rFonts w:cstheme="minorHAnsi"/>
          <w:color w:val="333333"/>
          <w:sz w:val="18"/>
          <w:szCs w:val="18"/>
        </w:rPr>
      </w:pPr>
      <w:proofErr w:type="spellStart"/>
      <w:r w:rsidRPr="00F46F36">
        <w:rPr>
          <w:rStyle w:val="ng-tns-c1-0"/>
          <w:rFonts w:cstheme="minorHAnsi"/>
          <w:color w:val="333333"/>
          <w:sz w:val="18"/>
          <w:szCs w:val="18"/>
        </w:rPr>
        <w:t>Roettgers</w:t>
      </w:r>
      <w:proofErr w:type="spellEnd"/>
      <w:r w:rsidRPr="00F46F36">
        <w:rPr>
          <w:rStyle w:val="ng-tns-c1-0"/>
          <w:rFonts w:cstheme="minorHAnsi"/>
          <w:color w:val="333333"/>
          <w:sz w:val="18"/>
          <w:szCs w:val="18"/>
        </w:rPr>
        <w:t>, Dirk and Bill Below</w:t>
      </w:r>
      <w:r w:rsidR="00E42948" w:rsidRPr="00F46F36">
        <w:rPr>
          <w:rStyle w:val="ng-tns-c1-0"/>
          <w:rFonts w:cstheme="minorHAnsi"/>
          <w:color w:val="333333"/>
          <w:sz w:val="18"/>
          <w:szCs w:val="18"/>
        </w:rPr>
        <w:t xml:space="preserve"> (2018)</w:t>
      </w:r>
      <w:r w:rsidR="008E0237" w:rsidRPr="00F46F36">
        <w:rPr>
          <w:rStyle w:val="ng-tns-c1-0"/>
          <w:rFonts w:cstheme="minorHAnsi"/>
          <w:color w:val="333333"/>
          <w:sz w:val="18"/>
          <w:szCs w:val="18"/>
        </w:rPr>
        <w:t xml:space="preserve">. </w:t>
      </w:r>
      <w:r w:rsidRPr="00F46F36">
        <w:rPr>
          <w:rStyle w:val="ng-tns-c1-0"/>
          <w:rFonts w:cstheme="minorHAnsi"/>
          <w:color w:val="333333"/>
          <w:sz w:val="18"/>
          <w:szCs w:val="18"/>
        </w:rPr>
        <w:t xml:space="preserve">Energy sector SOEs: You have the power! OECD, 2018. </w:t>
      </w:r>
      <w:hyperlink r:id="rId62" w:history="1">
        <w:r w:rsidRPr="00F46F36">
          <w:rPr>
            <w:rStyle w:val="Hyperlink"/>
            <w:rFonts w:cstheme="minorHAnsi"/>
            <w:sz w:val="18"/>
            <w:szCs w:val="18"/>
          </w:rPr>
          <w:t>https://www.oecd.org/cgfi/resources/Green-Finance-and-Investment-Insights-Energy-Sector-SOEs-You-Have-the-Power.pdf</w:t>
        </w:r>
      </w:hyperlink>
      <w:r w:rsidRPr="00F46F36">
        <w:rPr>
          <w:rStyle w:val="ng-tns-c1-0"/>
          <w:rFonts w:cstheme="minorHAnsi"/>
          <w:color w:val="333333"/>
          <w:sz w:val="18"/>
          <w:szCs w:val="18"/>
        </w:rPr>
        <w:t xml:space="preserve"> </w:t>
      </w:r>
    </w:p>
    <w:p w14:paraId="3A1AA83A" w14:textId="7844AF5F" w:rsidR="003E38D2" w:rsidRPr="00F46F36" w:rsidRDefault="003E38D2" w:rsidP="00140499">
      <w:pPr>
        <w:pStyle w:val="NoSpacing"/>
        <w:spacing w:after="60"/>
        <w:ind w:left="720" w:hanging="720"/>
        <w:rPr>
          <w:rFonts w:cstheme="minorHAnsi"/>
          <w:color w:val="333333"/>
          <w:sz w:val="18"/>
          <w:szCs w:val="18"/>
        </w:rPr>
      </w:pPr>
      <w:r w:rsidRPr="00F46F36">
        <w:rPr>
          <w:rStyle w:val="ng-tns-c1-0"/>
          <w:rFonts w:cstheme="minorHAnsi"/>
          <w:color w:val="333333"/>
          <w:sz w:val="18"/>
          <w:szCs w:val="18"/>
        </w:rPr>
        <w:t>Rozenberg, Julie, Fay, Marianne</w:t>
      </w:r>
      <w:r w:rsidRPr="00F46F36">
        <w:rPr>
          <w:rFonts w:cstheme="minorHAnsi"/>
          <w:color w:val="333333"/>
          <w:sz w:val="18"/>
          <w:szCs w:val="18"/>
        </w:rPr>
        <w:t xml:space="preserve"> </w:t>
      </w:r>
      <w:r w:rsidR="00E42948" w:rsidRPr="00F46F36">
        <w:rPr>
          <w:rFonts w:cstheme="minorHAnsi"/>
          <w:color w:val="333333"/>
          <w:sz w:val="18"/>
          <w:szCs w:val="18"/>
        </w:rPr>
        <w:t>(</w:t>
      </w:r>
      <w:r w:rsidRPr="00F46F36">
        <w:rPr>
          <w:rFonts w:cstheme="minorHAnsi"/>
          <w:color w:val="333333"/>
          <w:sz w:val="18"/>
          <w:szCs w:val="18"/>
        </w:rPr>
        <w:t>2019</w:t>
      </w:r>
      <w:r w:rsidR="00E42948" w:rsidRPr="00F46F36">
        <w:rPr>
          <w:rFonts w:cstheme="minorHAnsi"/>
          <w:color w:val="333333"/>
          <w:sz w:val="18"/>
          <w:szCs w:val="18"/>
        </w:rPr>
        <w:t>)</w:t>
      </w:r>
      <w:r w:rsidRPr="00F46F36">
        <w:rPr>
          <w:rFonts w:cstheme="minorHAnsi"/>
          <w:color w:val="333333"/>
          <w:sz w:val="18"/>
          <w:szCs w:val="18"/>
        </w:rPr>
        <w:t>. Beyond the Gap: How Countries Can Afford the Infrastructure They Need while Protecting the Planet.</w:t>
      </w:r>
      <w:r w:rsidRPr="00F46F36">
        <w:rPr>
          <w:rFonts w:cstheme="minorHAnsi"/>
          <w:i/>
          <w:iCs/>
          <w:color w:val="333333"/>
          <w:sz w:val="18"/>
          <w:szCs w:val="18"/>
        </w:rPr>
        <w:t> </w:t>
      </w:r>
      <w:r w:rsidRPr="00F46F36">
        <w:rPr>
          <w:rFonts w:cstheme="minorHAnsi"/>
          <w:color w:val="333333"/>
          <w:sz w:val="18"/>
          <w:szCs w:val="18"/>
        </w:rPr>
        <w:t xml:space="preserve">Washington, D.C., World Bank Group. </w:t>
      </w:r>
      <w:hyperlink r:id="rId63" w:history="1">
        <w:r w:rsidRPr="00F46F36">
          <w:rPr>
            <w:rStyle w:val="Hyperlink"/>
            <w:rFonts w:cstheme="minorHAnsi"/>
            <w:sz w:val="18"/>
            <w:szCs w:val="18"/>
          </w:rPr>
          <w:t>http://documents.worldbank.org/curated/en/189471550755819133/Beyond-the-Gap-How-Countries-Can-Afford-the-Infrastructure-They-Need-while-Protecting-the-Planet</w:t>
        </w:r>
      </w:hyperlink>
      <w:r w:rsidRPr="00F46F36">
        <w:rPr>
          <w:rFonts w:cstheme="minorHAnsi"/>
          <w:color w:val="333333"/>
          <w:sz w:val="18"/>
          <w:szCs w:val="18"/>
        </w:rPr>
        <w:t xml:space="preserve"> </w:t>
      </w:r>
      <w:r w:rsidRPr="00F46F36">
        <w:rPr>
          <w:rFonts w:cstheme="minorHAnsi"/>
          <w:sz w:val="18"/>
          <w:szCs w:val="18"/>
        </w:rPr>
        <w:t xml:space="preserve"> </w:t>
      </w:r>
    </w:p>
    <w:p w14:paraId="531A9786" w14:textId="5E9CFB61" w:rsidR="00454247" w:rsidRPr="00F46F36" w:rsidRDefault="008A2DBE" w:rsidP="00140499">
      <w:pPr>
        <w:pStyle w:val="NoSpacing"/>
        <w:spacing w:after="60"/>
        <w:ind w:left="720" w:hanging="720"/>
        <w:rPr>
          <w:rFonts w:cstheme="minorHAnsi"/>
          <w:sz w:val="18"/>
          <w:szCs w:val="18"/>
        </w:rPr>
      </w:pPr>
      <w:r w:rsidRPr="00F46F36">
        <w:rPr>
          <w:rFonts w:cstheme="minorHAnsi"/>
          <w:sz w:val="18"/>
          <w:szCs w:val="18"/>
        </w:rPr>
        <w:t xml:space="preserve">Rozenberg, Julie and Stephane Hallegatte </w:t>
      </w:r>
      <w:r w:rsidR="008E0237" w:rsidRPr="00F46F36">
        <w:rPr>
          <w:rFonts w:cstheme="minorHAnsi"/>
          <w:sz w:val="18"/>
          <w:szCs w:val="18"/>
        </w:rPr>
        <w:t xml:space="preserve">(2015). </w:t>
      </w:r>
      <w:r w:rsidR="00454247" w:rsidRPr="00F46F36">
        <w:rPr>
          <w:rFonts w:cstheme="minorHAnsi"/>
          <w:sz w:val="18"/>
          <w:szCs w:val="18"/>
        </w:rPr>
        <w:t>The Impacts of Climate Change on Poverty in 2030 and the Potential from Rapid, Inclusive, and Climate-Informed Development</w:t>
      </w:r>
      <w:r w:rsidR="008E0237" w:rsidRPr="00F46F36">
        <w:rPr>
          <w:rFonts w:cstheme="minorHAnsi"/>
          <w:sz w:val="18"/>
          <w:szCs w:val="18"/>
        </w:rPr>
        <w:t>.</w:t>
      </w:r>
      <w:r w:rsidR="00454247" w:rsidRPr="00F46F36">
        <w:rPr>
          <w:rFonts w:cstheme="minorHAnsi"/>
          <w:sz w:val="18"/>
          <w:szCs w:val="18"/>
        </w:rPr>
        <w:t xml:space="preserve"> The World Bank Group, 2015. </w:t>
      </w:r>
      <w:hyperlink r:id="rId64" w:history="1">
        <w:r w:rsidR="00454247" w:rsidRPr="00F46F36">
          <w:rPr>
            <w:rStyle w:val="Hyperlink"/>
            <w:rFonts w:cstheme="minorHAnsi"/>
            <w:sz w:val="18"/>
            <w:szCs w:val="18"/>
          </w:rPr>
          <w:t>http://documents1.worldbank.org/curated/en/349001468197334987/pdf/WPS7483.pdf</w:t>
        </w:r>
      </w:hyperlink>
      <w:r w:rsidR="00454247" w:rsidRPr="00F46F36">
        <w:rPr>
          <w:rFonts w:cstheme="minorHAnsi"/>
          <w:sz w:val="18"/>
          <w:szCs w:val="18"/>
        </w:rPr>
        <w:t xml:space="preserve"> </w:t>
      </w:r>
    </w:p>
    <w:p w14:paraId="41E1A884" w14:textId="51091FB0" w:rsidR="00972B29" w:rsidRPr="00F46F36" w:rsidRDefault="00972B29" w:rsidP="00140499">
      <w:pPr>
        <w:pStyle w:val="NoSpacing"/>
        <w:spacing w:after="60"/>
        <w:ind w:left="720" w:hanging="720"/>
        <w:rPr>
          <w:rFonts w:cstheme="minorHAnsi"/>
          <w:sz w:val="18"/>
          <w:szCs w:val="18"/>
        </w:rPr>
      </w:pPr>
      <w:r w:rsidRPr="00F46F36">
        <w:rPr>
          <w:rFonts w:cstheme="minorHAnsi"/>
          <w:sz w:val="18"/>
          <w:szCs w:val="18"/>
        </w:rPr>
        <w:t>Science Based Targets</w:t>
      </w:r>
      <w:r w:rsidR="00E04AA9" w:rsidRPr="00F46F36">
        <w:rPr>
          <w:rFonts w:cstheme="minorHAnsi"/>
          <w:sz w:val="18"/>
          <w:szCs w:val="18"/>
        </w:rPr>
        <w:t xml:space="preserve"> (</w:t>
      </w:r>
      <w:r w:rsidR="009C4D75" w:rsidRPr="00F46F36">
        <w:rPr>
          <w:rFonts w:cstheme="minorHAnsi"/>
          <w:sz w:val="18"/>
          <w:szCs w:val="18"/>
        </w:rPr>
        <w:t xml:space="preserve">SBT, </w:t>
      </w:r>
      <w:r w:rsidR="00E04AA9" w:rsidRPr="00F46F36">
        <w:rPr>
          <w:rFonts w:cstheme="minorHAnsi"/>
          <w:sz w:val="18"/>
          <w:szCs w:val="18"/>
        </w:rPr>
        <w:t>2021)</w:t>
      </w:r>
      <w:r w:rsidR="0047469C" w:rsidRPr="00F46F36">
        <w:rPr>
          <w:rFonts w:cstheme="minorHAnsi"/>
          <w:sz w:val="18"/>
          <w:szCs w:val="18"/>
        </w:rPr>
        <w:t xml:space="preserve">. </w:t>
      </w:r>
      <w:r w:rsidR="00135460" w:rsidRPr="00F46F36">
        <w:rPr>
          <w:rFonts w:cstheme="minorHAnsi"/>
          <w:sz w:val="18"/>
          <w:szCs w:val="18"/>
        </w:rPr>
        <w:t>Ambitious Corporate Climate Action</w:t>
      </w:r>
      <w:r w:rsidR="009C4D75" w:rsidRPr="00F46F36">
        <w:rPr>
          <w:rFonts w:cstheme="minorHAnsi"/>
          <w:sz w:val="18"/>
          <w:szCs w:val="18"/>
        </w:rPr>
        <w:t>. SBT</w:t>
      </w:r>
      <w:r w:rsidR="000244B6" w:rsidRPr="00F46F36">
        <w:rPr>
          <w:rFonts w:cstheme="minorHAnsi"/>
          <w:sz w:val="18"/>
          <w:szCs w:val="18"/>
        </w:rPr>
        <w:t xml:space="preserve"> </w:t>
      </w:r>
      <w:r w:rsidR="009C4D75" w:rsidRPr="00F46F36">
        <w:rPr>
          <w:rFonts w:cstheme="minorHAnsi"/>
          <w:sz w:val="18"/>
          <w:szCs w:val="18"/>
        </w:rPr>
        <w:t xml:space="preserve">(accessed </w:t>
      </w:r>
      <w:r w:rsidR="00E17179" w:rsidRPr="00F46F36">
        <w:rPr>
          <w:rFonts w:cstheme="minorHAnsi"/>
          <w:sz w:val="18"/>
          <w:szCs w:val="18"/>
        </w:rPr>
        <w:t xml:space="preserve">12 </w:t>
      </w:r>
      <w:r w:rsidR="009C4D75" w:rsidRPr="00F46F36">
        <w:rPr>
          <w:rFonts w:cstheme="minorHAnsi"/>
          <w:sz w:val="18"/>
          <w:szCs w:val="18"/>
        </w:rPr>
        <w:t>April 2021)</w:t>
      </w:r>
      <w:r w:rsidR="000244B6" w:rsidRPr="00F46F36">
        <w:rPr>
          <w:rFonts w:cstheme="minorHAnsi"/>
          <w:sz w:val="18"/>
          <w:szCs w:val="18"/>
        </w:rPr>
        <w:t xml:space="preserve">. </w:t>
      </w:r>
      <w:hyperlink r:id="rId65" w:history="1">
        <w:r w:rsidR="00E04AA9" w:rsidRPr="00F46F36">
          <w:rPr>
            <w:rStyle w:val="Hyperlink"/>
            <w:rFonts w:cstheme="minorHAnsi"/>
            <w:sz w:val="18"/>
            <w:szCs w:val="18"/>
          </w:rPr>
          <w:t>https://sciencebasedtargets.org/</w:t>
        </w:r>
      </w:hyperlink>
      <w:r w:rsidR="0047469C" w:rsidRPr="00F46F36">
        <w:rPr>
          <w:rFonts w:cstheme="minorHAnsi"/>
          <w:sz w:val="18"/>
          <w:szCs w:val="18"/>
        </w:rPr>
        <w:t xml:space="preserve"> </w:t>
      </w:r>
    </w:p>
    <w:p w14:paraId="12173A45" w14:textId="7F643211" w:rsidR="00D47651" w:rsidRPr="00F46F36" w:rsidRDefault="00D47651" w:rsidP="00140499">
      <w:pPr>
        <w:pStyle w:val="NoSpacing"/>
        <w:spacing w:after="60"/>
        <w:ind w:left="720" w:hanging="720"/>
        <w:rPr>
          <w:rFonts w:cstheme="minorHAnsi"/>
          <w:sz w:val="18"/>
          <w:szCs w:val="18"/>
        </w:rPr>
      </w:pPr>
      <w:r w:rsidRPr="00F46F36">
        <w:rPr>
          <w:rFonts w:cstheme="minorHAnsi"/>
          <w:sz w:val="18"/>
          <w:szCs w:val="18"/>
        </w:rPr>
        <w:t xml:space="preserve">Stanway, David (2021). China's new coal power plant capacity in 2020. Reuters, 3 February 2021. </w:t>
      </w:r>
      <w:hyperlink r:id="rId66" w:anchor=":~:text=China%20put%2038.4%20gigawatts%20(GW,its%20short%2Dterm%20climate%20goals" w:history="1">
        <w:r w:rsidRPr="00F46F36">
          <w:rPr>
            <w:rStyle w:val="Hyperlink"/>
            <w:rFonts w:cstheme="minorHAnsi"/>
            <w:sz w:val="18"/>
            <w:szCs w:val="18"/>
          </w:rPr>
          <w:t>https://www.reuters.com/business/energy/chinas-new-coal-power-plant-capacity-2020-more-than-3-times-rest-worlds-study-2021-02-03/#:~:text=China%20put%2038.4%20gigawatts%20(GW,its%20short%2Dterm%20climate%20goals</w:t>
        </w:r>
      </w:hyperlink>
    </w:p>
    <w:p w14:paraId="492449F0" w14:textId="2918A4F0"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State Council’s State-Owned Assets Supervision and Administration Commission (SASAC)</w:t>
      </w:r>
      <w:r w:rsidR="00837C5C" w:rsidRPr="00F46F36">
        <w:rPr>
          <w:rFonts w:cstheme="minorHAnsi"/>
          <w:sz w:val="18"/>
          <w:szCs w:val="18"/>
        </w:rPr>
        <w:t>, (2010)</w:t>
      </w:r>
      <w:r w:rsidR="008E0237" w:rsidRPr="00F46F36">
        <w:rPr>
          <w:rFonts w:cstheme="minorHAnsi"/>
          <w:sz w:val="18"/>
          <w:szCs w:val="18"/>
        </w:rPr>
        <w:t xml:space="preserve">. </w:t>
      </w:r>
      <w:r w:rsidRPr="00F46F36">
        <w:rPr>
          <w:rFonts w:cstheme="minorHAnsi"/>
          <w:sz w:val="18"/>
          <w:szCs w:val="18"/>
        </w:rPr>
        <w:t xml:space="preserve">Interim Measures for the Supervision and Administration of Energy Saving and Emission Reduction in Central Enterprises, 26 March 2010. </w:t>
      </w:r>
      <w:hyperlink r:id="rId67" w:history="1">
        <w:r w:rsidRPr="00F46F36">
          <w:rPr>
            <w:rStyle w:val="Hyperlink"/>
            <w:rFonts w:cstheme="minorHAnsi"/>
            <w:sz w:val="18"/>
            <w:szCs w:val="18"/>
          </w:rPr>
          <w:t>www.sasac.gov.cn/n85881/n85921/n85936/c358206/content.html</w:t>
        </w:r>
      </w:hyperlink>
      <w:r w:rsidRPr="00F46F36">
        <w:rPr>
          <w:rFonts w:cstheme="minorHAnsi"/>
          <w:sz w:val="18"/>
          <w:szCs w:val="18"/>
        </w:rPr>
        <w:t xml:space="preserve"> </w:t>
      </w:r>
    </w:p>
    <w:p w14:paraId="692C5C79" w14:textId="2C198CBD"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Stern, Nicholas</w:t>
      </w:r>
      <w:r w:rsidR="00837C5C" w:rsidRPr="00F46F36">
        <w:rPr>
          <w:rFonts w:cstheme="minorHAnsi"/>
          <w:sz w:val="18"/>
          <w:szCs w:val="18"/>
        </w:rPr>
        <w:t>, (2015)</w:t>
      </w:r>
      <w:r w:rsidR="008E0237" w:rsidRPr="00F46F36">
        <w:rPr>
          <w:rFonts w:cstheme="minorHAnsi"/>
          <w:sz w:val="18"/>
          <w:szCs w:val="18"/>
        </w:rPr>
        <w:t>.</w:t>
      </w:r>
      <w:r w:rsidRPr="00F46F36">
        <w:rPr>
          <w:rFonts w:cstheme="minorHAnsi"/>
          <w:sz w:val="18"/>
          <w:szCs w:val="18"/>
        </w:rPr>
        <w:t xml:space="preserve"> The Criticality of the Next 10 Years: Delivering the Global Agenda and Building Infrastructure for the 21</w:t>
      </w:r>
      <w:r w:rsidRPr="00F46F36">
        <w:rPr>
          <w:rFonts w:cstheme="minorHAnsi"/>
          <w:sz w:val="18"/>
          <w:szCs w:val="18"/>
          <w:vertAlign w:val="superscript"/>
        </w:rPr>
        <w:t>st</w:t>
      </w:r>
      <w:r w:rsidRPr="00F46F36">
        <w:rPr>
          <w:rFonts w:cstheme="minorHAnsi"/>
          <w:sz w:val="18"/>
          <w:szCs w:val="18"/>
        </w:rPr>
        <w:t xml:space="preserve"> Century</w:t>
      </w:r>
      <w:r w:rsidR="008E0237" w:rsidRPr="00F46F36">
        <w:rPr>
          <w:rFonts w:cstheme="minorHAnsi"/>
          <w:sz w:val="18"/>
          <w:szCs w:val="18"/>
        </w:rPr>
        <w:t>.</w:t>
      </w:r>
      <w:r w:rsidRPr="00F46F36">
        <w:rPr>
          <w:rFonts w:cstheme="minorHAnsi"/>
          <w:sz w:val="18"/>
          <w:szCs w:val="18"/>
        </w:rPr>
        <w:t xml:space="preserve"> 28 October 2015, Keynote Lecture, The World Bank, Washington, DC.</w:t>
      </w:r>
    </w:p>
    <w:p w14:paraId="11E24C43" w14:textId="77777777" w:rsidR="00870835" w:rsidRPr="00F46F36" w:rsidRDefault="00870835" w:rsidP="00140499">
      <w:pPr>
        <w:pStyle w:val="NoSpacing"/>
        <w:spacing w:after="60"/>
        <w:ind w:left="720" w:hanging="720"/>
        <w:rPr>
          <w:rFonts w:cstheme="minorHAnsi"/>
          <w:sz w:val="18"/>
          <w:szCs w:val="18"/>
        </w:rPr>
      </w:pPr>
      <w:r w:rsidRPr="00F46F36">
        <w:rPr>
          <w:rFonts w:cstheme="minorHAnsi"/>
          <w:sz w:val="18"/>
          <w:szCs w:val="18"/>
        </w:rPr>
        <w:t>Taylor, M. (2020). Energy subsidies: Evolution in the global energy transformation to 2050. International Renewable Energy Agency, Abu Dhabi.</w:t>
      </w:r>
    </w:p>
    <w:p w14:paraId="0799C156" w14:textId="77777777"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Tordo, Silvana; Tracy, Brandon S.; </w:t>
      </w:r>
      <w:proofErr w:type="spellStart"/>
      <w:r w:rsidRPr="00F46F36">
        <w:rPr>
          <w:rFonts w:cstheme="minorHAnsi"/>
          <w:sz w:val="18"/>
          <w:szCs w:val="18"/>
        </w:rPr>
        <w:t>Arfaa</w:t>
      </w:r>
      <w:proofErr w:type="spellEnd"/>
      <w:r w:rsidRPr="00F46F36">
        <w:rPr>
          <w:rFonts w:cstheme="minorHAnsi"/>
          <w:sz w:val="18"/>
          <w:szCs w:val="18"/>
        </w:rPr>
        <w:t xml:space="preserve">, Noora. 2011. Natural Oil Companies and Value Creation. World Bank Working Paper; No. 218. World Bank. </w:t>
      </w:r>
      <w:hyperlink r:id="rId68" w:history="1">
        <w:r w:rsidRPr="00F46F36">
          <w:rPr>
            <w:rStyle w:val="Hyperlink"/>
            <w:rFonts w:cstheme="minorHAnsi"/>
            <w:sz w:val="18"/>
            <w:szCs w:val="18"/>
          </w:rPr>
          <w:t>https://openknowledge.worldbank.org/handle/10986/5922</w:t>
        </w:r>
      </w:hyperlink>
      <w:r w:rsidRPr="00F46F36">
        <w:rPr>
          <w:rFonts w:cstheme="minorHAnsi"/>
          <w:sz w:val="18"/>
          <w:szCs w:val="18"/>
        </w:rPr>
        <w:t xml:space="preserve"> </w:t>
      </w:r>
    </w:p>
    <w:p w14:paraId="309AACAD" w14:textId="55F3E82F"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United Nations Environment Programme (UNEP), </w:t>
      </w:r>
      <w:r w:rsidR="003616BC" w:rsidRPr="00F46F36">
        <w:rPr>
          <w:rFonts w:cstheme="minorHAnsi"/>
          <w:sz w:val="18"/>
          <w:szCs w:val="18"/>
        </w:rPr>
        <w:t xml:space="preserve">(2020). </w:t>
      </w:r>
      <w:r w:rsidRPr="00F46F36">
        <w:rPr>
          <w:rFonts w:cstheme="minorHAnsi"/>
          <w:sz w:val="18"/>
          <w:szCs w:val="18"/>
        </w:rPr>
        <w:t xml:space="preserve">Adaptation Gap Report 2020.  UNEP, 14 January 2021. </w:t>
      </w:r>
      <w:hyperlink r:id="rId69" w:history="1">
        <w:r w:rsidRPr="00F46F36">
          <w:rPr>
            <w:rStyle w:val="Hyperlink"/>
            <w:rFonts w:cstheme="minorHAnsi"/>
            <w:sz w:val="18"/>
            <w:szCs w:val="18"/>
          </w:rPr>
          <w:t>https://www.unep.org/resources/adaptation-gap-report-2020</w:t>
        </w:r>
      </w:hyperlink>
      <w:r w:rsidRPr="00F46F36">
        <w:rPr>
          <w:rFonts w:cstheme="minorHAnsi"/>
          <w:sz w:val="18"/>
          <w:szCs w:val="18"/>
        </w:rPr>
        <w:t xml:space="preserve"> </w:t>
      </w:r>
    </w:p>
    <w:p w14:paraId="38DF37AC" w14:textId="5C26C2BE"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UNEP </w:t>
      </w:r>
      <w:r w:rsidR="003616BC" w:rsidRPr="00F46F36">
        <w:rPr>
          <w:rFonts w:cstheme="minorHAnsi"/>
          <w:sz w:val="18"/>
          <w:szCs w:val="18"/>
        </w:rPr>
        <w:t>(2020</w:t>
      </w:r>
      <w:r w:rsidR="0019279A" w:rsidRPr="00F46F36">
        <w:rPr>
          <w:rFonts w:cstheme="minorHAnsi"/>
          <w:sz w:val="18"/>
          <w:szCs w:val="18"/>
        </w:rPr>
        <w:t>a</w:t>
      </w:r>
      <w:r w:rsidR="003616BC" w:rsidRPr="00F46F36">
        <w:rPr>
          <w:rFonts w:cstheme="minorHAnsi"/>
          <w:sz w:val="18"/>
          <w:szCs w:val="18"/>
        </w:rPr>
        <w:t xml:space="preserve">). </w:t>
      </w:r>
      <w:r w:rsidRPr="00F46F36">
        <w:rPr>
          <w:rFonts w:cstheme="minorHAnsi"/>
          <w:sz w:val="18"/>
          <w:szCs w:val="18"/>
        </w:rPr>
        <w:t xml:space="preserve">Adapt Now: A Global Call for Leadership on Climate Resilience, Global Commission on Adaptation Report, September 2019. </w:t>
      </w:r>
      <w:hyperlink r:id="rId70" w:history="1">
        <w:r w:rsidRPr="00F46F36">
          <w:rPr>
            <w:rStyle w:val="Hyperlink"/>
            <w:rFonts w:cstheme="minorHAnsi"/>
            <w:sz w:val="18"/>
            <w:szCs w:val="18"/>
          </w:rPr>
          <w:t>https://www.unep.org/news-and-stories/press-release/global-leaders-call-urgent-action-climate-</w:t>
        </w:r>
        <w:r w:rsidRPr="00F46F36">
          <w:rPr>
            <w:rStyle w:val="Hyperlink"/>
            <w:rFonts w:cstheme="minorHAnsi"/>
            <w:sz w:val="18"/>
            <w:szCs w:val="18"/>
          </w:rPr>
          <w:lastRenderedPageBreak/>
          <w:t>adaptation-commission</w:t>
        </w:r>
      </w:hyperlink>
      <w:r w:rsidRPr="00F46F36">
        <w:rPr>
          <w:rFonts w:cstheme="minorHAnsi"/>
          <w:sz w:val="18"/>
          <w:szCs w:val="18"/>
        </w:rPr>
        <w:t xml:space="preserve"> and </w:t>
      </w:r>
      <w:hyperlink r:id="rId71" w:history="1">
        <w:r w:rsidRPr="00F46F36">
          <w:rPr>
            <w:rStyle w:val="Hyperlink"/>
            <w:rFonts w:cstheme="minorHAnsi"/>
            <w:sz w:val="18"/>
            <w:szCs w:val="18"/>
          </w:rPr>
          <w:t>https://etrp.wmo.int/pluginfile.php/20838/mod_resource/content/0/Global%20Commission_Report_FINAL.pdf</w:t>
        </w:r>
      </w:hyperlink>
    </w:p>
    <w:p w14:paraId="66679E9E" w14:textId="5609DAA7"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UNEP</w:t>
      </w:r>
      <w:r w:rsidR="003616BC" w:rsidRPr="00F46F36">
        <w:rPr>
          <w:rFonts w:cstheme="minorHAnsi"/>
          <w:sz w:val="18"/>
          <w:szCs w:val="18"/>
        </w:rPr>
        <w:t xml:space="preserve"> (2020</w:t>
      </w:r>
      <w:r w:rsidR="0019279A" w:rsidRPr="00F46F36">
        <w:rPr>
          <w:rFonts w:cstheme="minorHAnsi"/>
          <w:sz w:val="18"/>
          <w:szCs w:val="18"/>
        </w:rPr>
        <w:t>b</w:t>
      </w:r>
      <w:r w:rsidR="003616BC" w:rsidRPr="00F46F36">
        <w:rPr>
          <w:rFonts w:cstheme="minorHAnsi"/>
          <w:sz w:val="18"/>
          <w:szCs w:val="18"/>
        </w:rPr>
        <w:t>).</w:t>
      </w:r>
      <w:r w:rsidRPr="00F46F36">
        <w:rPr>
          <w:rFonts w:cstheme="minorHAnsi"/>
          <w:sz w:val="18"/>
          <w:szCs w:val="18"/>
        </w:rPr>
        <w:t xml:space="preserve"> Emission Gap Report 2020: An Inflection Point. UNEP. 9 December 2020. </w:t>
      </w:r>
      <w:hyperlink r:id="rId72" w:history="1">
        <w:r w:rsidRPr="00F46F36">
          <w:rPr>
            <w:rStyle w:val="Hyperlink"/>
            <w:rFonts w:cstheme="minorHAnsi"/>
            <w:sz w:val="18"/>
            <w:szCs w:val="18"/>
          </w:rPr>
          <w:t>https://www.unep.org/emissions-gap-report-2020</w:t>
        </w:r>
      </w:hyperlink>
    </w:p>
    <w:p w14:paraId="6E3AC9A9" w14:textId="36F51CA1" w:rsidR="00F01F0B" w:rsidRPr="00F46F36" w:rsidRDefault="009B5626" w:rsidP="00140499">
      <w:pPr>
        <w:pStyle w:val="NoSpacing"/>
        <w:spacing w:after="60"/>
        <w:ind w:left="720" w:hanging="720"/>
        <w:rPr>
          <w:rFonts w:cstheme="minorHAnsi"/>
          <w:sz w:val="18"/>
          <w:szCs w:val="18"/>
        </w:rPr>
      </w:pPr>
      <w:r w:rsidRPr="00F46F36">
        <w:rPr>
          <w:rFonts w:cstheme="minorHAnsi"/>
          <w:sz w:val="18"/>
          <w:szCs w:val="18"/>
        </w:rPr>
        <w:t>UNEP</w:t>
      </w:r>
      <w:r w:rsidR="00F01F0B" w:rsidRPr="00F46F36">
        <w:rPr>
          <w:rFonts w:cstheme="minorHAnsi"/>
          <w:sz w:val="18"/>
          <w:szCs w:val="18"/>
        </w:rPr>
        <w:t xml:space="preserve"> (2021)</w:t>
      </w:r>
      <w:r w:rsidR="00340562" w:rsidRPr="00F46F36">
        <w:rPr>
          <w:rFonts w:cstheme="minorHAnsi"/>
          <w:sz w:val="18"/>
          <w:szCs w:val="18"/>
        </w:rPr>
        <w:t>.</w:t>
      </w:r>
      <w:r w:rsidR="00F01F0B" w:rsidRPr="00F46F36">
        <w:rPr>
          <w:rFonts w:cstheme="minorHAnsi"/>
          <w:sz w:val="18"/>
          <w:szCs w:val="18"/>
        </w:rPr>
        <w:t xml:space="preserve"> Six-sector Solution to Climate Change (online data tool), accessed 17 April 2021. </w:t>
      </w:r>
      <w:hyperlink r:id="rId73" w:history="1">
        <w:r w:rsidR="00F01F0B" w:rsidRPr="00F46F36">
          <w:rPr>
            <w:rStyle w:val="Hyperlink"/>
            <w:rFonts w:cstheme="minorHAnsi"/>
            <w:sz w:val="18"/>
            <w:szCs w:val="18"/>
          </w:rPr>
          <w:t>https://www.unep.org/interactive/six-sector-solution-climate-change/</w:t>
        </w:r>
      </w:hyperlink>
      <w:r w:rsidR="00F01F0B" w:rsidRPr="00F46F36">
        <w:rPr>
          <w:rFonts w:cstheme="minorHAnsi"/>
          <w:sz w:val="18"/>
          <w:szCs w:val="18"/>
        </w:rPr>
        <w:t xml:space="preserve"> </w:t>
      </w:r>
    </w:p>
    <w:p w14:paraId="0BFEB80E" w14:textId="7B12022D" w:rsidR="000C23D9" w:rsidRPr="00F46F36" w:rsidRDefault="000C23D9" w:rsidP="00140499">
      <w:pPr>
        <w:pStyle w:val="NoSpacing"/>
        <w:spacing w:after="60"/>
        <w:ind w:left="720" w:hanging="720"/>
        <w:rPr>
          <w:rFonts w:cstheme="minorHAnsi"/>
          <w:sz w:val="18"/>
          <w:szCs w:val="18"/>
        </w:rPr>
      </w:pPr>
      <w:r w:rsidRPr="00F46F36">
        <w:rPr>
          <w:rFonts w:cstheme="minorHAnsi"/>
          <w:sz w:val="18"/>
          <w:szCs w:val="18"/>
        </w:rPr>
        <w:t xml:space="preserve">World Bank (2021 </w:t>
      </w:r>
      <w:r w:rsidRPr="00F46F36">
        <w:rPr>
          <w:rFonts w:cstheme="minorHAnsi"/>
          <w:i/>
          <w:iCs/>
          <w:sz w:val="18"/>
          <w:szCs w:val="18"/>
        </w:rPr>
        <w:t>forthcoming</w:t>
      </w:r>
      <w:r w:rsidRPr="00F46F36">
        <w:rPr>
          <w:rFonts w:cstheme="minorHAnsi"/>
          <w:sz w:val="18"/>
          <w:szCs w:val="18"/>
        </w:rPr>
        <w:t>), “Inclusion of Climate Related Financial Disclosures in the Integrated SOE Framework (ISOEF).</w:t>
      </w:r>
      <w:r w:rsidR="005A6078" w:rsidRPr="00F46F36">
        <w:rPr>
          <w:rFonts w:cstheme="minorHAnsi"/>
          <w:sz w:val="18"/>
          <w:szCs w:val="18"/>
        </w:rPr>
        <w:t xml:space="preserve"> Washington, DC.</w:t>
      </w:r>
    </w:p>
    <w:p w14:paraId="303D0B23" w14:textId="26EDCDD9"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 xml:space="preserve">World Bank </w:t>
      </w:r>
      <w:r w:rsidR="003616BC" w:rsidRPr="00F46F36">
        <w:rPr>
          <w:rFonts w:cstheme="minorHAnsi"/>
          <w:sz w:val="18"/>
          <w:szCs w:val="18"/>
        </w:rPr>
        <w:t>(</w:t>
      </w:r>
      <w:r w:rsidRPr="00F46F36">
        <w:rPr>
          <w:rFonts w:cstheme="minorHAnsi"/>
          <w:sz w:val="18"/>
          <w:szCs w:val="18"/>
        </w:rPr>
        <w:t>2020</w:t>
      </w:r>
      <w:r w:rsidR="003616BC" w:rsidRPr="00F46F36">
        <w:rPr>
          <w:rFonts w:cstheme="minorHAnsi"/>
          <w:sz w:val="18"/>
          <w:szCs w:val="18"/>
        </w:rPr>
        <w:t>)</w:t>
      </w:r>
      <w:r w:rsidRPr="00F46F36">
        <w:rPr>
          <w:rFonts w:cstheme="minorHAnsi"/>
          <w:sz w:val="18"/>
          <w:szCs w:val="18"/>
        </w:rPr>
        <w:t xml:space="preserve">. Taking Stock, December 2020: From COVID-19 to Climate Change - How Vietnam Can Become the Champion of Green Recovery. World Bank, Hanoi. </w:t>
      </w:r>
      <w:hyperlink r:id="rId74" w:history="1">
        <w:r w:rsidRPr="00F46F36">
          <w:rPr>
            <w:rStyle w:val="Hyperlink"/>
            <w:rFonts w:cstheme="minorHAnsi"/>
            <w:sz w:val="18"/>
            <w:szCs w:val="18"/>
          </w:rPr>
          <w:t>https://openknowledge.worldbank.org/handle/10986/34961</w:t>
        </w:r>
      </w:hyperlink>
      <w:r w:rsidRPr="00F46F36">
        <w:rPr>
          <w:rFonts w:cstheme="minorHAnsi"/>
          <w:sz w:val="18"/>
          <w:szCs w:val="18"/>
        </w:rPr>
        <w:t xml:space="preserve"> </w:t>
      </w:r>
    </w:p>
    <w:p w14:paraId="3C8496C8" w14:textId="2EA15F1D" w:rsidR="00697BC8" w:rsidRPr="00F46F36" w:rsidRDefault="00697BC8" w:rsidP="00140499">
      <w:pPr>
        <w:pStyle w:val="NoSpacing"/>
        <w:spacing w:after="60"/>
        <w:ind w:left="720" w:hanging="720"/>
        <w:rPr>
          <w:rFonts w:cstheme="minorHAnsi"/>
          <w:sz w:val="18"/>
          <w:szCs w:val="18"/>
        </w:rPr>
      </w:pPr>
      <w:r w:rsidRPr="00F46F36">
        <w:rPr>
          <w:rFonts w:cstheme="minorHAnsi"/>
          <w:sz w:val="18"/>
          <w:szCs w:val="18"/>
        </w:rPr>
        <w:t xml:space="preserve">World Bank (2021a </w:t>
      </w:r>
      <w:r w:rsidRPr="00F46F36">
        <w:rPr>
          <w:rFonts w:cstheme="minorHAnsi"/>
          <w:i/>
          <w:iCs/>
          <w:sz w:val="18"/>
          <w:szCs w:val="18"/>
        </w:rPr>
        <w:t>forthcoming</w:t>
      </w:r>
      <w:r w:rsidRPr="00F46F36">
        <w:rPr>
          <w:rFonts w:cstheme="minorHAnsi"/>
          <w:sz w:val="18"/>
          <w:szCs w:val="18"/>
        </w:rPr>
        <w:t>), “Thematic Guidance Note: Restructuring State-Owned Enterprises</w:t>
      </w:r>
      <w:r w:rsidR="006B5BB6" w:rsidRPr="00F46F36">
        <w:rPr>
          <w:rFonts w:cstheme="minorHAnsi"/>
          <w:sz w:val="18"/>
          <w:szCs w:val="18"/>
        </w:rPr>
        <w:t xml:space="preserve"> in the Integrated SOE Framework (ISOEF)</w:t>
      </w:r>
      <w:r w:rsidR="005A6078" w:rsidRPr="00F46F36">
        <w:rPr>
          <w:rFonts w:cstheme="minorHAnsi"/>
          <w:sz w:val="18"/>
          <w:szCs w:val="18"/>
        </w:rPr>
        <w:t>. Washington, DC</w:t>
      </w:r>
      <w:r w:rsidR="006B5BB6" w:rsidRPr="00F46F36">
        <w:rPr>
          <w:rFonts w:cstheme="minorHAnsi"/>
          <w:sz w:val="18"/>
          <w:szCs w:val="18"/>
        </w:rPr>
        <w:t>.</w:t>
      </w:r>
    </w:p>
    <w:p w14:paraId="6538E08A" w14:textId="13032952" w:rsidR="00024F00" w:rsidRPr="00F46F36" w:rsidRDefault="00024F00" w:rsidP="00024F00">
      <w:pPr>
        <w:pStyle w:val="NoSpacing"/>
        <w:spacing w:after="60"/>
        <w:ind w:left="720" w:hanging="720"/>
        <w:rPr>
          <w:rFonts w:cstheme="minorHAnsi"/>
          <w:sz w:val="18"/>
          <w:szCs w:val="18"/>
        </w:rPr>
      </w:pPr>
      <w:r w:rsidRPr="00F46F36">
        <w:rPr>
          <w:rFonts w:cstheme="minorHAnsi"/>
          <w:sz w:val="18"/>
          <w:szCs w:val="18"/>
        </w:rPr>
        <w:t>World Bank (2021b), Leadership Training Toolkit for State-Owned Enterprises (SOEs) Boards and Owners</w:t>
      </w:r>
      <w:r w:rsidR="004F6482" w:rsidRPr="00F46F36">
        <w:rPr>
          <w:rFonts w:cstheme="minorHAnsi"/>
          <w:sz w:val="18"/>
          <w:szCs w:val="18"/>
        </w:rPr>
        <w:t xml:space="preserve">. </w:t>
      </w:r>
      <w:r w:rsidR="005A6078" w:rsidRPr="00F46F36">
        <w:rPr>
          <w:rFonts w:cstheme="minorHAnsi"/>
          <w:sz w:val="18"/>
          <w:szCs w:val="18"/>
        </w:rPr>
        <w:t xml:space="preserve">Washington, DC. </w:t>
      </w:r>
      <w:hyperlink r:id="rId75" w:history="1">
        <w:r w:rsidR="005A6078" w:rsidRPr="00F46F36">
          <w:rPr>
            <w:rStyle w:val="Hyperlink"/>
            <w:rFonts w:cstheme="minorHAnsi"/>
            <w:sz w:val="18"/>
            <w:szCs w:val="18"/>
          </w:rPr>
          <w:t>https://www.ifc.org/wps/wcm/connect/9882a886-10ba-4d4c-bff8-e0efe0457a93/WBG_SOE_Leadership_Toolkit.pdf?MOD=AJPERES&amp;CVID=nEmMOpk</w:t>
        </w:r>
      </w:hyperlink>
      <w:r w:rsidR="004F6482" w:rsidRPr="00F46F36">
        <w:rPr>
          <w:rFonts w:cstheme="minorHAnsi"/>
          <w:sz w:val="18"/>
          <w:szCs w:val="18"/>
        </w:rPr>
        <w:t xml:space="preserve"> </w:t>
      </w:r>
    </w:p>
    <w:p w14:paraId="30E0FB3B" w14:textId="344564CD" w:rsidR="003E38D2" w:rsidRPr="00F46F36" w:rsidRDefault="003E38D2" w:rsidP="00140499">
      <w:pPr>
        <w:pStyle w:val="NoSpacing"/>
        <w:spacing w:after="60"/>
        <w:ind w:left="720" w:hanging="720"/>
        <w:rPr>
          <w:rFonts w:cstheme="minorHAnsi"/>
          <w:sz w:val="18"/>
          <w:szCs w:val="18"/>
        </w:rPr>
      </w:pPr>
      <w:r w:rsidRPr="00F46F36">
        <w:rPr>
          <w:rFonts w:cstheme="minorHAnsi"/>
          <w:sz w:val="18"/>
          <w:szCs w:val="18"/>
        </w:rPr>
        <w:t>World Bank (2013)</w:t>
      </w:r>
      <w:r w:rsidR="003616BC" w:rsidRPr="00F46F36">
        <w:rPr>
          <w:rFonts w:cstheme="minorHAnsi"/>
          <w:sz w:val="18"/>
          <w:szCs w:val="18"/>
        </w:rPr>
        <w:t>.</w:t>
      </w:r>
      <w:r w:rsidRPr="00F46F36">
        <w:rPr>
          <w:rFonts w:cstheme="minorHAnsi"/>
          <w:sz w:val="18"/>
          <w:szCs w:val="18"/>
        </w:rPr>
        <w:t xml:space="preserve"> </w:t>
      </w:r>
      <w:r w:rsidRPr="00F46F36">
        <w:rPr>
          <w:rFonts w:cstheme="minorHAnsi"/>
          <w:iCs/>
          <w:sz w:val="18"/>
          <w:szCs w:val="18"/>
        </w:rPr>
        <w:t xml:space="preserve">Turn Down the Heat: Climate Extremes, Regional </w:t>
      </w:r>
      <w:proofErr w:type="gramStart"/>
      <w:r w:rsidRPr="00F46F36">
        <w:rPr>
          <w:rFonts w:cstheme="minorHAnsi"/>
          <w:iCs/>
          <w:sz w:val="18"/>
          <w:szCs w:val="18"/>
        </w:rPr>
        <w:t>Impacts</w:t>
      </w:r>
      <w:proofErr w:type="gramEnd"/>
      <w:r w:rsidRPr="00F46F36">
        <w:rPr>
          <w:rFonts w:cstheme="minorHAnsi"/>
          <w:iCs/>
          <w:sz w:val="18"/>
          <w:szCs w:val="18"/>
        </w:rPr>
        <w:t xml:space="preserve"> and the Case for Resilience</w:t>
      </w:r>
      <w:r w:rsidRPr="00F46F36">
        <w:rPr>
          <w:rFonts w:cstheme="minorHAnsi"/>
          <w:sz w:val="18"/>
          <w:szCs w:val="18"/>
        </w:rPr>
        <w:t>.  Washington, DC.  World Bank.</w:t>
      </w:r>
    </w:p>
    <w:p w14:paraId="4212E525" w14:textId="36A5B4C0" w:rsidR="003E38D2" w:rsidRPr="00F46F36" w:rsidRDefault="003E38D2" w:rsidP="00140499">
      <w:pPr>
        <w:pStyle w:val="NoSpacing"/>
        <w:spacing w:after="60"/>
        <w:ind w:left="720" w:hanging="720"/>
        <w:rPr>
          <w:rFonts w:cstheme="minorHAnsi"/>
          <w:sz w:val="18"/>
          <w:szCs w:val="18"/>
        </w:rPr>
      </w:pPr>
      <w:bookmarkStart w:id="8" w:name="_Hlk70431110"/>
      <w:r w:rsidRPr="00F46F36">
        <w:rPr>
          <w:rFonts w:cstheme="minorHAnsi"/>
          <w:sz w:val="18"/>
          <w:szCs w:val="18"/>
        </w:rPr>
        <w:t xml:space="preserve">World Bank </w:t>
      </w:r>
      <w:r w:rsidR="003616BC" w:rsidRPr="00F46F36">
        <w:rPr>
          <w:rFonts w:cstheme="minorHAnsi"/>
          <w:sz w:val="18"/>
          <w:szCs w:val="18"/>
        </w:rPr>
        <w:t>(</w:t>
      </w:r>
      <w:r w:rsidRPr="00F46F36">
        <w:rPr>
          <w:rFonts w:cstheme="minorHAnsi"/>
          <w:sz w:val="18"/>
          <w:szCs w:val="18"/>
        </w:rPr>
        <w:t>2014</w:t>
      </w:r>
      <w:r w:rsidR="003616BC" w:rsidRPr="00F46F36">
        <w:rPr>
          <w:rFonts w:cstheme="minorHAnsi"/>
          <w:sz w:val="18"/>
          <w:szCs w:val="18"/>
        </w:rPr>
        <w:t>)</w:t>
      </w:r>
      <w:r w:rsidRPr="00F46F36">
        <w:rPr>
          <w:rFonts w:cstheme="minorHAnsi"/>
          <w:sz w:val="18"/>
          <w:szCs w:val="18"/>
        </w:rPr>
        <w:t xml:space="preserve">. Corporate Governance of State-Owned Enterprises: A Toolkit. Washington, DC. World Bank. </w:t>
      </w:r>
      <w:hyperlink r:id="rId76" w:history="1">
        <w:r w:rsidRPr="00F46F36">
          <w:rPr>
            <w:rStyle w:val="Hyperlink"/>
            <w:rFonts w:cstheme="minorHAnsi"/>
            <w:sz w:val="18"/>
            <w:szCs w:val="18"/>
          </w:rPr>
          <w:t>https://openknowledge.worldbank.org/handle/10986/20390</w:t>
        </w:r>
      </w:hyperlink>
      <w:r w:rsidRPr="00F46F36">
        <w:rPr>
          <w:rFonts w:cstheme="minorHAnsi"/>
          <w:sz w:val="18"/>
          <w:szCs w:val="18"/>
        </w:rPr>
        <w:t xml:space="preserve"> </w:t>
      </w:r>
      <w:bookmarkEnd w:id="8"/>
    </w:p>
    <w:p w14:paraId="0E13EFBD" w14:textId="5DF5ECA3" w:rsidR="0065786E" w:rsidRPr="00F46F36" w:rsidRDefault="0065786E" w:rsidP="00140499">
      <w:pPr>
        <w:pStyle w:val="NoSpacing"/>
        <w:spacing w:after="60"/>
        <w:ind w:left="720" w:hanging="720"/>
        <w:rPr>
          <w:rFonts w:cstheme="minorHAnsi"/>
          <w:sz w:val="18"/>
          <w:szCs w:val="18"/>
        </w:rPr>
      </w:pPr>
      <w:r w:rsidRPr="00F46F36">
        <w:rPr>
          <w:rFonts w:cstheme="minorHAnsi"/>
          <w:sz w:val="18"/>
          <w:szCs w:val="18"/>
        </w:rPr>
        <w:t>World Resources Institute (WRI, 2020), Climate Watch</w:t>
      </w:r>
      <w:r w:rsidR="00B526AF" w:rsidRPr="00F46F36">
        <w:rPr>
          <w:rFonts w:cstheme="minorHAnsi"/>
          <w:sz w:val="18"/>
          <w:szCs w:val="18"/>
        </w:rPr>
        <w:t xml:space="preserve"> Data Visualization</w:t>
      </w:r>
      <w:r w:rsidRPr="00F46F36">
        <w:rPr>
          <w:rFonts w:cstheme="minorHAnsi"/>
          <w:sz w:val="18"/>
          <w:szCs w:val="18"/>
        </w:rPr>
        <w:t>, Washington DC,</w:t>
      </w:r>
      <w:r w:rsidR="00340562" w:rsidRPr="00F46F36">
        <w:rPr>
          <w:rFonts w:cstheme="minorHAnsi"/>
          <w:sz w:val="18"/>
          <w:szCs w:val="18"/>
        </w:rPr>
        <w:t xml:space="preserve"> WRI</w:t>
      </w:r>
      <w:r w:rsidRPr="00F46F36">
        <w:rPr>
          <w:rFonts w:cstheme="minorHAnsi"/>
          <w:sz w:val="18"/>
          <w:szCs w:val="18"/>
        </w:rPr>
        <w:t xml:space="preserve"> </w:t>
      </w:r>
      <w:r w:rsidR="00533EBD" w:rsidRPr="00F46F36">
        <w:rPr>
          <w:rFonts w:cstheme="minorHAnsi"/>
          <w:sz w:val="18"/>
          <w:szCs w:val="18"/>
        </w:rPr>
        <w:t>(</w:t>
      </w:r>
      <w:r w:rsidR="00B526AF" w:rsidRPr="00F46F36">
        <w:rPr>
          <w:rFonts w:cstheme="minorHAnsi"/>
          <w:sz w:val="18"/>
          <w:szCs w:val="18"/>
        </w:rPr>
        <w:t xml:space="preserve">3 February </w:t>
      </w:r>
      <w:r w:rsidRPr="00F46F36">
        <w:rPr>
          <w:rFonts w:cstheme="minorHAnsi"/>
          <w:sz w:val="18"/>
          <w:szCs w:val="18"/>
        </w:rPr>
        <w:t>2020</w:t>
      </w:r>
      <w:r w:rsidR="00533EBD" w:rsidRPr="00F46F36">
        <w:rPr>
          <w:rFonts w:cstheme="minorHAnsi"/>
          <w:sz w:val="18"/>
          <w:szCs w:val="18"/>
        </w:rPr>
        <w:t>)</w:t>
      </w:r>
      <w:r w:rsidRPr="00F46F36">
        <w:rPr>
          <w:rFonts w:cstheme="minorHAnsi"/>
          <w:sz w:val="18"/>
          <w:szCs w:val="18"/>
        </w:rPr>
        <w:t xml:space="preserve">. </w:t>
      </w:r>
      <w:hyperlink r:id="rId77" w:history="1">
        <w:r w:rsidRPr="00F46F36">
          <w:rPr>
            <w:rStyle w:val="Hyperlink"/>
            <w:rFonts w:cstheme="minorHAnsi"/>
            <w:sz w:val="18"/>
            <w:szCs w:val="18"/>
          </w:rPr>
          <w:t>https://www.wri.org/resources/data-visualizations/world-greenhouse-gas-emissions-2016</w:t>
        </w:r>
      </w:hyperlink>
    </w:p>
    <w:sectPr w:rsidR="0065786E" w:rsidRPr="00F46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8643" w14:textId="77777777" w:rsidR="007C7FDF" w:rsidRDefault="007C7FDF" w:rsidP="00286AA0">
      <w:pPr>
        <w:spacing w:after="0" w:line="240" w:lineRule="auto"/>
      </w:pPr>
      <w:r>
        <w:separator/>
      </w:r>
    </w:p>
  </w:endnote>
  <w:endnote w:type="continuationSeparator" w:id="0">
    <w:p w14:paraId="3A7AA36A" w14:textId="77777777" w:rsidR="007C7FDF" w:rsidRDefault="007C7FDF" w:rsidP="0028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DESLIGHT">
    <w:altName w:val="Calibri"/>
    <w:panose1 w:val="00000000000000000000"/>
    <w:charset w:val="00"/>
    <w:family w:val="auto"/>
    <w:notTrueType/>
    <w:pitch w:val="variable"/>
    <w:sig w:usb0="A000002F" w:usb1="5000005B" w:usb2="00000000" w:usb3="00000000" w:csb0="00000093" w:csb1="00000000"/>
  </w:font>
  <w:font w:name="Andes Bold">
    <w:panose1 w:val="02000000000000000000"/>
    <w:charset w:val="00"/>
    <w:family w:val="modern"/>
    <w:notTrueType/>
    <w:pitch w:val="variable"/>
    <w:sig w:usb0="A000002F" w:usb1="5000005B" w:usb2="00000000" w:usb3="00000000" w:csb0="00000093" w:csb1="00000000"/>
  </w:font>
  <w:font w:name="Andes ExtraLight">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ACBF" w14:textId="77777777" w:rsidR="00721DE3" w:rsidRDefault="0072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679457"/>
      <w:docPartObj>
        <w:docPartGallery w:val="Page Numbers (Bottom of Page)"/>
        <w:docPartUnique/>
      </w:docPartObj>
    </w:sdtPr>
    <w:sdtEndPr>
      <w:rPr>
        <w:noProof/>
      </w:rPr>
    </w:sdtEndPr>
    <w:sdtContent>
      <w:p w14:paraId="783DD2C1" w14:textId="6A3AD26A" w:rsidR="00914997" w:rsidRDefault="00914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9C392" w14:textId="77777777" w:rsidR="00914997" w:rsidRDefault="00914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87D6" w14:textId="77777777" w:rsidR="00721DE3" w:rsidRDefault="0072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58EB" w14:textId="77777777" w:rsidR="007C7FDF" w:rsidRDefault="007C7FDF" w:rsidP="00286AA0">
      <w:pPr>
        <w:spacing w:after="0" w:line="240" w:lineRule="auto"/>
      </w:pPr>
      <w:r>
        <w:separator/>
      </w:r>
    </w:p>
  </w:footnote>
  <w:footnote w:type="continuationSeparator" w:id="0">
    <w:p w14:paraId="251391D7" w14:textId="77777777" w:rsidR="007C7FDF" w:rsidRDefault="007C7FDF" w:rsidP="00286AA0">
      <w:pPr>
        <w:spacing w:after="0" w:line="240" w:lineRule="auto"/>
      </w:pPr>
      <w:r>
        <w:continuationSeparator/>
      </w:r>
    </w:p>
  </w:footnote>
  <w:footnote w:id="1">
    <w:p w14:paraId="758B7EC8" w14:textId="0B3AC5AC" w:rsidR="00914997" w:rsidRPr="00F46F36" w:rsidRDefault="00914997" w:rsidP="00F46F36">
      <w:pPr>
        <w:pStyle w:val="FootnoteText"/>
        <w:jc w:val="both"/>
        <w:rPr>
          <w:rStyle w:val="FootnoteTextChar"/>
          <w:sz w:val="18"/>
          <w:szCs w:val="18"/>
        </w:rPr>
      </w:pPr>
      <w:r w:rsidRPr="00F46F36">
        <w:rPr>
          <w:rStyle w:val="FootnoteReference"/>
          <w:sz w:val="18"/>
          <w:szCs w:val="18"/>
        </w:rPr>
        <w:footnoteRef/>
      </w:r>
      <w:r w:rsidRPr="00F46F36">
        <w:rPr>
          <w:sz w:val="18"/>
          <w:szCs w:val="18"/>
        </w:rPr>
        <w:t xml:space="preserve"> </w:t>
      </w:r>
      <w:r w:rsidRPr="00F46F36">
        <w:rPr>
          <w:rStyle w:val="FootnoteTextChar"/>
          <w:sz w:val="18"/>
          <w:szCs w:val="18"/>
        </w:rPr>
        <w:t xml:space="preserve">This paper is part of a World Bank project, led by Miria Pigato (Lead </w:t>
      </w:r>
      <w:r w:rsidR="005746BD">
        <w:rPr>
          <w:rStyle w:val="FootnoteTextChar"/>
          <w:sz w:val="18"/>
          <w:szCs w:val="18"/>
        </w:rPr>
        <w:t>E</w:t>
      </w:r>
      <w:r w:rsidRPr="00F46F36">
        <w:rPr>
          <w:rStyle w:val="FootnoteTextChar"/>
          <w:sz w:val="18"/>
          <w:szCs w:val="18"/>
        </w:rPr>
        <w:t>conomist) on ‘Securing a Sustainable Recovery: A Guide to Green Taxes and Spending’’, under the supervision of Chiara Bronchi (</w:t>
      </w:r>
      <w:r w:rsidR="005746BD">
        <w:rPr>
          <w:rStyle w:val="FootnoteTextChar"/>
          <w:sz w:val="18"/>
          <w:szCs w:val="18"/>
        </w:rPr>
        <w:t>P</w:t>
      </w:r>
      <w:r w:rsidRPr="00F46F36">
        <w:rPr>
          <w:rStyle w:val="FootnoteTextChar"/>
          <w:sz w:val="18"/>
          <w:szCs w:val="18"/>
        </w:rPr>
        <w:t xml:space="preserve">ractice </w:t>
      </w:r>
      <w:r w:rsidR="005746BD">
        <w:rPr>
          <w:rStyle w:val="FootnoteTextChar"/>
          <w:sz w:val="18"/>
          <w:szCs w:val="18"/>
        </w:rPr>
        <w:t>M</w:t>
      </w:r>
      <w:r w:rsidRPr="00F46F36">
        <w:rPr>
          <w:rStyle w:val="FootnoteTextChar"/>
          <w:sz w:val="18"/>
          <w:szCs w:val="18"/>
        </w:rPr>
        <w:t>anager) and Marcello Estevao (Global Director) in the Macroeconomics, Trade and Investment Global Practice of the World Bank. </w:t>
      </w:r>
      <w:r w:rsidR="005B5C88">
        <w:rPr>
          <w:rStyle w:val="FootnoteTextChar"/>
          <w:sz w:val="18"/>
          <w:szCs w:val="18"/>
        </w:rPr>
        <w:t xml:space="preserve">The team is grateful to </w:t>
      </w:r>
      <w:r w:rsidR="005746BD">
        <w:rPr>
          <w:rStyle w:val="FootnoteTextChar"/>
          <w:sz w:val="18"/>
          <w:szCs w:val="18"/>
        </w:rPr>
        <w:t xml:space="preserve">Kjetil Hansen-Shino (Senior </w:t>
      </w:r>
      <w:r w:rsidR="004E3ACA">
        <w:rPr>
          <w:rStyle w:val="FootnoteTextChar"/>
          <w:sz w:val="18"/>
          <w:szCs w:val="18"/>
        </w:rPr>
        <w:t>Public Sector Specialist</w:t>
      </w:r>
      <w:r w:rsidR="005746BD">
        <w:rPr>
          <w:rStyle w:val="FootnoteTextChar"/>
          <w:sz w:val="18"/>
          <w:szCs w:val="18"/>
        </w:rPr>
        <w:t xml:space="preserve">) </w:t>
      </w:r>
      <w:r w:rsidR="000966DE">
        <w:rPr>
          <w:rStyle w:val="FootnoteTextChar"/>
          <w:sz w:val="18"/>
          <w:szCs w:val="18"/>
        </w:rPr>
        <w:t xml:space="preserve">and </w:t>
      </w:r>
      <w:r w:rsidR="005746BD">
        <w:rPr>
          <w:rStyle w:val="FootnoteTextChar"/>
          <w:sz w:val="18"/>
          <w:szCs w:val="18"/>
        </w:rPr>
        <w:t xml:space="preserve">W. Bernard Drum </w:t>
      </w:r>
      <w:r w:rsidR="003F6DBC">
        <w:rPr>
          <w:rStyle w:val="FootnoteTextChar"/>
          <w:sz w:val="18"/>
          <w:szCs w:val="18"/>
        </w:rPr>
        <w:t xml:space="preserve">(Consultant) </w:t>
      </w:r>
      <w:r w:rsidR="00062905">
        <w:rPr>
          <w:rStyle w:val="FootnoteTextChar"/>
          <w:sz w:val="18"/>
          <w:szCs w:val="18"/>
        </w:rPr>
        <w:t xml:space="preserve">for their </w:t>
      </w:r>
      <w:r w:rsidR="003F6DBC">
        <w:rPr>
          <w:rStyle w:val="FootnoteTextChar"/>
          <w:sz w:val="18"/>
          <w:szCs w:val="18"/>
        </w:rPr>
        <w:t>insightful</w:t>
      </w:r>
      <w:r w:rsidR="00062905">
        <w:rPr>
          <w:rStyle w:val="FootnoteTextChar"/>
          <w:sz w:val="18"/>
          <w:szCs w:val="18"/>
        </w:rPr>
        <w:t xml:space="preserve"> comments</w:t>
      </w:r>
      <w:r w:rsidR="00F30442">
        <w:rPr>
          <w:rStyle w:val="FootnoteTextChar"/>
          <w:sz w:val="18"/>
          <w:szCs w:val="18"/>
        </w:rPr>
        <w:t xml:space="preserve"> on th</w:t>
      </w:r>
      <w:r w:rsidR="004D6950">
        <w:rPr>
          <w:rStyle w:val="FootnoteTextChar"/>
          <w:sz w:val="18"/>
          <w:szCs w:val="18"/>
        </w:rPr>
        <w:t>is paper</w:t>
      </w:r>
      <w:r w:rsidR="00062905">
        <w:rPr>
          <w:rStyle w:val="FootnoteTextChar"/>
          <w:sz w:val="18"/>
          <w:szCs w:val="18"/>
        </w:rPr>
        <w:t xml:space="preserve">. </w:t>
      </w:r>
      <w:r w:rsidRPr="00F46F36">
        <w:rPr>
          <w:rStyle w:val="FootnoteTextChar"/>
          <w:sz w:val="18"/>
          <w:szCs w:val="18"/>
        </w:rPr>
        <w:t xml:space="preserve">The project includes seven technical Notes in response to a growing demand from client countries for insights on green spending polices and tax instruments to help support a sustainable recovery from the Covid-19 induced recession. Financial support from the Just-in Time COVID 19 Support Window for DPFs is gratefully acknowledged. </w:t>
      </w:r>
    </w:p>
  </w:footnote>
  <w:footnote w:id="2">
    <w:p w14:paraId="6B2ADDC9" w14:textId="2272235E" w:rsidR="00914997" w:rsidRPr="00F46F36" w:rsidRDefault="00914997" w:rsidP="00F46F36">
      <w:pPr>
        <w:pStyle w:val="FootnoteText"/>
        <w:jc w:val="both"/>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OECD (2015). </w:t>
      </w:r>
    </w:p>
  </w:footnote>
  <w:footnote w:id="3">
    <w:p w14:paraId="668B6AFE" w14:textId="10AAA724" w:rsidR="00914997" w:rsidRPr="00F46F36" w:rsidRDefault="00914997" w:rsidP="00F46F36">
      <w:pPr>
        <w:pStyle w:val="FootnoteText"/>
        <w:jc w:val="both"/>
        <w:rPr>
          <w:sz w:val="18"/>
          <w:szCs w:val="18"/>
        </w:rPr>
      </w:pPr>
      <w:r w:rsidRPr="00F46F36">
        <w:rPr>
          <w:rStyle w:val="FootnoteReference"/>
          <w:rFonts w:cstheme="minorHAnsi"/>
          <w:sz w:val="18"/>
          <w:szCs w:val="18"/>
        </w:rPr>
        <w:footnoteRef/>
      </w:r>
      <w:r w:rsidRPr="00F46F36">
        <w:rPr>
          <w:sz w:val="18"/>
          <w:szCs w:val="18"/>
        </w:rPr>
        <w:t xml:space="preserve"> The OECD, for example, categorizes an enterprise as an SOE when the State holds a 20 percent or more ownership stake. Prag et al highlight that the diversity of financial and legal forms of SOEs complicate attempts to define them, posing a significant challenge for research and analysis. Prag, et al (2018). </w:t>
      </w:r>
    </w:p>
  </w:footnote>
  <w:footnote w:id="4">
    <w:p w14:paraId="6BC1D894" w14:textId="5EF9DEDA"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World Bank Group (2014). </w:t>
      </w:r>
    </w:p>
  </w:footnote>
  <w:footnote w:id="5">
    <w:p w14:paraId="069EA599" w14:textId="31B6B12C"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Baum, Anna, et. al (2020).</w:t>
      </w:r>
    </w:p>
  </w:footnote>
  <w:footnote w:id="6">
    <w:p w14:paraId="0F438D91" w14:textId="545EAF37"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OECD (2017</w:t>
      </w:r>
      <w:r w:rsidR="00721DE3">
        <w:rPr>
          <w:rFonts w:cstheme="minorHAnsi"/>
          <w:sz w:val="18"/>
          <w:szCs w:val="18"/>
        </w:rPr>
        <w:t>a</w:t>
      </w:r>
      <w:r w:rsidRPr="00140499">
        <w:rPr>
          <w:rFonts w:cstheme="minorHAnsi"/>
          <w:sz w:val="18"/>
          <w:szCs w:val="18"/>
        </w:rPr>
        <w:t>).</w:t>
      </w:r>
    </w:p>
  </w:footnote>
  <w:footnote w:id="7">
    <w:p w14:paraId="2D9AA2E2" w14:textId="77777777"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Ibid.</w:t>
      </w:r>
    </w:p>
  </w:footnote>
  <w:footnote w:id="8">
    <w:p w14:paraId="34E8B89B" w14:textId="332AE0A5" w:rsidR="00914997" w:rsidRPr="00140499" w:rsidRDefault="00914997" w:rsidP="004B087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Asian Development Bank (ADB, 2020). </w:t>
      </w:r>
    </w:p>
  </w:footnote>
  <w:footnote w:id="9">
    <w:p w14:paraId="7097BBE8" w14:textId="2708AA35" w:rsidR="00914997" w:rsidRDefault="00914997">
      <w:pPr>
        <w:pStyle w:val="FootnoteText"/>
      </w:pPr>
      <w:r w:rsidRPr="00F46F36">
        <w:rPr>
          <w:rStyle w:val="FootnoteReference"/>
          <w:sz w:val="18"/>
          <w:szCs w:val="18"/>
        </w:rPr>
        <w:footnoteRef/>
      </w:r>
      <w:r w:rsidRPr="00F46F36">
        <w:rPr>
          <w:sz w:val="18"/>
          <w:szCs w:val="18"/>
        </w:rPr>
        <w:t xml:space="preserve"> Benoit, Philippe (2019).</w:t>
      </w:r>
    </w:p>
  </w:footnote>
  <w:footnote w:id="10">
    <w:p w14:paraId="716E309D" w14:textId="782F1A46" w:rsidR="00914997" w:rsidRPr="00140499" w:rsidRDefault="00914997" w:rsidP="004B087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Prag, A., D. Röttgers and I. Scherrer (2018).</w:t>
      </w:r>
    </w:p>
  </w:footnote>
  <w:footnote w:id="11">
    <w:p w14:paraId="2B4BE63B" w14:textId="70B64A52" w:rsidR="00914997" w:rsidRPr="00140499" w:rsidRDefault="00914997" w:rsidP="004B087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Roettgers, Dirk and Bill Below (2018). </w:t>
      </w:r>
    </w:p>
  </w:footnote>
  <w:footnote w:id="12">
    <w:p w14:paraId="3C9C9A48" w14:textId="0880CB9E" w:rsidR="00914997" w:rsidRPr="00140499" w:rsidRDefault="00914997">
      <w:pPr>
        <w:pStyle w:val="FootnoteText"/>
        <w:rPr>
          <w:sz w:val="18"/>
          <w:szCs w:val="18"/>
        </w:rPr>
      </w:pPr>
      <w:r w:rsidRPr="00140499">
        <w:rPr>
          <w:rStyle w:val="FootnoteReference"/>
          <w:sz w:val="18"/>
          <w:szCs w:val="18"/>
        </w:rPr>
        <w:footnoteRef/>
      </w:r>
      <w:r w:rsidRPr="00140499">
        <w:rPr>
          <w:sz w:val="18"/>
          <w:szCs w:val="18"/>
        </w:rPr>
        <w:t xml:space="preserve"> Ibid.</w:t>
      </w:r>
    </w:p>
  </w:footnote>
  <w:footnote w:id="13">
    <w:p w14:paraId="133AD7E8" w14:textId="03C5E1C1" w:rsidR="00914997" w:rsidRPr="00250E5B" w:rsidRDefault="00914997" w:rsidP="00912003">
      <w:pPr>
        <w:pStyle w:val="FootnoteText"/>
        <w:rPr>
          <w:rFonts w:cstheme="minorHAnsi"/>
        </w:rPr>
      </w:pPr>
      <w:r w:rsidRPr="00140499">
        <w:rPr>
          <w:rStyle w:val="FootnoteReference"/>
          <w:rFonts w:cstheme="minorHAnsi"/>
          <w:sz w:val="18"/>
          <w:szCs w:val="18"/>
        </w:rPr>
        <w:footnoteRef/>
      </w:r>
      <w:r w:rsidRPr="00140499">
        <w:rPr>
          <w:rFonts w:cstheme="minorHAnsi"/>
          <w:sz w:val="18"/>
          <w:szCs w:val="18"/>
        </w:rPr>
        <w:t xml:space="preserve"> E.g., Nicholas Stern, former World Bank Group Chief Economist, highlights that the potential damages from climate change intensifies as the world gets warmer, with serious risks of tipping points and potential ‘</w:t>
      </w:r>
      <w:r w:rsidR="0035002E" w:rsidRPr="00140499">
        <w:rPr>
          <w:rFonts w:cstheme="minorHAnsi"/>
          <w:sz w:val="18"/>
          <w:szCs w:val="18"/>
        </w:rPr>
        <w:t>irreversibility</w:t>
      </w:r>
      <w:r w:rsidRPr="00140499">
        <w:rPr>
          <w:rFonts w:cstheme="minorHAnsi"/>
          <w:sz w:val="18"/>
          <w:szCs w:val="18"/>
        </w:rPr>
        <w:t xml:space="preserve">’, if temperature increases beyond 1.5 °C (sea level rise, die-back of forests, etc.). Stern, Nicholas (2015). </w:t>
      </w:r>
    </w:p>
  </w:footnote>
  <w:footnote w:id="14">
    <w:p w14:paraId="5379AB7C" w14:textId="697AFA26" w:rsidR="00914997" w:rsidRPr="00250E5B" w:rsidRDefault="00914997" w:rsidP="00912003">
      <w:pPr>
        <w:pStyle w:val="FootnoteText"/>
        <w:rPr>
          <w:rFonts w:cstheme="minorHAnsi"/>
        </w:rPr>
      </w:pPr>
      <w:r w:rsidRPr="00140499">
        <w:rPr>
          <w:rStyle w:val="FootnoteReference"/>
          <w:rFonts w:cstheme="minorHAnsi"/>
          <w:sz w:val="18"/>
          <w:szCs w:val="18"/>
        </w:rPr>
        <w:footnoteRef/>
      </w:r>
      <w:r w:rsidRPr="00140499">
        <w:rPr>
          <w:rFonts w:cstheme="minorHAnsi"/>
          <w:sz w:val="18"/>
          <w:szCs w:val="18"/>
        </w:rPr>
        <w:t xml:space="preserve"> Rozenberg and Hallegatte estimate, in the absence of inclusive and timely climate action, climate change impacts could push up to an additional 122 million more people below the poverty line by 2030. Rozenberg, Julie and Stephane Hallegatte (2015). </w:t>
      </w:r>
    </w:p>
  </w:footnote>
  <w:footnote w:id="15">
    <w:p w14:paraId="7DB48EF8" w14:textId="404C438A" w:rsidR="00914997" w:rsidRPr="00140499" w:rsidRDefault="00914997" w:rsidP="00912003">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Eighty percent of the world’s population live in countries that import fossil fuels. Bond, Kingsmill, et al., (2021). </w:t>
      </w:r>
    </w:p>
  </w:footnote>
  <w:footnote w:id="16">
    <w:p w14:paraId="668EEE39" w14:textId="6B03F942" w:rsidR="00914997" w:rsidRPr="00140499" w:rsidRDefault="00914997" w:rsidP="004B0874">
      <w:pPr>
        <w:pStyle w:val="NoSpacing"/>
        <w:spacing w:line="259" w:lineRule="auto"/>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United Nations Environment Program (UNEP, 2021), and </w:t>
      </w:r>
      <w:r w:rsidRPr="00140499">
        <w:rPr>
          <w:rFonts w:cstheme="minorHAnsi"/>
          <w:bCs/>
          <w:iCs/>
          <w:sz w:val="18"/>
          <w:szCs w:val="18"/>
        </w:rPr>
        <w:t>World Resources Institute (WRI, 2020)</w:t>
      </w:r>
      <w:r w:rsidRPr="00140499">
        <w:rPr>
          <w:rStyle w:val="Hyperlink"/>
          <w:rFonts w:cstheme="minorHAnsi"/>
          <w:bCs/>
          <w:iCs/>
          <w:sz w:val="18"/>
          <w:szCs w:val="18"/>
        </w:rPr>
        <w:t>.</w:t>
      </w:r>
    </w:p>
  </w:footnote>
  <w:footnote w:id="17">
    <w:p w14:paraId="1455FC91" w14:textId="2E887841" w:rsidR="00914997" w:rsidRPr="00140499" w:rsidRDefault="00914997" w:rsidP="004B087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Pfeiffer, Alexander &amp; Millar, Richard &amp; Hepburn, Cameron &amp; Beinhocker, Eric (2016). </w:t>
      </w:r>
    </w:p>
  </w:footnote>
  <w:footnote w:id="18">
    <w:p w14:paraId="11EBA929" w14:textId="77777777" w:rsidR="00914997" w:rsidRPr="00140499" w:rsidRDefault="00914997" w:rsidP="0042750D">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Ibid. </w:t>
      </w:r>
    </w:p>
  </w:footnote>
  <w:footnote w:id="19">
    <w:p w14:paraId="18C551C1" w14:textId="1AF02729" w:rsidR="00914997" w:rsidRPr="00140499" w:rsidRDefault="00914997" w:rsidP="0042750D">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Prag, A., D. Röttgers and I. Scherrer (2018). </w:t>
      </w:r>
    </w:p>
  </w:footnote>
  <w:footnote w:id="20">
    <w:p w14:paraId="64DE1401" w14:textId="6AB59A87" w:rsidR="00914997" w:rsidRPr="00140499" w:rsidRDefault="00914997" w:rsidP="0042750D">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Ibid. </w:t>
      </w:r>
    </w:p>
  </w:footnote>
  <w:footnote w:id="21">
    <w:p w14:paraId="2D5AFC53" w14:textId="64F2EBC3" w:rsidR="00914997" w:rsidRPr="00140499" w:rsidRDefault="00914997">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Public-Private Infrastructure Advisory Facility (PPIAF, 2017).</w:t>
      </w:r>
    </w:p>
  </w:footnote>
  <w:footnote w:id="22">
    <w:p w14:paraId="5837CE60" w14:textId="587A6251" w:rsidR="00914997" w:rsidRPr="00140499" w:rsidRDefault="00914997">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OECD (2011).</w:t>
      </w:r>
    </w:p>
  </w:footnote>
  <w:footnote w:id="23">
    <w:p w14:paraId="7753B5A4" w14:textId="77777777" w:rsidR="004D7995" w:rsidRPr="00140499" w:rsidRDefault="004D7995" w:rsidP="004D7995">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UNEP (2020a).</w:t>
      </w:r>
    </w:p>
  </w:footnote>
  <w:footnote w:id="24">
    <w:p w14:paraId="7024D13A" w14:textId="20291C3D"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E.g., Baum, Anna, et. al, (2019).  </w:t>
      </w:r>
    </w:p>
  </w:footnote>
  <w:footnote w:id="25">
    <w:p w14:paraId="4F7B9A9A" w14:textId="2F86A3A7"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Kane, Korin and Hans Christiansen (2015).</w:t>
      </w:r>
    </w:p>
  </w:footnote>
  <w:footnote w:id="26">
    <w:p w14:paraId="6AD55E5F" w14:textId="5455C653" w:rsidR="00914997" w:rsidRPr="00140499" w:rsidRDefault="00914997">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Prag, A., D. Röttgers and I. Scherrer (2018). </w:t>
      </w:r>
    </w:p>
  </w:footnote>
  <w:footnote w:id="27">
    <w:p w14:paraId="0BA4A421" w14:textId="1949A8F2" w:rsidR="00914997" w:rsidRPr="00140499" w:rsidRDefault="00914997" w:rsidP="002624EE">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Benoit, Philippe (2019).</w:t>
      </w:r>
    </w:p>
  </w:footnote>
  <w:footnote w:id="28">
    <w:p w14:paraId="19B25F12" w14:textId="2A85E817" w:rsidR="00914997" w:rsidRPr="00140499" w:rsidRDefault="00914997" w:rsidP="008C2F2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Hsu, Po-Hsuan and Liang, Hao and Matos, Pedro (2020). </w:t>
      </w:r>
      <w:r>
        <w:rPr>
          <w:rFonts w:cstheme="minorHAnsi"/>
          <w:sz w:val="18"/>
          <w:szCs w:val="18"/>
        </w:rPr>
        <w:t xml:space="preserve">The study uses two main data sets: (1) </w:t>
      </w:r>
      <w:r w:rsidRPr="008C2F24">
        <w:rPr>
          <w:rFonts w:cstheme="minorHAnsi"/>
          <w:sz w:val="18"/>
          <w:szCs w:val="18"/>
        </w:rPr>
        <w:t>Orbis</w:t>
      </w:r>
      <w:r>
        <w:rPr>
          <w:rFonts w:cstheme="minorHAnsi"/>
          <w:sz w:val="18"/>
          <w:szCs w:val="18"/>
        </w:rPr>
        <w:t xml:space="preserve"> (</w:t>
      </w:r>
      <w:r w:rsidRPr="008C2F24">
        <w:rPr>
          <w:rFonts w:cstheme="minorHAnsi"/>
          <w:sz w:val="18"/>
          <w:szCs w:val="18"/>
        </w:rPr>
        <w:t>Bureau van Dijk</w:t>
      </w:r>
      <w:r>
        <w:rPr>
          <w:rFonts w:cstheme="minorHAnsi"/>
          <w:sz w:val="18"/>
          <w:szCs w:val="18"/>
        </w:rPr>
        <w:t>)</w:t>
      </w:r>
      <w:r w:rsidRPr="008C2F24">
        <w:rPr>
          <w:rFonts w:cstheme="minorHAnsi"/>
          <w:sz w:val="18"/>
          <w:szCs w:val="18"/>
        </w:rPr>
        <w:t xml:space="preserve"> o</w:t>
      </w:r>
      <w:r>
        <w:rPr>
          <w:rFonts w:cstheme="minorHAnsi"/>
          <w:sz w:val="18"/>
          <w:szCs w:val="18"/>
        </w:rPr>
        <w:t>n</w:t>
      </w:r>
      <w:r w:rsidRPr="008C2F24">
        <w:rPr>
          <w:rFonts w:cstheme="minorHAnsi"/>
          <w:sz w:val="18"/>
          <w:szCs w:val="18"/>
        </w:rPr>
        <w:t xml:space="preserve"> owners</w:t>
      </w:r>
      <w:r>
        <w:rPr>
          <w:rFonts w:cstheme="minorHAnsi"/>
          <w:sz w:val="18"/>
          <w:szCs w:val="18"/>
        </w:rPr>
        <w:t>hip</w:t>
      </w:r>
      <w:r w:rsidRPr="008C2F24">
        <w:rPr>
          <w:rFonts w:cstheme="minorHAnsi"/>
          <w:sz w:val="18"/>
          <w:szCs w:val="18"/>
        </w:rPr>
        <w:t xml:space="preserve"> for publicly listed companies</w:t>
      </w:r>
      <w:r>
        <w:rPr>
          <w:rFonts w:cstheme="minorHAnsi"/>
          <w:sz w:val="18"/>
          <w:szCs w:val="18"/>
        </w:rPr>
        <w:t xml:space="preserve">, and (2) </w:t>
      </w:r>
      <w:r w:rsidRPr="00282FA0">
        <w:rPr>
          <w:rFonts w:cstheme="minorHAnsi"/>
          <w:sz w:val="18"/>
          <w:szCs w:val="18"/>
        </w:rPr>
        <w:t>Thomson Reuters’ ASSET4 Environmental, Social, and Corporate Governance database</w:t>
      </w:r>
      <w:r>
        <w:rPr>
          <w:rFonts w:cstheme="minorHAnsi"/>
          <w:sz w:val="18"/>
          <w:szCs w:val="18"/>
        </w:rPr>
        <w:t xml:space="preserve"> </w:t>
      </w:r>
      <w:r w:rsidRPr="00282FA0">
        <w:rPr>
          <w:rFonts w:cstheme="minorHAnsi"/>
          <w:sz w:val="18"/>
          <w:szCs w:val="18"/>
        </w:rPr>
        <w:t>(ASSET4)</w:t>
      </w:r>
      <w:r>
        <w:rPr>
          <w:rFonts w:cstheme="minorHAnsi"/>
          <w:sz w:val="18"/>
          <w:szCs w:val="18"/>
        </w:rPr>
        <w:t>.</w:t>
      </w:r>
    </w:p>
  </w:footnote>
  <w:footnote w:id="29">
    <w:p w14:paraId="7AD3D762" w14:textId="441D675B" w:rsidR="00914997" w:rsidRPr="00140499" w:rsidRDefault="00914997">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Ibid.</w:t>
      </w:r>
    </w:p>
  </w:footnote>
  <w:footnote w:id="30">
    <w:p w14:paraId="67654042" w14:textId="11F88764" w:rsidR="00914997" w:rsidRPr="00F46F36" w:rsidRDefault="00914997" w:rsidP="001C2B49">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Klinga, Gerhard et. al (2018). </w:t>
      </w:r>
    </w:p>
  </w:footnote>
  <w:footnote w:id="31">
    <w:p w14:paraId="325F1F3C" w14:textId="744008B4" w:rsidR="00914997" w:rsidRPr="00F46F36" w:rsidRDefault="00914997" w:rsidP="001C2B49">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w:t>
      </w:r>
      <w:bookmarkStart w:id="4" w:name="_Hlk70150786"/>
      <w:r w:rsidRPr="00F46F36">
        <w:rPr>
          <w:rFonts w:cstheme="minorHAnsi"/>
          <w:sz w:val="18"/>
          <w:szCs w:val="18"/>
        </w:rPr>
        <w:t xml:space="preserve">McKinsey and Company (2021). </w:t>
      </w:r>
      <w:bookmarkEnd w:id="4"/>
    </w:p>
  </w:footnote>
  <w:footnote w:id="32">
    <w:p w14:paraId="4D319FAF" w14:textId="18BF3229" w:rsidR="00CE0A85" w:rsidRPr="00F46F36" w:rsidRDefault="00CE0A85">
      <w:pPr>
        <w:pStyle w:val="FootnoteText"/>
        <w:rPr>
          <w:sz w:val="18"/>
          <w:szCs w:val="18"/>
        </w:rPr>
      </w:pPr>
      <w:r w:rsidRPr="00F46F36">
        <w:rPr>
          <w:rStyle w:val="FootnoteReference"/>
          <w:sz w:val="18"/>
          <w:szCs w:val="18"/>
        </w:rPr>
        <w:footnoteRef/>
      </w:r>
      <w:r w:rsidRPr="00F46F36">
        <w:rPr>
          <w:sz w:val="18"/>
          <w:szCs w:val="18"/>
        </w:rPr>
        <w:t xml:space="preserve"> </w:t>
      </w:r>
      <w:r w:rsidR="00721DE3" w:rsidRPr="00F46F36">
        <w:rPr>
          <w:sz w:val="18"/>
          <w:szCs w:val="18"/>
        </w:rPr>
        <w:t xml:space="preserve">See for example: </w:t>
      </w:r>
      <w:r w:rsidRPr="00F46F36">
        <w:rPr>
          <w:sz w:val="18"/>
          <w:szCs w:val="18"/>
        </w:rPr>
        <w:t xml:space="preserve">OECD </w:t>
      </w:r>
      <w:r w:rsidR="00721DE3" w:rsidRPr="00F46F36">
        <w:rPr>
          <w:sz w:val="18"/>
          <w:szCs w:val="18"/>
        </w:rPr>
        <w:t>(</w:t>
      </w:r>
      <w:r w:rsidRPr="00F46F36">
        <w:rPr>
          <w:sz w:val="18"/>
          <w:szCs w:val="18"/>
        </w:rPr>
        <w:t>2017</w:t>
      </w:r>
      <w:r w:rsidR="00721DE3" w:rsidRPr="00F46F36">
        <w:rPr>
          <w:sz w:val="18"/>
          <w:szCs w:val="18"/>
        </w:rPr>
        <w:t>).</w:t>
      </w:r>
    </w:p>
  </w:footnote>
  <w:footnote w:id="33">
    <w:p w14:paraId="063E12EC" w14:textId="598D2FC6" w:rsidR="00914997" w:rsidRPr="00F46F36" w:rsidRDefault="00914997" w:rsidP="001C2B49">
      <w:pPr>
        <w:pStyle w:val="FootnoteText"/>
        <w:rPr>
          <w:rStyle w:val="FootnoteReference"/>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Sovereign Wealth Funds (SWFs) are estimated to hold assets of about $US 6 trillion as of 2015. </w:t>
      </w:r>
      <w:bookmarkStart w:id="5" w:name="_Hlk70600192"/>
      <w:r w:rsidRPr="00F46F36">
        <w:rPr>
          <w:rFonts w:cstheme="minorHAnsi"/>
          <w:sz w:val="18"/>
          <w:szCs w:val="18"/>
        </w:rPr>
        <w:t xml:space="preserve">Price Waterhouse Coopers (PWC, 2016). </w:t>
      </w:r>
      <w:r w:rsidRPr="00F46F36">
        <w:rPr>
          <w:rStyle w:val="FootnoteReference"/>
          <w:rFonts w:cstheme="minorHAnsi"/>
          <w:sz w:val="18"/>
          <w:szCs w:val="18"/>
        </w:rPr>
        <w:t xml:space="preserve"> </w:t>
      </w:r>
      <w:bookmarkEnd w:id="5"/>
    </w:p>
  </w:footnote>
  <w:footnote w:id="34">
    <w:p w14:paraId="7A82236E" w14:textId="77777777" w:rsidR="00914997" w:rsidRPr="00F46F36" w:rsidRDefault="00914997" w:rsidP="001D5F06">
      <w:pPr>
        <w:pStyle w:val="FootnoteText"/>
        <w:rPr>
          <w:sz w:val="18"/>
          <w:szCs w:val="18"/>
        </w:rPr>
      </w:pPr>
      <w:r w:rsidRPr="00F46F36">
        <w:rPr>
          <w:rStyle w:val="FootnoteReference"/>
          <w:sz w:val="18"/>
          <w:szCs w:val="18"/>
        </w:rPr>
        <w:footnoteRef/>
      </w:r>
      <w:r w:rsidRPr="00F46F36">
        <w:rPr>
          <w:sz w:val="18"/>
          <w:szCs w:val="18"/>
        </w:rPr>
        <w:t xml:space="preserve"> Taylor, M. (2020). </w:t>
      </w:r>
    </w:p>
  </w:footnote>
  <w:footnote w:id="35">
    <w:p w14:paraId="43BF8E12" w14:textId="1074B1E9" w:rsidR="00914997" w:rsidRPr="00F46F36" w:rsidRDefault="00914997" w:rsidP="00293AE1">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Aghion et al., (2012) studied innovation activity of firms in the car industry and show that they tend to innovate relatively more in clean technologies when they face higher fuel prices. </w:t>
      </w:r>
    </w:p>
  </w:footnote>
  <w:footnote w:id="36">
    <w:p w14:paraId="0AD127C3" w14:textId="130F6ABA" w:rsidR="00914997" w:rsidRPr="00F46F36" w:rsidRDefault="00914997" w:rsidP="003E38D2">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Bowen, A., Duffy, C. &amp; Frankhauser, S. (2016). </w:t>
      </w:r>
    </w:p>
  </w:footnote>
  <w:footnote w:id="37">
    <w:p w14:paraId="14EF0CC1" w14:textId="74D1351B" w:rsidR="00914997" w:rsidRPr="00F46F36" w:rsidRDefault="00914997" w:rsidP="003E38D2">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Dechezleprêtre, A., Martin, R., and Mohnen, M. (2014).</w:t>
      </w:r>
    </w:p>
  </w:footnote>
  <w:footnote w:id="38">
    <w:p w14:paraId="5D12448D" w14:textId="7516967F" w:rsidR="00914997" w:rsidRPr="00F46F36" w:rsidRDefault="00914997" w:rsidP="008F2160">
      <w:pPr>
        <w:pStyle w:val="FootnoteText"/>
        <w:rPr>
          <w:sz w:val="18"/>
          <w:szCs w:val="18"/>
        </w:rPr>
      </w:pPr>
      <w:r w:rsidRPr="00F46F36">
        <w:rPr>
          <w:rStyle w:val="FootnoteReference"/>
          <w:sz w:val="18"/>
          <w:szCs w:val="18"/>
        </w:rPr>
        <w:footnoteRef/>
      </w:r>
      <w:r w:rsidRPr="00F46F36">
        <w:rPr>
          <w:sz w:val="18"/>
          <w:szCs w:val="18"/>
        </w:rPr>
        <w:t xml:space="preserve"> OECD (2020b).</w:t>
      </w:r>
    </w:p>
  </w:footnote>
  <w:footnote w:id="39">
    <w:p w14:paraId="7C00D445" w14:textId="35117B44" w:rsidR="00914997" w:rsidRPr="00F46F36" w:rsidRDefault="00914997" w:rsidP="0007518C">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E.g., OECD (2020b).</w:t>
      </w:r>
    </w:p>
  </w:footnote>
  <w:footnote w:id="40">
    <w:p w14:paraId="2CDDB9C9" w14:textId="3D75078A" w:rsidR="00914997" w:rsidRPr="00F46F36" w:rsidRDefault="00914997">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E.g., Baum, Anna, et. al, (2019). </w:t>
      </w:r>
    </w:p>
  </w:footnote>
  <w:footnote w:id="41">
    <w:p w14:paraId="502C3507" w14:textId="2A1C77A9" w:rsidR="00914997" w:rsidRPr="00F46F36" w:rsidRDefault="00914997">
      <w:pPr>
        <w:pStyle w:val="FootnoteText"/>
        <w:rPr>
          <w:sz w:val="18"/>
          <w:szCs w:val="18"/>
        </w:rPr>
      </w:pPr>
      <w:r w:rsidRPr="00F46F36">
        <w:rPr>
          <w:rStyle w:val="FootnoteReference"/>
          <w:sz w:val="18"/>
          <w:szCs w:val="18"/>
        </w:rPr>
        <w:footnoteRef/>
      </w:r>
      <w:r w:rsidRPr="00F46F36">
        <w:rPr>
          <w:sz w:val="18"/>
          <w:szCs w:val="18"/>
        </w:rPr>
        <w:t xml:space="preserve"> For discussion of the impact of COVID-19 on SOEs, see e.g., </w:t>
      </w:r>
      <w:bookmarkStart w:id="6" w:name="_Hlk77270075"/>
      <w:r w:rsidRPr="00F46F36">
        <w:rPr>
          <w:sz w:val="18"/>
          <w:szCs w:val="18"/>
        </w:rPr>
        <w:t>N. Manuilova and R. Burdescu (May 2021)</w:t>
      </w:r>
      <w:bookmarkEnd w:id="6"/>
      <w:r w:rsidRPr="00F46F36">
        <w:rPr>
          <w:sz w:val="18"/>
          <w:szCs w:val="18"/>
        </w:rPr>
        <w:t>.</w:t>
      </w:r>
    </w:p>
  </w:footnote>
  <w:footnote w:id="42">
    <w:p w14:paraId="5B741995" w14:textId="7B148DE3" w:rsidR="00914997" w:rsidRPr="00F46F36" w:rsidRDefault="00914997">
      <w:pPr>
        <w:pStyle w:val="FootnoteText"/>
        <w:rPr>
          <w:sz w:val="18"/>
          <w:szCs w:val="18"/>
        </w:rPr>
      </w:pPr>
      <w:r w:rsidRPr="00CE791B">
        <w:rPr>
          <w:rStyle w:val="FootnoteReference"/>
          <w:sz w:val="18"/>
          <w:szCs w:val="18"/>
        </w:rPr>
        <w:footnoteRef/>
      </w:r>
      <w:r w:rsidRPr="00CE791B">
        <w:rPr>
          <w:sz w:val="18"/>
          <w:szCs w:val="18"/>
        </w:rPr>
        <w:t xml:space="preserve"> World Bank (2021a, forthcoming).</w:t>
      </w:r>
    </w:p>
  </w:footnote>
  <w:footnote w:id="43">
    <w:p w14:paraId="21BA4D78" w14:textId="697DF5A1" w:rsidR="00914997" w:rsidRPr="00F46F36" w:rsidRDefault="00914997" w:rsidP="006000B7">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Ministry of Enterprise and Innovation, Sweden (2020).  </w:t>
      </w:r>
    </w:p>
  </w:footnote>
  <w:footnote w:id="44">
    <w:p w14:paraId="6188F971" w14:textId="7B181555" w:rsidR="00914997" w:rsidRPr="00F46F36" w:rsidRDefault="00914997">
      <w:pPr>
        <w:pStyle w:val="FootnoteText"/>
        <w:rPr>
          <w:sz w:val="18"/>
          <w:szCs w:val="18"/>
        </w:rPr>
      </w:pPr>
      <w:r w:rsidRPr="00F46F36">
        <w:rPr>
          <w:rStyle w:val="FootnoteReference"/>
          <w:sz w:val="18"/>
          <w:szCs w:val="18"/>
        </w:rPr>
        <w:footnoteRef/>
      </w:r>
      <w:r w:rsidRPr="00F46F36">
        <w:rPr>
          <w:sz w:val="18"/>
          <w:szCs w:val="18"/>
        </w:rPr>
        <w:t xml:space="preserve"> Ibid.</w:t>
      </w:r>
    </w:p>
  </w:footnote>
  <w:footnote w:id="45">
    <w:p w14:paraId="698AA759" w14:textId="6139627A" w:rsidR="00914997" w:rsidRPr="00F46F36" w:rsidRDefault="00914997">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Science Based Targets (SBT) is an independent organization that helps companies to set science-based emissions reduction targets. SBT (2021). </w:t>
      </w:r>
    </w:p>
  </w:footnote>
  <w:footnote w:id="46">
    <w:p w14:paraId="04A4C8D4" w14:textId="12262C3D" w:rsidR="00914997" w:rsidRPr="00140499" w:rsidRDefault="00914997" w:rsidP="002F79E5">
      <w:pPr>
        <w:pStyle w:val="FootnoteText"/>
        <w:rPr>
          <w:rFonts w:cstheme="minorHAnsi"/>
          <w:sz w:val="18"/>
          <w:szCs w:val="18"/>
        </w:rPr>
      </w:pPr>
      <w:r w:rsidRPr="00F46F36">
        <w:rPr>
          <w:rStyle w:val="FootnoteReference"/>
          <w:rFonts w:cstheme="minorHAnsi"/>
          <w:sz w:val="18"/>
          <w:szCs w:val="18"/>
        </w:rPr>
        <w:footnoteRef/>
      </w:r>
      <w:r w:rsidRPr="00F46F36">
        <w:rPr>
          <w:rFonts w:cstheme="minorHAnsi"/>
          <w:sz w:val="18"/>
          <w:szCs w:val="18"/>
        </w:rPr>
        <w:t xml:space="preserve"> </w:t>
      </w:r>
      <w:r w:rsidRPr="00F46F36">
        <w:rPr>
          <w:rFonts w:cstheme="minorHAnsi"/>
          <w:bCs/>
          <w:iCs/>
          <w:sz w:val="18"/>
          <w:szCs w:val="18"/>
        </w:rPr>
        <w:t>China’s climate-related reforms include other types of interventions, notably a nationwide market-based mechanism (</w:t>
      </w:r>
      <w:r w:rsidR="0035002E" w:rsidRPr="00F46F36">
        <w:rPr>
          <w:rFonts w:cstheme="minorHAnsi"/>
          <w:bCs/>
          <w:iCs/>
          <w:sz w:val="18"/>
          <w:szCs w:val="18"/>
        </w:rPr>
        <w:t>like</w:t>
      </w:r>
      <w:r w:rsidRPr="00F46F36">
        <w:rPr>
          <w:rFonts w:cstheme="minorHAnsi"/>
          <w:bCs/>
          <w:iCs/>
          <w:sz w:val="18"/>
          <w:szCs w:val="18"/>
        </w:rPr>
        <w:t xml:space="preserve"> the European Union’s GHG-emission pricing), however, mitigation through SOE policy reforms has been far more extensive. </w:t>
      </w:r>
      <w:r w:rsidRPr="00F46F36">
        <w:rPr>
          <w:rFonts w:cstheme="minorHAnsi"/>
          <w:sz w:val="18"/>
          <w:szCs w:val="18"/>
        </w:rPr>
        <w:t>Mayer, Benoit, Mikko Rajavuori, and Mandy Meng Fang (2017).</w:t>
      </w:r>
      <w:r w:rsidRPr="00140499">
        <w:rPr>
          <w:rFonts w:cstheme="minorHAnsi"/>
          <w:sz w:val="18"/>
          <w:szCs w:val="18"/>
        </w:rPr>
        <w:t xml:space="preserve"> </w:t>
      </w:r>
    </w:p>
  </w:footnote>
  <w:footnote w:id="47">
    <w:p w14:paraId="40B92D61" w14:textId="2B568A53" w:rsidR="00914997" w:rsidRPr="00140499" w:rsidRDefault="00914997" w:rsidP="002F79E5">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China is estimated to have put new coal-fired power capacity into operation in 2020 that is equivalent to more than three times the amount built across the rest of the world—and has more coal power under development that could power the whole of Germany when it comes on stream. Stanway, David (2021).  </w:t>
      </w:r>
    </w:p>
  </w:footnote>
  <w:footnote w:id="48">
    <w:p w14:paraId="1B0EBD34" w14:textId="434F978B" w:rsidR="00914997" w:rsidRPr="00140499" w:rsidRDefault="00914997" w:rsidP="002F79E5">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Energy Security, Ukraine Government Portal (accessed 11 May 2021)</w:t>
      </w:r>
    </w:p>
  </w:footnote>
  <w:footnote w:id="49">
    <w:p w14:paraId="2D9D6A0F" w14:textId="653D2DAC" w:rsidR="00914997" w:rsidRPr="00140499" w:rsidRDefault="00914997">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Fikova, Monica, et al. (2018). </w:t>
      </w:r>
    </w:p>
  </w:footnote>
  <w:footnote w:id="50">
    <w:p w14:paraId="52068B5C" w14:textId="6D39BFF5" w:rsidR="00914997" w:rsidRPr="00F46F36" w:rsidRDefault="00914997">
      <w:pPr>
        <w:pStyle w:val="FootnoteText"/>
        <w:rPr>
          <w:rFonts w:cstheme="minorHAnsi"/>
          <w:sz w:val="16"/>
          <w:szCs w:val="16"/>
        </w:rPr>
      </w:pPr>
      <w:r w:rsidRPr="00140499">
        <w:rPr>
          <w:rStyle w:val="FootnoteReference"/>
          <w:rFonts w:cstheme="minorHAnsi"/>
          <w:sz w:val="18"/>
          <w:szCs w:val="18"/>
        </w:rPr>
        <w:footnoteRef/>
      </w:r>
      <w:r w:rsidRPr="00140499">
        <w:rPr>
          <w:rFonts w:cstheme="minorHAnsi"/>
          <w:sz w:val="18"/>
          <w:szCs w:val="18"/>
        </w:rPr>
        <w:t xml:space="preserve"> OECD (2020a). </w:t>
      </w:r>
    </w:p>
  </w:footnote>
  <w:footnote w:id="51">
    <w:p w14:paraId="03F87778" w14:textId="3A4932A4" w:rsidR="00914997" w:rsidRDefault="00914997">
      <w:pPr>
        <w:pStyle w:val="FootnoteText"/>
      </w:pPr>
      <w:r w:rsidRPr="00F46F36">
        <w:rPr>
          <w:rStyle w:val="FootnoteReference"/>
          <w:sz w:val="18"/>
          <w:szCs w:val="18"/>
        </w:rPr>
        <w:footnoteRef/>
      </w:r>
      <w:r w:rsidRPr="00F46F36">
        <w:rPr>
          <w:sz w:val="18"/>
          <w:szCs w:val="18"/>
        </w:rPr>
        <w:t xml:space="preserve"> </w:t>
      </w:r>
      <w:hyperlink r:id="rId1" w:history="1">
        <w:r w:rsidRPr="00F46F36">
          <w:rPr>
            <w:rStyle w:val="Hyperlink"/>
            <w:sz w:val="18"/>
            <w:szCs w:val="18"/>
          </w:rPr>
          <w:t>https://www.nysnoinvest.no/en/about-nysno/</w:t>
        </w:r>
      </w:hyperlink>
      <w:r>
        <w:t xml:space="preserve"> </w:t>
      </w:r>
    </w:p>
  </w:footnote>
  <w:footnote w:id="52">
    <w:p w14:paraId="065B3B09" w14:textId="5B86169C" w:rsidR="00914997" w:rsidRPr="00140499" w:rsidRDefault="00914997" w:rsidP="002F79E5">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The CEO of MAG is quoted in the announcement, “In the long run, our sustainability initiatives will drive us to be a more responsible, efficient, and effective organization, with the character and mindset to be environmentally responsible,…” Malaysia Airlines Group (MAG, 2021) </w:t>
      </w:r>
    </w:p>
  </w:footnote>
  <w:footnote w:id="53">
    <w:p w14:paraId="74F4858F" w14:textId="6B9EF575" w:rsidR="00914997" w:rsidRPr="00140499" w:rsidRDefault="00914997" w:rsidP="002F79E5">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Ibid. </w:t>
      </w:r>
    </w:p>
  </w:footnote>
  <w:footnote w:id="54">
    <w:p w14:paraId="3411447D" w14:textId="52D5F846" w:rsidR="00914997" w:rsidRPr="00140499" w:rsidRDefault="00914997" w:rsidP="00471AC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Morsing, Mette (2011). </w:t>
      </w:r>
    </w:p>
  </w:footnote>
  <w:footnote w:id="55">
    <w:p w14:paraId="157D4DBF" w14:textId="6FD896CE" w:rsidR="00914997" w:rsidRPr="00140499" w:rsidRDefault="00914997" w:rsidP="00471AC4">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Ham, Nathanael (2020). </w:t>
      </w:r>
    </w:p>
  </w:footnote>
  <w:footnote w:id="56">
    <w:p w14:paraId="54D71E95" w14:textId="1EC3FBF6" w:rsidR="00914997" w:rsidRPr="00140499" w:rsidRDefault="00914997" w:rsidP="00D65030">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At the country level, while ten of the biggest twenty emitters globally are LMICs, most LMICs are relatively small emitters. Indeed, combined, the 74 World Bank IDA and IDA Blend countries contributed only 4 percent of global emissions in 2019. </w:t>
      </w:r>
    </w:p>
    <w:p w14:paraId="664C11E8" w14:textId="71B979DC" w:rsidR="00914997" w:rsidRPr="00140499" w:rsidRDefault="00914997" w:rsidP="00D65030">
      <w:pPr>
        <w:pStyle w:val="FootnoteText"/>
        <w:rPr>
          <w:rFonts w:cstheme="minorHAnsi"/>
          <w:sz w:val="18"/>
          <w:szCs w:val="18"/>
        </w:rPr>
      </w:pPr>
      <w:r w:rsidRPr="00140499">
        <w:rPr>
          <w:rFonts w:cstheme="minorHAnsi"/>
          <w:sz w:val="18"/>
          <w:szCs w:val="18"/>
        </w:rPr>
        <w:t xml:space="preserve">Ritchie, </w:t>
      </w:r>
      <w:r w:rsidR="0035002E" w:rsidRPr="00140499">
        <w:rPr>
          <w:rFonts w:cstheme="minorHAnsi"/>
          <w:sz w:val="18"/>
          <w:szCs w:val="18"/>
        </w:rPr>
        <w:t>Hannah,</w:t>
      </w:r>
      <w:r w:rsidRPr="00140499">
        <w:rPr>
          <w:rFonts w:cstheme="minorHAnsi"/>
          <w:sz w:val="18"/>
          <w:szCs w:val="18"/>
        </w:rPr>
        <w:t xml:space="preserve"> and Max </w:t>
      </w:r>
      <w:proofErr w:type="spellStart"/>
      <w:r w:rsidRPr="00140499">
        <w:rPr>
          <w:rFonts w:cstheme="minorHAnsi"/>
          <w:sz w:val="18"/>
          <w:szCs w:val="18"/>
        </w:rPr>
        <w:t>Roser</w:t>
      </w:r>
      <w:proofErr w:type="spellEnd"/>
      <w:r w:rsidRPr="00140499">
        <w:rPr>
          <w:rFonts w:cstheme="minorHAnsi"/>
          <w:sz w:val="18"/>
          <w:szCs w:val="18"/>
        </w:rPr>
        <w:t xml:space="preserve"> (2020). Carbon intensity is rising rapidly in some LMICs, however, pointing to the need to shift to a low-carbon development path.</w:t>
      </w:r>
    </w:p>
  </w:footnote>
  <w:footnote w:id="57">
    <w:p w14:paraId="5DC92824" w14:textId="3C87794D" w:rsidR="00914997" w:rsidRPr="00F46F36" w:rsidRDefault="00914997">
      <w:pPr>
        <w:pStyle w:val="FootnoteText"/>
        <w:rPr>
          <w:color w:val="FF0000"/>
          <w:sz w:val="18"/>
          <w:szCs w:val="18"/>
        </w:rPr>
      </w:pPr>
      <w:r w:rsidRPr="00CE791B">
        <w:rPr>
          <w:rStyle w:val="FootnoteReference"/>
          <w:sz w:val="18"/>
          <w:szCs w:val="18"/>
        </w:rPr>
        <w:footnoteRef/>
      </w:r>
      <w:r w:rsidRPr="00CE791B">
        <w:rPr>
          <w:sz w:val="18"/>
          <w:szCs w:val="18"/>
        </w:rPr>
        <w:t xml:space="preserve"> World Bank (2021 </w:t>
      </w:r>
      <w:r w:rsidRPr="00CE791B">
        <w:rPr>
          <w:i/>
          <w:iCs/>
          <w:sz w:val="18"/>
          <w:szCs w:val="18"/>
        </w:rPr>
        <w:t>forthcoming</w:t>
      </w:r>
      <w:r w:rsidRPr="00CE791B">
        <w:rPr>
          <w:sz w:val="18"/>
          <w:szCs w:val="18"/>
        </w:rPr>
        <w:t>). See also World Bank (2021b).</w:t>
      </w:r>
    </w:p>
  </w:footnote>
  <w:footnote w:id="58">
    <w:p w14:paraId="7598DB0F" w14:textId="1FC27311" w:rsidR="00914997" w:rsidRPr="00140499" w:rsidRDefault="00914997" w:rsidP="00DE7A07">
      <w:pPr>
        <w:pStyle w:val="FootnoteText"/>
        <w:rPr>
          <w:rFonts w:cstheme="minorHAnsi"/>
          <w:sz w:val="18"/>
          <w:szCs w:val="18"/>
        </w:rPr>
      </w:pPr>
      <w:r w:rsidRPr="00140499">
        <w:rPr>
          <w:rStyle w:val="FootnoteReference"/>
          <w:rFonts w:cstheme="minorHAnsi"/>
          <w:sz w:val="18"/>
          <w:szCs w:val="18"/>
        </w:rPr>
        <w:footnoteRef/>
      </w:r>
      <w:r w:rsidRPr="00140499">
        <w:rPr>
          <w:rFonts w:cstheme="minorHAnsi"/>
          <w:sz w:val="18"/>
          <w:szCs w:val="18"/>
        </w:rPr>
        <w:t xml:space="preserve"> </w:t>
      </w:r>
      <w:r>
        <w:rPr>
          <w:rFonts w:cstheme="minorHAnsi"/>
          <w:sz w:val="18"/>
          <w:szCs w:val="18"/>
        </w:rPr>
        <w:t xml:space="preserve">Boston University </w:t>
      </w:r>
      <w:r w:rsidRPr="00BB5F55">
        <w:rPr>
          <w:rFonts w:cstheme="minorHAnsi"/>
          <w:sz w:val="18"/>
          <w:szCs w:val="18"/>
        </w:rPr>
        <w:t>Global Energy Finance Database</w:t>
      </w:r>
      <w:r>
        <w:rPr>
          <w:rFonts w:cstheme="minorHAnsi"/>
          <w:sz w:val="18"/>
          <w:szCs w:val="18"/>
        </w:rPr>
        <w:t xml:space="preserve"> (</w:t>
      </w:r>
      <w:r w:rsidRPr="00BB5F55">
        <w:rPr>
          <w:rFonts w:cstheme="minorHAnsi"/>
          <w:sz w:val="18"/>
          <w:szCs w:val="18"/>
        </w:rPr>
        <w:t>2021</w:t>
      </w:r>
      <w:r>
        <w:rPr>
          <w:rFonts w:cstheme="minorHAnsi"/>
          <w:sz w:val="18"/>
          <w:szCs w:val="18"/>
        </w:rPr>
        <w:t>)</w:t>
      </w:r>
      <w:r w:rsidRPr="00BB5F55">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CAA9" w14:textId="77777777" w:rsidR="00721DE3" w:rsidRDefault="0072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A61A" w14:textId="77777777" w:rsidR="00914997" w:rsidRDefault="00914997">
    <w:pPr>
      <w:pStyle w:val="Header"/>
    </w:pPr>
  </w:p>
  <w:p w14:paraId="3BA91860" w14:textId="77777777" w:rsidR="00914997" w:rsidRDefault="00914997">
    <w:pPr>
      <w:pStyle w:val="Header"/>
    </w:pPr>
  </w:p>
  <w:p w14:paraId="6118E80D" w14:textId="77777777" w:rsidR="00914997" w:rsidRDefault="0091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89D7" w14:textId="77777777" w:rsidR="00721DE3" w:rsidRDefault="0072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B26"/>
    <w:multiLevelType w:val="hybridMultilevel"/>
    <w:tmpl w:val="36885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93577"/>
    <w:multiLevelType w:val="hybridMultilevel"/>
    <w:tmpl w:val="0B02A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E96005"/>
    <w:multiLevelType w:val="hybridMultilevel"/>
    <w:tmpl w:val="DC30D5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3F3277C"/>
    <w:multiLevelType w:val="hybridMultilevel"/>
    <w:tmpl w:val="D0CE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11F17"/>
    <w:multiLevelType w:val="hybridMultilevel"/>
    <w:tmpl w:val="D994A8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D27A6"/>
    <w:multiLevelType w:val="hybridMultilevel"/>
    <w:tmpl w:val="E0C47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01F72"/>
    <w:multiLevelType w:val="hybridMultilevel"/>
    <w:tmpl w:val="3E84B460"/>
    <w:lvl w:ilvl="0" w:tplc="3B50ED50">
      <w:start w:val="1"/>
      <w:numFmt w:val="bullet"/>
      <w:lvlText w:val="۞"/>
      <w:lvlJc w:val="left"/>
      <w:pPr>
        <w:ind w:left="216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1008DB"/>
    <w:multiLevelType w:val="hybridMultilevel"/>
    <w:tmpl w:val="5B5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2780"/>
    <w:multiLevelType w:val="hybridMultilevel"/>
    <w:tmpl w:val="0F2A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2B50"/>
    <w:multiLevelType w:val="hybridMultilevel"/>
    <w:tmpl w:val="45928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B55C0"/>
    <w:multiLevelType w:val="hybridMultilevel"/>
    <w:tmpl w:val="E6D4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674FCA"/>
    <w:multiLevelType w:val="hybridMultilevel"/>
    <w:tmpl w:val="182836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2704B"/>
    <w:multiLevelType w:val="hybridMultilevel"/>
    <w:tmpl w:val="DAE89A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746587"/>
    <w:multiLevelType w:val="hybridMultilevel"/>
    <w:tmpl w:val="FFFFFFFF"/>
    <w:lvl w:ilvl="0" w:tplc="7A98B35C">
      <w:start w:val="1"/>
      <w:numFmt w:val="bullet"/>
      <w:lvlText w:val=""/>
      <w:lvlJc w:val="left"/>
      <w:pPr>
        <w:ind w:left="360" w:hanging="360"/>
      </w:pPr>
      <w:rPr>
        <w:rFonts w:ascii="Symbol" w:hAnsi="Symbol" w:hint="default"/>
      </w:rPr>
    </w:lvl>
    <w:lvl w:ilvl="1" w:tplc="7F74F67E">
      <w:start w:val="1"/>
      <w:numFmt w:val="bullet"/>
      <w:lvlText w:val="o"/>
      <w:lvlJc w:val="left"/>
      <w:pPr>
        <w:ind w:left="1080" w:hanging="360"/>
      </w:pPr>
      <w:rPr>
        <w:rFonts w:ascii="Courier New" w:hAnsi="Courier New" w:hint="default"/>
      </w:rPr>
    </w:lvl>
    <w:lvl w:ilvl="2" w:tplc="E6E8DE6C">
      <w:start w:val="1"/>
      <w:numFmt w:val="bullet"/>
      <w:lvlText w:val=""/>
      <w:lvlJc w:val="left"/>
      <w:pPr>
        <w:ind w:left="1800" w:hanging="360"/>
      </w:pPr>
      <w:rPr>
        <w:rFonts w:ascii="Wingdings" w:hAnsi="Wingdings" w:hint="default"/>
      </w:rPr>
    </w:lvl>
    <w:lvl w:ilvl="3" w:tplc="8648F7F8">
      <w:start w:val="1"/>
      <w:numFmt w:val="bullet"/>
      <w:lvlText w:val=""/>
      <w:lvlJc w:val="left"/>
      <w:pPr>
        <w:ind w:left="2520" w:hanging="360"/>
      </w:pPr>
      <w:rPr>
        <w:rFonts w:ascii="Symbol" w:hAnsi="Symbol" w:hint="default"/>
      </w:rPr>
    </w:lvl>
    <w:lvl w:ilvl="4" w:tplc="B2108F08">
      <w:start w:val="1"/>
      <w:numFmt w:val="bullet"/>
      <w:lvlText w:val="o"/>
      <w:lvlJc w:val="left"/>
      <w:pPr>
        <w:ind w:left="3240" w:hanging="360"/>
      </w:pPr>
      <w:rPr>
        <w:rFonts w:ascii="Courier New" w:hAnsi="Courier New" w:hint="default"/>
      </w:rPr>
    </w:lvl>
    <w:lvl w:ilvl="5" w:tplc="C74093E0">
      <w:start w:val="1"/>
      <w:numFmt w:val="bullet"/>
      <w:lvlText w:val=""/>
      <w:lvlJc w:val="left"/>
      <w:pPr>
        <w:ind w:left="3960" w:hanging="360"/>
      </w:pPr>
      <w:rPr>
        <w:rFonts w:ascii="Wingdings" w:hAnsi="Wingdings" w:hint="default"/>
      </w:rPr>
    </w:lvl>
    <w:lvl w:ilvl="6" w:tplc="65D27E86">
      <w:start w:val="1"/>
      <w:numFmt w:val="bullet"/>
      <w:lvlText w:val=""/>
      <w:lvlJc w:val="left"/>
      <w:pPr>
        <w:ind w:left="4680" w:hanging="360"/>
      </w:pPr>
      <w:rPr>
        <w:rFonts w:ascii="Symbol" w:hAnsi="Symbol" w:hint="default"/>
      </w:rPr>
    </w:lvl>
    <w:lvl w:ilvl="7" w:tplc="7752F1B8">
      <w:start w:val="1"/>
      <w:numFmt w:val="bullet"/>
      <w:lvlText w:val="o"/>
      <w:lvlJc w:val="left"/>
      <w:pPr>
        <w:ind w:left="5400" w:hanging="360"/>
      </w:pPr>
      <w:rPr>
        <w:rFonts w:ascii="Courier New" w:hAnsi="Courier New" w:hint="default"/>
      </w:rPr>
    </w:lvl>
    <w:lvl w:ilvl="8" w:tplc="E13EBF96">
      <w:start w:val="1"/>
      <w:numFmt w:val="bullet"/>
      <w:lvlText w:val=""/>
      <w:lvlJc w:val="left"/>
      <w:pPr>
        <w:ind w:left="6120" w:hanging="360"/>
      </w:pPr>
      <w:rPr>
        <w:rFonts w:ascii="Wingdings" w:hAnsi="Wingdings" w:hint="default"/>
      </w:rPr>
    </w:lvl>
  </w:abstractNum>
  <w:abstractNum w:abstractNumId="14" w15:restartNumberingAfterBreak="0">
    <w:nsid w:val="3C787E86"/>
    <w:multiLevelType w:val="hybridMultilevel"/>
    <w:tmpl w:val="49E2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0127"/>
    <w:multiLevelType w:val="hybridMultilevel"/>
    <w:tmpl w:val="EACAE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E675B"/>
    <w:multiLevelType w:val="hybridMultilevel"/>
    <w:tmpl w:val="DF24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A1161"/>
    <w:multiLevelType w:val="hybridMultilevel"/>
    <w:tmpl w:val="B88C8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2573AE"/>
    <w:multiLevelType w:val="hybridMultilevel"/>
    <w:tmpl w:val="3E1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D586F"/>
    <w:multiLevelType w:val="hybridMultilevel"/>
    <w:tmpl w:val="01627D9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86534E"/>
    <w:multiLevelType w:val="hybridMultilevel"/>
    <w:tmpl w:val="40BC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24B9B"/>
    <w:multiLevelType w:val="hybridMultilevel"/>
    <w:tmpl w:val="674891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37EA6"/>
    <w:multiLevelType w:val="hybridMultilevel"/>
    <w:tmpl w:val="07F0C71A"/>
    <w:lvl w:ilvl="0" w:tplc="3B50ED50">
      <w:start w:val="1"/>
      <w:numFmt w:val="bullet"/>
      <w:lvlText w:val="۞"/>
      <w:lvlJc w:val="left"/>
      <w:pPr>
        <w:ind w:left="144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B3B75"/>
    <w:multiLevelType w:val="hybridMultilevel"/>
    <w:tmpl w:val="FFFFFFFF"/>
    <w:lvl w:ilvl="0" w:tplc="535416A6">
      <w:start w:val="1"/>
      <w:numFmt w:val="bullet"/>
      <w:lvlText w:val=""/>
      <w:lvlJc w:val="left"/>
      <w:pPr>
        <w:ind w:left="720" w:hanging="360"/>
      </w:pPr>
      <w:rPr>
        <w:rFonts w:ascii="Symbol" w:hAnsi="Symbol" w:hint="default"/>
      </w:rPr>
    </w:lvl>
    <w:lvl w:ilvl="1" w:tplc="24A2AE78">
      <w:start w:val="1"/>
      <w:numFmt w:val="bullet"/>
      <w:lvlText w:val="o"/>
      <w:lvlJc w:val="left"/>
      <w:pPr>
        <w:ind w:left="1440" w:hanging="360"/>
      </w:pPr>
      <w:rPr>
        <w:rFonts w:ascii="Courier New" w:hAnsi="Courier New" w:hint="default"/>
      </w:rPr>
    </w:lvl>
    <w:lvl w:ilvl="2" w:tplc="C256E116">
      <w:start w:val="1"/>
      <w:numFmt w:val="bullet"/>
      <w:lvlText w:val=""/>
      <w:lvlJc w:val="left"/>
      <w:pPr>
        <w:ind w:left="2160" w:hanging="360"/>
      </w:pPr>
      <w:rPr>
        <w:rFonts w:ascii="Wingdings" w:hAnsi="Wingdings" w:hint="default"/>
      </w:rPr>
    </w:lvl>
    <w:lvl w:ilvl="3" w:tplc="C4AC8ED4">
      <w:start w:val="1"/>
      <w:numFmt w:val="bullet"/>
      <w:lvlText w:val=""/>
      <w:lvlJc w:val="left"/>
      <w:pPr>
        <w:ind w:left="2880" w:hanging="360"/>
      </w:pPr>
      <w:rPr>
        <w:rFonts w:ascii="Symbol" w:hAnsi="Symbol" w:hint="default"/>
      </w:rPr>
    </w:lvl>
    <w:lvl w:ilvl="4" w:tplc="E1B21BF0">
      <w:start w:val="1"/>
      <w:numFmt w:val="bullet"/>
      <w:lvlText w:val="o"/>
      <w:lvlJc w:val="left"/>
      <w:pPr>
        <w:ind w:left="3600" w:hanging="360"/>
      </w:pPr>
      <w:rPr>
        <w:rFonts w:ascii="Courier New" w:hAnsi="Courier New" w:hint="default"/>
      </w:rPr>
    </w:lvl>
    <w:lvl w:ilvl="5" w:tplc="4B36E27E">
      <w:start w:val="1"/>
      <w:numFmt w:val="bullet"/>
      <w:lvlText w:val=""/>
      <w:lvlJc w:val="left"/>
      <w:pPr>
        <w:ind w:left="4320" w:hanging="360"/>
      </w:pPr>
      <w:rPr>
        <w:rFonts w:ascii="Wingdings" w:hAnsi="Wingdings" w:hint="default"/>
      </w:rPr>
    </w:lvl>
    <w:lvl w:ilvl="6" w:tplc="9F783398">
      <w:start w:val="1"/>
      <w:numFmt w:val="bullet"/>
      <w:lvlText w:val=""/>
      <w:lvlJc w:val="left"/>
      <w:pPr>
        <w:ind w:left="5040" w:hanging="360"/>
      </w:pPr>
      <w:rPr>
        <w:rFonts w:ascii="Symbol" w:hAnsi="Symbol" w:hint="default"/>
      </w:rPr>
    </w:lvl>
    <w:lvl w:ilvl="7" w:tplc="A5C27C7E">
      <w:start w:val="1"/>
      <w:numFmt w:val="bullet"/>
      <w:lvlText w:val="o"/>
      <w:lvlJc w:val="left"/>
      <w:pPr>
        <w:ind w:left="5760" w:hanging="360"/>
      </w:pPr>
      <w:rPr>
        <w:rFonts w:ascii="Courier New" w:hAnsi="Courier New" w:hint="default"/>
      </w:rPr>
    </w:lvl>
    <w:lvl w:ilvl="8" w:tplc="94D88C18">
      <w:start w:val="1"/>
      <w:numFmt w:val="bullet"/>
      <w:lvlText w:val=""/>
      <w:lvlJc w:val="left"/>
      <w:pPr>
        <w:ind w:left="6480" w:hanging="360"/>
      </w:pPr>
      <w:rPr>
        <w:rFonts w:ascii="Wingdings" w:hAnsi="Wingdings" w:hint="default"/>
      </w:rPr>
    </w:lvl>
  </w:abstractNum>
  <w:abstractNum w:abstractNumId="24" w15:restartNumberingAfterBreak="0">
    <w:nsid w:val="6A2F6C7B"/>
    <w:multiLevelType w:val="hybridMultilevel"/>
    <w:tmpl w:val="1CD22C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584AA9"/>
    <w:multiLevelType w:val="hybridMultilevel"/>
    <w:tmpl w:val="4454D380"/>
    <w:lvl w:ilvl="0" w:tplc="4418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DC2980"/>
    <w:multiLevelType w:val="hybridMultilevel"/>
    <w:tmpl w:val="6F2C736C"/>
    <w:lvl w:ilvl="0" w:tplc="B2308F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7"/>
  </w:num>
  <w:num w:numId="3">
    <w:abstractNumId w:val="19"/>
  </w:num>
  <w:num w:numId="4">
    <w:abstractNumId w:val="18"/>
  </w:num>
  <w:num w:numId="5">
    <w:abstractNumId w:val="22"/>
  </w:num>
  <w:num w:numId="6">
    <w:abstractNumId w:val="6"/>
  </w:num>
  <w:num w:numId="7">
    <w:abstractNumId w:val="2"/>
  </w:num>
  <w:num w:numId="8">
    <w:abstractNumId w:val="0"/>
  </w:num>
  <w:num w:numId="9">
    <w:abstractNumId w:val="21"/>
  </w:num>
  <w:num w:numId="10">
    <w:abstractNumId w:val="8"/>
  </w:num>
  <w:num w:numId="11">
    <w:abstractNumId w:val="25"/>
  </w:num>
  <w:num w:numId="12">
    <w:abstractNumId w:val="20"/>
  </w:num>
  <w:num w:numId="13">
    <w:abstractNumId w:val="10"/>
  </w:num>
  <w:num w:numId="14">
    <w:abstractNumId w:val="17"/>
  </w:num>
  <w:num w:numId="15">
    <w:abstractNumId w:val="4"/>
  </w:num>
  <w:num w:numId="16">
    <w:abstractNumId w:val="24"/>
  </w:num>
  <w:num w:numId="17">
    <w:abstractNumId w:val="12"/>
  </w:num>
  <w:num w:numId="18">
    <w:abstractNumId w:val="1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3"/>
  </w:num>
  <w:num w:numId="23">
    <w:abstractNumId w:val="13"/>
  </w:num>
  <w:num w:numId="24">
    <w:abstractNumId w:val="9"/>
  </w:num>
  <w:num w:numId="25">
    <w:abstractNumId w:val="14"/>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A0"/>
    <w:rsid w:val="00000EAC"/>
    <w:rsid w:val="00001257"/>
    <w:rsid w:val="000017F9"/>
    <w:rsid w:val="0000224B"/>
    <w:rsid w:val="00002580"/>
    <w:rsid w:val="000031BF"/>
    <w:rsid w:val="00003935"/>
    <w:rsid w:val="00004232"/>
    <w:rsid w:val="00004DC2"/>
    <w:rsid w:val="00005EBA"/>
    <w:rsid w:val="00006604"/>
    <w:rsid w:val="00006821"/>
    <w:rsid w:val="00006CED"/>
    <w:rsid w:val="00007075"/>
    <w:rsid w:val="000076D5"/>
    <w:rsid w:val="0000782A"/>
    <w:rsid w:val="0001036B"/>
    <w:rsid w:val="000105BF"/>
    <w:rsid w:val="0001112E"/>
    <w:rsid w:val="0001228B"/>
    <w:rsid w:val="00012706"/>
    <w:rsid w:val="000136FC"/>
    <w:rsid w:val="00013C03"/>
    <w:rsid w:val="00013C54"/>
    <w:rsid w:val="00013D2A"/>
    <w:rsid w:val="00013F1C"/>
    <w:rsid w:val="000145F9"/>
    <w:rsid w:val="000147BD"/>
    <w:rsid w:val="00015B45"/>
    <w:rsid w:val="00016051"/>
    <w:rsid w:val="00016520"/>
    <w:rsid w:val="000167C6"/>
    <w:rsid w:val="00016D3F"/>
    <w:rsid w:val="00017146"/>
    <w:rsid w:val="000178B9"/>
    <w:rsid w:val="000178CA"/>
    <w:rsid w:val="000179C0"/>
    <w:rsid w:val="00021358"/>
    <w:rsid w:val="0002159F"/>
    <w:rsid w:val="000219DE"/>
    <w:rsid w:val="000237A0"/>
    <w:rsid w:val="00023D6B"/>
    <w:rsid w:val="00023E39"/>
    <w:rsid w:val="000244B6"/>
    <w:rsid w:val="0002456F"/>
    <w:rsid w:val="0002493D"/>
    <w:rsid w:val="00024F00"/>
    <w:rsid w:val="000255E7"/>
    <w:rsid w:val="00025D6F"/>
    <w:rsid w:val="00026251"/>
    <w:rsid w:val="00026567"/>
    <w:rsid w:val="00026E43"/>
    <w:rsid w:val="00027F6D"/>
    <w:rsid w:val="0003000E"/>
    <w:rsid w:val="00030735"/>
    <w:rsid w:val="00031158"/>
    <w:rsid w:val="000313DF"/>
    <w:rsid w:val="00031B0A"/>
    <w:rsid w:val="00031DD5"/>
    <w:rsid w:val="00032ADC"/>
    <w:rsid w:val="000332DE"/>
    <w:rsid w:val="0003379F"/>
    <w:rsid w:val="00034680"/>
    <w:rsid w:val="0003478B"/>
    <w:rsid w:val="00034F04"/>
    <w:rsid w:val="0003541E"/>
    <w:rsid w:val="000354FB"/>
    <w:rsid w:val="00035685"/>
    <w:rsid w:val="00036380"/>
    <w:rsid w:val="00036A10"/>
    <w:rsid w:val="00036BCA"/>
    <w:rsid w:val="00036D24"/>
    <w:rsid w:val="00037B04"/>
    <w:rsid w:val="00037E4B"/>
    <w:rsid w:val="00040AAB"/>
    <w:rsid w:val="00040D37"/>
    <w:rsid w:val="00041CAC"/>
    <w:rsid w:val="00041D5C"/>
    <w:rsid w:val="0004202F"/>
    <w:rsid w:val="00042349"/>
    <w:rsid w:val="00042A02"/>
    <w:rsid w:val="000433CB"/>
    <w:rsid w:val="0004367D"/>
    <w:rsid w:val="00043CB8"/>
    <w:rsid w:val="0004415E"/>
    <w:rsid w:val="000442D7"/>
    <w:rsid w:val="0004494F"/>
    <w:rsid w:val="000449F3"/>
    <w:rsid w:val="00044A52"/>
    <w:rsid w:val="000474E3"/>
    <w:rsid w:val="00047812"/>
    <w:rsid w:val="00047C6A"/>
    <w:rsid w:val="00050296"/>
    <w:rsid w:val="0005125F"/>
    <w:rsid w:val="00051802"/>
    <w:rsid w:val="00053035"/>
    <w:rsid w:val="00053BD3"/>
    <w:rsid w:val="00053C8D"/>
    <w:rsid w:val="000544E3"/>
    <w:rsid w:val="00054670"/>
    <w:rsid w:val="00054CC4"/>
    <w:rsid w:val="00054DF7"/>
    <w:rsid w:val="000558A8"/>
    <w:rsid w:val="00055B2A"/>
    <w:rsid w:val="00056470"/>
    <w:rsid w:val="00056477"/>
    <w:rsid w:val="0005768A"/>
    <w:rsid w:val="000609C2"/>
    <w:rsid w:val="00060FCF"/>
    <w:rsid w:val="0006158B"/>
    <w:rsid w:val="000615C3"/>
    <w:rsid w:val="00062222"/>
    <w:rsid w:val="00062905"/>
    <w:rsid w:val="00062E86"/>
    <w:rsid w:val="000631E4"/>
    <w:rsid w:val="000636C6"/>
    <w:rsid w:val="00064D1E"/>
    <w:rsid w:val="00065081"/>
    <w:rsid w:val="000652D4"/>
    <w:rsid w:val="00065611"/>
    <w:rsid w:val="0006573D"/>
    <w:rsid w:val="00065A52"/>
    <w:rsid w:val="00065F6B"/>
    <w:rsid w:val="00066E04"/>
    <w:rsid w:val="00067A70"/>
    <w:rsid w:val="00067A8B"/>
    <w:rsid w:val="00067B53"/>
    <w:rsid w:val="00070D64"/>
    <w:rsid w:val="00071783"/>
    <w:rsid w:val="00071FDC"/>
    <w:rsid w:val="000723BA"/>
    <w:rsid w:val="00072B5C"/>
    <w:rsid w:val="00073F1B"/>
    <w:rsid w:val="00073F92"/>
    <w:rsid w:val="0007518C"/>
    <w:rsid w:val="000752F3"/>
    <w:rsid w:val="00076B2F"/>
    <w:rsid w:val="000775DB"/>
    <w:rsid w:val="00080B61"/>
    <w:rsid w:val="00080D40"/>
    <w:rsid w:val="00080FEF"/>
    <w:rsid w:val="00082150"/>
    <w:rsid w:val="00082DCC"/>
    <w:rsid w:val="00082E97"/>
    <w:rsid w:val="00083472"/>
    <w:rsid w:val="0008367A"/>
    <w:rsid w:val="000844AD"/>
    <w:rsid w:val="00085261"/>
    <w:rsid w:val="00086B3A"/>
    <w:rsid w:val="00087B00"/>
    <w:rsid w:val="00087EE1"/>
    <w:rsid w:val="00091836"/>
    <w:rsid w:val="000929A4"/>
    <w:rsid w:val="00092EE5"/>
    <w:rsid w:val="00093296"/>
    <w:rsid w:val="00093342"/>
    <w:rsid w:val="0009469A"/>
    <w:rsid w:val="000946A8"/>
    <w:rsid w:val="00094B8C"/>
    <w:rsid w:val="000966DE"/>
    <w:rsid w:val="00096E12"/>
    <w:rsid w:val="000972D9"/>
    <w:rsid w:val="00097967"/>
    <w:rsid w:val="00097E2E"/>
    <w:rsid w:val="000A0A90"/>
    <w:rsid w:val="000A2053"/>
    <w:rsid w:val="000A2543"/>
    <w:rsid w:val="000A270E"/>
    <w:rsid w:val="000A2EC7"/>
    <w:rsid w:val="000A3226"/>
    <w:rsid w:val="000A3649"/>
    <w:rsid w:val="000A4180"/>
    <w:rsid w:val="000A4AB9"/>
    <w:rsid w:val="000A5872"/>
    <w:rsid w:val="000A5CC5"/>
    <w:rsid w:val="000A643E"/>
    <w:rsid w:val="000A6812"/>
    <w:rsid w:val="000A76B9"/>
    <w:rsid w:val="000B09A3"/>
    <w:rsid w:val="000B0D56"/>
    <w:rsid w:val="000B1143"/>
    <w:rsid w:val="000B11F5"/>
    <w:rsid w:val="000B2A24"/>
    <w:rsid w:val="000B3825"/>
    <w:rsid w:val="000B44E7"/>
    <w:rsid w:val="000B4501"/>
    <w:rsid w:val="000B4A8F"/>
    <w:rsid w:val="000B4D11"/>
    <w:rsid w:val="000B4FC4"/>
    <w:rsid w:val="000B58A3"/>
    <w:rsid w:val="000B59F8"/>
    <w:rsid w:val="000B5BC1"/>
    <w:rsid w:val="000B6B15"/>
    <w:rsid w:val="000B6E19"/>
    <w:rsid w:val="000B7117"/>
    <w:rsid w:val="000B7AAC"/>
    <w:rsid w:val="000C0569"/>
    <w:rsid w:val="000C10F9"/>
    <w:rsid w:val="000C1307"/>
    <w:rsid w:val="000C143C"/>
    <w:rsid w:val="000C15F0"/>
    <w:rsid w:val="000C1ADA"/>
    <w:rsid w:val="000C1C85"/>
    <w:rsid w:val="000C1F4E"/>
    <w:rsid w:val="000C23D9"/>
    <w:rsid w:val="000C277E"/>
    <w:rsid w:val="000C3100"/>
    <w:rsid w:val="000C3DDB"/>
    <w:rsid w:val="000C439D"/>
    <w:rsid w:val="000C4805"/>
    <w:rsid w:val="000C7617"/>
    <w:rsid w:val="000C77F8"/>
    <w:rsid w:val="000C7E1C"/>
    <w:rsid w:val="000D0953"/>
    <w:rsid w:val="000D18EB"/>
    <w:rsid w:val="000D1BCE"/>
    <w:rsid w:val="000D1DD5"/>
    <w:rsid w:val="000D1F26"/>
    <w:rsid w:val="000D2777"/>
    <w:rsid w:val="000D3BAA"/>
    <w:rsid w:val="000D3FBD"/>
    <w:rsid w:val="000D503C"/>
    <w:rsid w:val="000D60E8"/>
    <w:rsid w:val="000D760F"/>
    <w:rsid w:val="000E0D9A"/>
    <w:rsid w:val="000E264E"/>
    <w:rsid w:val="000E4091"/>
    <w:rsid w:val="000E43BA"/>
    <w:rsid w:val="000E5519"/>
    <w:rsid w:val="000E5ACC"/>
    <w:rsid w:val="000E60D9"/>
    <w:rsid w:val="000E6ABB"/>
    <w:rsid w:val="000E772D"/>
    <w:rsid w:val="000E7B8D"/>
    <w:rsid w:val="000F0F54"/>
    <w:rsid w:val="000F299D"/>
    <w:rsid w:val="000F34D3"/>
    <w:rsid w:val="000F3CF6"/>
    <w:rsid w:val="000F4111"/>
    <w:rsid w:val="000F5399"/>
    <w:rsid w:val="000F6287"/>
    <w:rsid w:val="000F674A"/>
    <w:rsid w:val="000F6A82"/>
    <w:rsid w:val="000F6B9E"/>
    <w:rsid w:val="000F6F22"/>
    <w:rsid w:val="000F705B"/>
    <w:rsid w:val="000F70DD"/>
    <w:rsid w:val="000F7373"/>
    <w:rsid w:val="0010052B"/>
    <w:rsid w:val="00100766"/>
    <w:rsid w:val="00100767"/>
    <w:rsid w:val="0010134E"/>
    <w:rsid w:val="00102090"/>
    <w:rsid w:val="00102630"/>
    <w:rsid w:val="00102D40"/>
    <w:rsid w:val="00103CD6"/>
    <w:rsid w:val="001048C7"/>
    <w:rsid w:val="00104988"/>
    <w:rsid w:val="001049D8"/>
    <w:rsid w:val="001061AB"/>
    <w:rsid w:val="00106C74"/>
    <w:rsid w:val="0010704B"/>
    <w:rsid w:val="00107651"/>
    <w:rsid w:val="00107F82"/>
    <w:rsid w:val="00110ADC"/>
    <w:rsid w:val="00110E3F"/>
    <w:rsid w:val="001113C6"/>
    <w:rsid w:val="001118CD"/>
    <w:rsid w:val="001124DE"/>
    <w:rsid w:val="00112555"/>
    <w:rsid w:val="00112AB8"/>
    <w:rsid w:val="00113E90"/>
    <w:rsid w:val="00113F64"/>
    <w:rsid w:val="00114686"/>
    <w:rsid w:val="00115796"/>
    <w:rsid w:val="001159D0"/>
    <w:rsid w:val="00120836"/>
    <w:rsid w:val="00122113"/>
    <w:rsid w:val="001226DA"/>
    <w:rsid w:val="001238E1"/>
    <w:rsid w:val="00123B09"/>
    <w:rsid w:val="00123CA7"/>
    <w:rsid w:val="00124299"/>
    <w:rsid w:val="00126582"/>
    <w:rsid w:val="00126728"/>
    <w:rsid w:val="00127BDD"/>
    <w:rsid w:val="00131863"/>
    <w:rsid w:val="00132DB3"/>
    <w:rsid w:val="0013303C"/>
    <w:rsid w:val="001348A9"/>
    <w:rsid w:val="00135460"/>
    <w:rsid w:val="00135D82"/>
    <w:rsid w:val="00136C65"/>
    <w:rsid w:val="00140499"/>
    <w:rsid w:val="00140D76"/>
    <w:rsid w:val="00141185"/>
    <w:rsid w:val="00141C8D"/>
    <w:rsid w:val="00141D30"/>
    <w:rsid w:val="0014228A"/>
    <w:rsid w:val="00142F84"/>
    <w:rsid w:val="0014307F"/>
    <w:rsid w:val="0014424C"/>
    <w:rsid w:val="00144450"/>
    <w:rsid w:val="00146165"/>
    <w:rsid w:val="001464F2"/>
    <w:rsid w:val="00146FAD"/>
    <w:rsid w:val="0014787C"/>
    <w:rsid w:val="001505EC"/>
    <w:rsid w:val="00151815"/>
    <w:rsid w:val="00152B0F"/>
    <w:rsid w:val="00153018"/>
    <w:rsid w:val="00153734"/>
    <w:rsid w:val="00153815"/>
    <w:rsid w:val="00153E2C"/>
    <w:rsid w:val="00154636"/>
    <w:rsid w:val="00154DAC"/>
    <w:rsid w:val="00155684"/>
    <w:rsid w:val="00155DC7"/>
    <w:rsid w:val="00156208"/>
    <w:rsid w:val="001565E0"/>
    <w:rsid w:val="00157558"/>
    <w:rsid w:val="00157765"/>
    <w:rsid w:val="001578E7"/>
    <w:rsid w:val="0015799B"/>
    <w:rsid w:val="00157E22"/>
    <w:rsid w:val="00160066"/>
    <w:rsid w:val="001609C0"/>
    <w:rsid w:val="001620BC"/>
    <w:rsid w:val="00162B29"/>
    <w:rsid w:val="00163037"/>
    <w:rsid w:val="00163781"/>
    <w:rsid w:val="001638D4"/>
    <w:rsid w:val="001643E4"/>
    <w:rsid w:val="00164B81"/>
    <w:rsid w:val="00164CFB"/>
    <w:rsid w:val="00165010"/>
    <w:rsid w:val="00165B16"/>
    <w:rsid w:val="00166028"/>
    <w:rsid w:val="0016612B"/>
    <w:rsid w:val="00167C7D"/>
    <w:rsid w:val="001702EA"/>
    <w:rsid w:val="00170413"/>
    <w:rsid w:val="001707B6"/>
    <w:rsid w:val="00170ABC"/>
    <w:rsid w:val="00171B95"/>
    <w:rsid w:val="00172971"/>
    <w:rsid w:val="00172B23"/>
    <w:rsid w:val="00173B5A"/>
    <w:rsid w:val="001741E0"/>
    <w:rsid w:val="0017705A"/>
    <w:rsid w:val="00177598"/>
    <w:rsid w:val="001779BC"/>
    <w:rsid w:val="00180323"/>
    <w:rsid w:val="0018082E"/>
    <w:rsid w:val="001808BB"/>
    <w:rsid w:val="00181868"/>
    <w:rsid w:val="001828FF"/>
    <w:rsid w:val="00183BD1"/>
    <w:rsid w:val="00184556"/>
    <w:rsid w:val="00185F1A"/>
    <w:rsid w:val="00186B48"/>
    <w:rsid w:val="001876D6"/>
    <w:rsid w:val="00187C3D"/>
    <w:rsid w:val="00190A9A"/>
    <w:rsid w:val="00190CCB"/>
    <w:rsid w:val="00191DB7"/>
    <w:rsid w:val="00191E95"/>
    <w:rsid w:val="0019279A"/>
    <w:rsid w:val="00192934"/>
    <w:rsid w:val="00192E0D"/>
    <w:rsid w:val="0019302D"/>
    <w:rsid w:val="001950A2"/>
    <w:rsid w:val="0019514F"/>
    <w:rsid w:val="001959BC"/>
    <w:rsid w:val="0019671A"/>
    <w:rsid w:val="00196A40"/>
    <w:rsid w:val="001A0313"/>
    <w:rsid w:val="001A065D"/>
    <w:rsid w:val="001A0B16"/>
    <w:rsid w:val="001A1809"/>
    <w:rsid w:val="001A2269"/>
    <w:rsid w:val="001A26E6"/>
    <w:rsid w:val="001A2707"/>
    <w:rsid w:val="001A33E1"/>
    <w:rsid w:val="001A4103"/>
    <w:rsid w:val="001A45C5"/>
    <w:rsid w:val="001A5325"/>
    <w:rsid w:val="001A5FF1"/>
    <w:rsid w:val="001A6CFD"/>
    <w:rsid w:val="001A70C5"/>
    <w:rsid w:val="001A74C2"/>
    <w:rsid w:val="001A7830"/>
    <w:rsid w:val="001A7FE7"/>
    <w:rsid w:val="001B11B5"/>
    <w:rsid w:val="001B18E2"/>
    <w:rsid w:val="001B219C"/>
    <w:rsid w:val="001B2C23"/>
    <w:rsid w:val="001B46FD"/>
    <w:rsid w:val="001B646B"/>
    <w:rsid w:val="001B67CD"/>
    <w:rsid w:val="001B7702"/>
    <w:rsid w:val="001C0512"/>
    <w:rsid w:val="001C1055"/>
    <w:rsid w:val="001C1392"/>
    <w:rsid w:val="001C2B49"/>
    <w:rsid w:val="001C2D98"/>
    <w:rsid w:val="001C55BE"/>
    <w:rsid w:val="001C5BDD"/>
    <w:rsid w:val="001C5E9C"/>
    <w:rsid w:val="001C6DA7"/>
    <w:rsid w:val="001C6DEC"/>
    <w:rsid w:val="001C786C"/>
    <w:rsid w:val="001C79CA"/>
    <w:rsid w:val="001C7EB7"/>
    <w:rsid w:val="001D06D0"/>
    <w:rsid w:val="001D08BA"/>
    <w:rsid w:val="001D18A2"/>
    <w:rsid w:val="001D1910"/>
    <w:rsid w:val="001D20A5"/>
    <w:rsid w:val="001D3828"/>
    <w:rsid w:val="001D392E"/>
    <w:rsid w:val="001D417E"/>
    <w:rsid w:val="001D473D"/>
    <w:rsid w:val="001D48AB"/>
    <w:rsid w:val="001D4BC4"/>
    <w:rsid w:val="001D518C"/>
    <w:rsid w:val="001D5B27"/>
    <w:rsid w:val="001D5F06"/>
    <w:rsid w:val="001D6326"/>
    <w:rsid w:val="001D6742"/>
    <w:rsid w:val="001D7214"/>
    <w:rsid w:val="001D764B"/>
    <w:rsid w:val="001D7F29"/>
    <w:rsid w:val="001D7FA9"/>
    <w:rsid w:val="001E294A"/>
    <w:rsid w:val="001E37A4"/>
    <w:rsid w:val="001E3D55"/>
    <w:rsid w:val="001E4665"/>
    <w:rsid w:val="001E52D4"/>
    <w:rsid w:val="001E58DB"/>
    <w:rsid w:val="001E596B"/>
    <w:rsid w:val="001E5FCC"/>
    <w:rsid w:val="001E6A72"/>
    <w:rsid w:val="001E6A76"/>
    <w:rsid w:val="001E74F2"/>
    <w:rsid w:val="001F030B"/>
    <w:rsid w:val="001F03D6"/>
    <w:rsid w:val="001F0994"/>
    <w:rsid w:val="001F0FC4"/>
    <w:rsid w:val="001F117D"/>
    <w:rsid w:val="001F1B2C"/>
    <w:rsid w:val="001F3AC3"/>
    <w:rsid w:val="001F5B7D"/>
    <w:rsid w:val="001F6040"/>
    <w:rsid w:val="001F640A"/>
    <w:rsid w:val="001F6B5E"/>
    <w:rsid w:val="00200088"/>
    <w:rsid w:val="00200FA5"/>
    <w:rsid w:val="00201090"/>
    <w:rsid w:val="00201848"/>
    <w:rsid w:val="00201E81"/>
    <w:rsid w:val="0020226A"/>
    <w:rsid w:val="00202D5F"/>
    <w:rsid w:val="002033E6"/>
    <w:rsid w:val="002046D3"/>
    <w:rsid w:val="0020517E"/>
    <w:rsid w:val="00205D4F"/>
    <w:rsid w:val="0020768A"/>
    <w:rsid w:val="0020784C"/>
    <w:rsid w:val="00207D36"/>
    <w:rsid w:val="00207E22"/>
    <w:rsid w:val="00210C84"/>
    <w:rsid w:val="00210E0E"/>
    <w:rsid w:val="00210F92"/>
    <w:rsid w:val="00211B03"/>
    <w:rsid w:val="002127C6"/>
    <w:rsid w:val="00212A6D"/>
    <w:rsid w:val="00212B26"/>
    <w:rsid w:val="00214149"/>
    <w:rsid w:val="00214690"/>
    <w:rsid w:val="00214A60"/>
    <w:rsid w:val="002152EB"/>
    <w:rsid w:val="002162D7"/>
    <w:rsid w:val="0021677A"/>
    <w:rsid w:val="00217766"/>
    <w:rsid w:val="00217E57"/>
    <w:rsid w:val="00220028"/>
    <w:rsid w:val="00220E16"/>
    <w:rsid w:val="00221222"/>
    <w:rsid w:val="00222124"/>
    <w:rsid w:val="00222225"/>
    <w:rsid w:val="00222BE7"/>
    <w:rsid w:val="00222D9D"/>
    <w:rsid w:val="00223193"/>
    <w:rsid w:val="00223AF6"/>
    <w:rsid w:val="00224816"/>
    <w:rsid w:val="002249E6"/>
    <w:rsid w:val="0022520C"/>
    <w:rsid w:val="00227566"/>
    <w:rsid w:val="002301F4"/>
    <w:rsid w:val="002302DA"/>
    <w:rsid w:val="002303D2"/>
    <w:rsid w:val="00230687"/>
    <w:rsid w:val="002307C4"/>
    <w:rsid w:val="00230E37"/>
    <w:rsid w:val="00231A08"/>
    <w:rsid w:val="00232CF7"/>
    <w:rsid w:val="002340C2"/>
    <w:rsid w:val="00234662"/>
    <w:rsid w:val="00234CC6"/>
    <w:rsid w:val="00235200"/>
    <w:rsid w:val="00237D7B"/>
    <w:rsid w:val="00240E08"/>
    <w:rsid w:val="00241FAA"/>
    <w:rsid w:val="002421EA"/>
    <w:rsid w:val="0024264F"/>
    <w:rsid w:val="002433DA"/>
    <w:rsid w:val="00243893"/>
    <w:rsid w:val="00243E7F"/>
    <w:rsid w:val="0024584A"/>
    <w:rsid w:val="002507CB"/>
    <w:rsid w:val="00250D15"/>
    <w:rsid w:val="00250E5B"/>
    <w:rsid w:val="002523A7"/>
    <w:rsid w:val="002535E2"/>
    <w:rsid w:val="00254207"/>
    <w:rsid w:val="00255484"/>
    <w:rsid w:val="00255527"/>
    <w:rsid w:val="00255648"/>
    <w:rsid w:val="00255DFE"/>
    <w:rsid w:val="002567F9"/>
    <w:rsid w:val="00257187"/>
    <w:rsid w:val="00260630"/>
    <w:rsid w:val="002613E6"/>
    <w:rsid w:val="00261490"/>
    <w:rsid w:val="002622EE"/>
    <w:rsid w:val="002624AE"/>
    <w:rsid w:val="002624EE"/>
    <w:rsid w:val="00262916"/>
    <w:rsid w:val="00263237"/>
    <w:rsid w:val="00263796"/>
    <w:rsid w:val="00263E34"/>
    <w:rsid w:val="00264122"/>
    <w:rsid w:val="002648D3"/>
    <w:rsid w:val="002662A3"/>
    <w:rsid w:val="002665C1"/>
    <w:rsid w:val="002678FD"/>
    <w:rsid w:val="00267DC4"/>
    <w:rsid w:val="00270CCD"/>
    <w:rsid w:val="00270CF1"/>
    <w:rsid w:val="00271010"/>
    <w:rsid w:val="002714C4"/>
    <w:rsid w:val="002715AA"/>
    <w:rsid w:val="00272FF3"/>
    <w:rsid w:val="00273049"/>
    <w:rsid w:val="0027313A"/>
    <w:rsid w:val="00274631"/>
    <w:rsid w:val="00275699"/>
    <w:rsid w:val="002758F8"/>
    <w:rsid w:val="00275CEB"/>
    <w:rsid w:val="00275E2C"/>
    <w:rsid w:val="00275F16"/>
    <w:rsid w:val="00276BC9"/>
    <w:rsid w:val="00277C9C"/>
    <w:rsid w:val="00277DA8"/>
    <w:rsid w:val="002813C4"/>
    <w:rsid w:val="0028163E"/>
    <w:rsid w:val="00281890"/>
    <w:rsid w:val="0028214F"/>
    <w:rsid w:val="00282772"/>
    <w:rsid w:val="00282ECC"/>
    <w:rsid w:val="00282FA0"/>
    <w:rsid w:val="002833B3"/>
    <w:rsid w:val="00284241"/>
    <w:rsid w:val="002864B5"/>
    <w:rsid w:val="00286578"/>
    <w:rsid w:val="002868B7"/>
    <w:rsid w:val="00286AA0"/>
    <w:rsid w:val="00286BA4"/>
    <w:rsid w:val="00286DFC"/>
    <w:rsid w:val="00286F66"/>
    <w:rsid w:val="00286FC1"/>
    <w:rsid w:val="002872EC"/>
    <w:rsid w:val="00287397"/>
    <w:rsid w:val="0028769F"/>
    <w:rsid w:val="0028781C"/>
    <w:rsid w:val="0028786F"/>
    <w:rsid w:val="00287E3E"/>
    <w:rsid w:val="002902FF"/>
    <w:rsid w:val="002918F4"/>
    <w:rsid w:val="00292437"/>
    <w:rsid w:val="00292503"/>
    <w:rsid w:val="00293270"/>
    <w:rsid w:val="0029346B"/>
    <w:rsid w:val="00293AE1"/>
    <w:rsid w:val="00293DE1"/>
    <w:rsid w:val="0029451B"/>
    <w:rsid w:val="00294B53"/>
    <w:rsid w:val="0029582A"/>
    <w:rsid w:val="0029618A"/>
    <w:rsid w:val="00297D09"/>
    <w:rsid w:val="002A01C3"/>
    <w:rsid w:val="002A0C44"/>
    <w:rsid w:val="002A0DA2"/>
    <w:rsid w:val="002A1467"/>
    <w:rsid w:val="002A1BA4"/>
    <w:rsid w:val="002A1ED8"/>
    <w:rsid w:val="002A23C0"/>
    <w:rsid w:val="002A2616"/>
    <w:rsid w:val="002A33A5"/>
    <w:rsid w:val="002A3562"/>
    <w:rsid w:val="002A47C9"/>
    <w:rsid w:val="002A4DCA"/>
    <w:rsid w:val="002A51E8"/>
    <w:rsid w:val="002A574D"/>
    <w:rsid w:val="002A6187"/>
    <w:rsid w:val="002A690B"/>
    <w:rsid w:val="002A7365"/>
    <w:rsid w:val="002B013F"/>
    <w:rsid w:val="002B02FE"/>
    <w:rsid w:val="002B2152"/>
    <w:rsid w:val="002B2D31"/>
    <w:rsid w:val="002B365C"/>
    <w:rsid w:val="002B3D32"/>
    <w:rsid w:val="002B4837"/>
    <w:rsid w:val="002B4F84"/>
    <w:rsid w:val="002B51F1"/>
    <w:rsid w:val="002B58EE"/>
    <w:rsid w:val="002B6622"/>
    <w:rsid w:val="002B779B"/>
    <w:rsid w:val="002B7A29"/>
    <w:rsid w:val="002C0D97"/>
    <w:rsid w:val="002C18C8"/>
    <w:rsid w:val="002C20C7"/>
    <w:rsid w:val="002C2859"/>
    <w:rsid w:val="002C394A"/>
    <w:rsid w:val="002C5E7B"/>
    <w:rsid w:val="002C64AC"/>
    <w:rsid w:val="002C768B"/>
    <w:rsid w:val="002D0100"/>
    <w:rsid w:val="002D110F"/>
    <w:rsid w:val="002D19ED"/>
    <w:rsid w:val="002D28CC"/>
    <w:rsid w:val="002D479E"/>
    <w:rsid w:val="002D4EC8"/>
    <w:rsid w:val="002D6C36"/>
    <w:rsid w:val="002D745D"/>
    <w:rsid w:val="002D7B8A"/>
    <w:rsid w:val="002D7BFB"/>
    <w:rsid w:val="002E055D"/>
    <w:rsid w:val="002E0FCE"/>
    <w:rsid w:val="002E11ED"/>
    <w:rsid w:val="002E2ABC"/>
    <w:rsid w:val="002E320A"/>
    <w:rsid w:val="002E327D"/>
    <w:rsid w:val="002E3763"/>
    <w:rsid w:val="002E3ED7"/>
    <w:rsid w:val="002E4489"/>
    <w:rsid w:val="002E519A"/>
    <w:rsid w:val="002E541B"/>
    <w:rsid w:val="002E6DA5"/>
    <w:rsid w:val="002E74E0"/>
    <w:rsid w:val="002E7897"/>
    <w:rsid w:val="002E7A2D"/>
    <w:rsid w:val="002E7B75"/>
    <w:rsid w:val="002E7E93"/>
    <w:rsid w:val="002E7EC2"/>
    <w:rsid w:val="002F00BD"/>
    <w:rsid w:val="002F0296"/>
    <w:rsid w:val="002F07C8"/>
    <w:rsid w:val="002F154E"/>
    <w:rsid w:val="002F2055"/>
    <w:rsid w:val="002F2156"/>
    <w:rsid w:val="002F2879"/>
    <w:rsid w:val="002F4D21"/>
    <w:rsid w:val="002F55B1"/>
    <w:rsid w:val="002F79E5"/>
    <w:rsid w:val="003003A2"/>
    <w:rsid w:val="0030079C"/>
    <w:rsid w:val="00300D54"/>
    <w:rsid w:val="003019DB"/>
    <w:rsid w:val="00301C18"/>
    <w:rsid w:val="00303598"/>
    <w:rsid w:val="00303678"/>
    <w:rsid w:val="00304E2D"/>
    <w:rsid w:val="003061AA"/>
    <w:rsid w:val="003078AF"/>
    <w:rsid w:val="00310741"/>
    <w:rsid w:val="00311122"/>
    <w:rsid w:val="00311536"/>
    <w:rsid w:val="0031157C"/>
    <w:rsid w:val="00311954"/>
    <w:rsid w:val="00311AB3"/>
    <w:rsid w:val="00312336"/>
    <w:rsid w:val="00312AA8"/>
    <w:rsid w:val="003131FD"/>
    <w:rsid w:val="00314360"/>
    <w:rsid w:val="00314901"/>
    <w:rsid w:val="00314E3D"/>
    <w:rsid w:val="00316286"/>
    <w:rsid w:val="00316679"/>
    <w:rsid w:val="00316F65"/>
    <w:rsid w:val="003176AD"/>
    <w:rsid w:val="00317AE3"/>
    <w:rsid w:val="003200D6"/>
    <w:rsid w:val="00320127"/>
    <w:rsid w:val="0032041F"/>
    <w:rsid w:val="0032042D"/>
    <w:rsid w:val="00320AD4"/>
    <w:rsid w:val="003210A0"/>
    <w:rsid w:val="00321A62"/>
    <w:rsid w:val="00321C2C"/>
    <w:rsid w:val="00322558"/>
    <w:rsid w:val="00322FFF"/>
    <w:rsid w:val="00323A4C"/>
    <w:rsid w:val="003270B9"/>
    <w:rsid w:val="00327881"/>
    <w:rsid w:val="00327F6E"/>
    <w:rsid w:val="0033091A"/>
    <w:rsid w:val="003311F4"/>
    <w:rsid w:val="0033173C"/>
    <w:rsid w:val="00331982"/>
    <w:rsid w:val="003331F1"/>
    <w:rsid w:val="00333EC3"/>
    <w:rsid w:val="00333F09"/>
    <w:rsid w:val="0033553F"/>
    <w:rsid w:val="00336AD4"/>
    <w:rsid w:val="003373AD"/>
    <w:rsid w:val="003374C9"/>
    <w:rsid w:val="003375C3"/>
    <w:rsid w:val="003400E0"/>
    <w:rsid w:val="00340562"/>
    <w:rsid w:val="00341064"/>
    <w:rsid w:val="003418C8"/>
    <w:rsid w:val="00341B9E"/>
    <w:rsid w:val="003426FF"/>
    <w:rsid w:val="00343000"/>
    <w:rsid w:val="0034374B"/>
    <w:rsid w:val="003443A3"/>
    <w:rsid w:val="00344C29"/>
    <w:rsid w:val="0034520B"/>
    <w:rsid w:val="0034562F"/>
    <w:rsid w:val="00345CE5"/>
    <w:rsid w:val="003467B2"/>
    <w:rsid w:val="00346841"/>
    <w:rsid w:val="0034699A"/>
    <w:rsid w:val="00346AB9"/>
    <w:rsid w:val="00347C5E"/>
    <w:rsid w:val="00350012"/>
    <w:rsid w:val="0035002E"/>
    <w:rsid w:val="00350836"/>
    <w:rsid w:val="00350D40"/>
    <w:rsid w:val="003519C2"/>
    <w:rsid w:val="003529D3"/>
    <w:rsid w:val="00353A06"/>
    <w:rsid w:val="00353A64"/>
    <w:rsid w:val="003553E4"/>
    <w:rsid w:val="003553FB"/>
    <w:rsid w:val="00355A04"/>
    <w:rsid w:val="00356B55"/>
    <w:rsid w:val="00356D24"/>
    <w:rsid w:val="00361193"/>
    <w:rsid w:val="003612C1"/>
    <w:rsid w:val="003616BC"/>
    <w:rsid w:val="003625B3"/>
    <w:rsid w:val="00362BD5"/>
    <w:rsid w:val="00362E6D"/>
    <w:rsid w:val="003638F3"/>
    <w:rsid w:val="00363A39"/>
    <w:rsid w:val="00364DFE"/>
    <w:rsid w:val="00365267"/>
    <w:rsid w:val="003652ED"/>
    <w:rsid w:val="003660B8"/>
    <w:rsid w:val="00366697"/>
    <w:rsid w:val="003669D4"/>
    <w:rsid w:val="00366E9E"/>
    <w:rsid w:val="003675D6"/>
    <w:rsid w:val="00367C3C"/>
    <w:rsid w:val="00367DB7"/>
    <w:rsid w:val="00367EB8"/>
    <w:rsid w:val="00370070"/>
    <w:rsid w:val="003701C3"/>
    <w:rsid w:val="00371548"/>
    <w:rsid w:val="003718B5"/>
    <w:rsid w:val="00371B5F"/>
    <w:rsid w:val="0037253E"/>
    <w:rsid w:val="003727BB"/>
    <w:rsid w:val="00372BB0"/>
    <w:rsid w:val="0037319C"/>
    <w:rsid w:val="0037344D"/>
    <w:rsid w:val="00374094"/>
    <w:rsid w:val="00374999"/>
    <w:rsid w:val="00374B27"/>
    <w:rsid w:val="00375296"/>
    <w:rsid w:val="003756A4"/>
    <w:rsid w:val="003764C2"/>
    <w:rsid w:val="00376AEA"/>
    <w:rsid w:val="003772FC"/>
    <w:rsid w:val="00380CBC"/>
    <w:rsid w:val="00381014"/>
    <w:rsid w:val="003811E1"/>
    <w:rsid w:val="00383723"/>
    <w:rsid w:val="003837D7"/>
    <w:rsid w:val="00384283"/>
    <w:rsid w:val="00385013"/>
    <w:rsid w:val="00386F73"/>
    <w:rsid w:val="00387F67"/>
    <w:rsid w:val="0039133D"/>
    <w:rsid w:val="003918B3"/>
    <w:rsid w:val="003924D0"/>
    <w:rsid w:val="00392AF8"/>
    <w:rsid w:val="00394287"/>
    <w:rsid w:val="00394F8A"/>
    <w:rsid w:val="0039522C"/>
    <w:rsid w:val="00396227"/>
    <w:rsid w:val="00396ACE"/>
    <w:rsid w:val="00396F14"/>
    <w:rsid w:val="003A1D00"/>
    <w:rsid w:val="003A3E21"/>
    <w:rsid w:val="003A400E"/>
    <w:rsid w:val="003A45D6"/>
    <w:rsid w:val="003A4FD6"/>
    <w:rsid w:val="003A51E2"/>
    <w:rsid w:val="003A6633"/>
    <w:rsid w:val="003A6B9B"/>
    <w:rsid w:val="003A6E21"/>
    <w:rsid w:val="003A7389"/>
    <w:rsid w:val="003B0F7F"/>
    <w:rsid w:val="003B3ACC"/>
    <w:rsid w:val="003B4DCA"/>
    <w:rsid w:val="003B5005"/>
    <w:rsid w:val="003B5054"/>
    <w:rsid w:val="003B5FB3"/>
    <w:rsid w:val="003C0459"/>
    <w:rsid w:val="003C163F"/>
    <w:rsid w:val="003C1A85"/>
    <w:rsid w:val="003C1EE8"/>
    <w:rsid w:val="003C2CFB"/>
    <w:rsid w:val="003C3287"/>
    <w:rsid w:val="003C57B5"/>
    <w:rsid w:val="003C5ADF"/>
    <w:rsid w:val="003C5EF6"/>
    <w:rsid w:val="003C7B8C"/>
    <w:rsid w:val="003C7C2A"/>
    <w:rsid w:val="003D07F6"/>
    <w:rsid w:val="003D1F9A"/>
    <w:rsid w:val="003D2587"/>
    <w:rsid w:val="003D2775"/>
    <w:rsid w:val="003D4238"/>
    <w:rsid w:val="003D4250"/>
    <w:rsid w:val="003D4CD6"/>
    <w:rsid w:val="003D4E29"/>
    <w:rsid w:val="003D4E47"/>
    <w:rsid w:val="003D545F"/>
    <w:rsid w:val="003D5A9A"/>
    <w:rsid w:val="003D62C5"/>
    <w:rsid w:val="003E060D"/>
    <w:rsid w:val="003E0ED5"/>
    <w:rsid w:val="003E1243"/>
    <w:rsid w:val="003E169C"/>
    <w:rsid w:val="003E2091"/>
    <w:rsid w:val="003E2AC7"/>
    <w:rsid w:val="003E38D2"/>
    <w:rsid w:val="003E39F2"/>
    <w:rsid w:val="003E3B89"/>
    <w:rsid w:val="003E4148"/>
    <w:rsid w:val="003E45F2"/>
    <w:rsid w:val="003E4E08"/>
    <w:rsid w:val="003E65D0"/>
    <w:rsid w:val="003F066A"/>
    <w:rsid w:val="003F1EDB"/>
    <w:rsid w:val="003F21B5"/>
    <w:rsid w:val="003F2362"/>
    <w:rsid w:val="003F2C71"/>
    <w:rsid w:val="003F2E3D"/>
    <w:rsid w:val="003F406E"/>
    <w:rsid w:val="003F4706"/>
    <w:rsid w:val="003F5091"/>
    <w:rsid w:val="003F550A"/>
    <w:rsid w:val="003F5B2F"/>
    <w:rsid w:val="003F60EC"/>
    <w:rsid w:val="003F657B"/>
    <w:rsid w:val="003F6DBC"/>
    <w:rsid w:val="003F6E6F"/>
    <w:rsid w:val="004006E9"/>
    <w:rsid w:val="0040083A"/>
    <w:rsid w:val="0040092C"/>
    <w:rsid w:val="0040119E"/>
    <w:rsid w:val="00401F94"/>
    <w:rsid w:val="004023EC"/>
    <w:rsid w:val="0040280E"/>
    <w:rsid w:val="00402C51"/>
    <w:rsid w:val="00404945"/>
    <w:rsid w:val="00405C8A"/>
    <w:rsid w:val="00405EED"/>
    <w:rsid w:val="00406BFC"/>
    <w:rsid w:val="0040756E"/>
    <w:rsid w:val="00407934"/>
    <w:rsid w:val="00407A45"/>
    <w:rsid w:val="00407E96"/>
    <w:rsid w:val="004107A4"/>
    <w:rsid w:val="0041094E"/>
    <w:rsid w:val="00410C85"/>
    <w:rsid w:val="00410D4F"/>
    <w:rsid w:val="00410FDF"/>
    <w:rsid w:val="00411555"/>
    <w:rsid w:val="004136AD"/>
    <w:rsid w:val="004138AB"/>
    <w:rsid w:val="004152EC"/>
    <w:rsid w:val="004164D3"/>
    <w:rsid w:val="004164EE"/>
    <w:rsid w:val="00416767"/>
    <w:rsid w:val="004167EE"/>
    <w:rsid w:val="004174C8"/>
    <w:rsid w:val="0041785F"/>
    <w:rsid w:val="00417A58"/>
    <w:rsid w:val="00420A72"/>
    <w:rsid w:val="00420E3A"/>
    <w:rsid w:val="00420E66"/>
    <w:rsid w:val="00421495"/>
    <w:rsid w:val="004222A8"/>
    <w:rsid w:val="00423D3B"/>
    <w:rsid w:val="0042425C"/>
    <w:rsid w:val="004247EC"/>
    <w:rsid w:val="00425661"/>
    <w:rsid w:val="00425BE8"/>
    <w:rsid w:val="0042638A"/>
    <w:rsid w:val="0042750D"/>
    <w:rsid w:val="0042764F"/>
    <w:rsid w:val="0043121A"/>
    <w:rsid w:val="0043124D"/>
    <w:rsid w:val="0043162A"/>
    <w:rsid w:val="00431B59"/>
    <w:rsid w:val="00431FC1"/>
    <w:rsid w:val="0043321B"/>
    <w:rsid w:val="004335CF"/>
    <w:rsid w:val="00433E57"/>
    <w:rsid w:val="004345D3"/>
    <w:rsid w:val="00434653"/>
    <w:rsid w:val="004351F5"/>
    <w:rsid w:val="00435A3C"/>
    <w:rsid w:val="00435EF0"/>
    <w:rsid w:val="0044046F"/>
    <w:rsid w:val="00440908"/>
    <w:rsid w:val="0044203A"/>
    <w:rsid w:val="00443F56"/>
    <w:rsid w:val="00443F8D"/>
    <w:rsid w:val="00444748"/>
    <w:rsid w:val="00444C97"/>
    <w:rsid w:val="00445430"/>
    <w:rsid w:val="0044709C"/>
    <w:rsid w:val="00447368"/>
    <w:rsid w:val="00451692"/>
    <w:rsid w:val="004516AE"/>
    <w:rsid w:val="0045177F"/>
    <w:rsid w:val="004518AF"/>
    <w:rsid w:val="00451B6C"/>
    <w:rsid w:val="00452C3D"/>
    <w:rsid w:val="00452F10"/>
    <w:rsid w:val="00453C72"/>
    <w:rsid w:val="004540B6"/>
    <w:rsid w:val="00454247"/>
    <w:rsid w:val="00454259"/>
    <w:rsid w:val="0045477E"/>
    <w:rsid w:val="00454EE6"/>
    <w:rsid w:val="004554EC"/>
    <w:rsid w:val="00456431"/>
    <w:rsid w:val="004611EE"/>
    <w:rsid w:val="0046148C"/>
    <w:rsid w:val="0046244E"/>
    <w:rsid w:val="00462650"/>
    <w:rsid w:val="00462B68"/>
    <w:rsid w:val="00465761"/>
    <w:rsid w:val="0046647E"/>
    <w:rsid w:val="00467FDC"/>
    <w:rsid w:val="00470EB1"/>
    <w:rsid w:val="00471AC4"/>
    <w:rsid w:val="004725AA"/>
    <w:rsid w:val="0047293F"/>
    <w:rsid w:val="00472B2C"/>
    <w:rsid w:val="00472DCE"/>
    <w:rsid w:val="004739A0"/>
    <w:rsid w:val="00473D93"/>
    <w:rsid w:val="0047469C"/>
    <w:rsid w:val="0047627A"/>
    <w:rsid w:val="004773BC"/>
    <w:rsid w:val="00477734"/>
    <w:rsid w:val="00477A01"/>
    <w:rsid w:val="00477F8E"/>
    <w:rsid w:val="004811A4"/>
    <w:rsid w:val="004818E2"/>
    <w:rsid w:val="00481F83"/>
    <w:rsid w:val="004825D7"/>
    <w:rsid w:val="004828D6"/>
    <w:rsid w:val="00482B57"/>
    <w:rsid w:val="00483F36"/>
    <w:rsid w:val="00484C7D"/>
    <w:rsid w:val="00484E5E"/>
    <w:rsid w:val="00486BFD"/>
    <w:rsid w:val="00486E03"/>
    <w:rsid w:val="00490FB9"/>
    <w:rsid w:val="004924FF"/>
    <w:rsid w:val="00492C45"/>
    <w:rsid w:val="00492F81"/>
    <w:rsid w:val="004933B4"/>
    <w:rsid w:val="00493C33"/>
    <w:rsid w:val="00494736"/>
    <w:rsid w:val="00494C0E"/>
    <w:rsid w:val="0049532B"/>
    <w:rsid w:val="0049565A"/>
    <w:rsid w:val="0049606F"/>
    <w:rsid w:val="00496104"/>
    <w:rsid w:val="0049620D"/>
    <w:rsid w:val="00496AC8"/>
    <w:rsid w:val="00497D98"/>
    <w:rsid w:val="004A0B5B"/>
    <w:rsid w:val="004A0CD7"/>
    <w:rsid w:val="004A20DF"/>
    <w:rsid w:val="004A25F8"/>
    <w:rsid w:val="004A33B6"/>
    <w:rsid w:val="004A3F28"/>
    <w:rsid w:val="004A53FF"/>
    <w:rsid w:val="004A56A9"/>
    <w:rsid w:val="004A5AC1"/>
    <w:rsid w:val="004A5E01"/>
    <w:rsid w:val="004A5F4D"/>
    <w:rsid w:val="004A6B79"/>
    <w:rsid w:val="004A7525"/>
    <w:rsid w:val="004A7661"/>
    <w:rsid w:val="004A7715"/>
    <w:rsid w:val="004A7D59"/>
    <w:rsid w:val="004B0874"/>
    <w:rsid w:val="004B0EAE"/>
    <w:rsid w:val="004B1B0A"/>
    <w:rsid w:val="004B1EE9"/>
    <w:rsid w:val="004B27B5"/>
    <w:rsid w:val="004B2EF2"/>
    <w:rsid w:val="004B2F3F"/>
    <w:rsid w:val="004B4C0C"/>
    <w:rsid w:val="004B5346"/>
    <w:rsid w:val="004B5844"/>
    <w:rsid w:val="004B6285"/>
    <w:rsid w:val="004B6288"/>
    <w:rsid w:val="004B6AC2"/>
    <w:rsid w:val="004B7046"/>
    <w:rsid w:val="004B75F9"/>
    <w:rsid w:val="004B7AF9"/>
    <w:rsid w:val="004B7DCB"/>
    <w:rsid w:val="004C12E8"/>
    <w:rsid w:val="004C1848"/>
    <w:rsid w:val="004C1FFE"/>
    <w:rsid w:val="004C251E"/>
    <w:rsid w:val="004C3892"/>
    <w:rsid w:val="004C3F8C"/>
    <w:rsid w:val="004C5F72"/>
    <w:rsid w:val="004C78EA"/>
    <w:rsid w:val="004D0171"/>
    <w:rsid w:val="004D042B"/>
    <w:rsid w:val="004D0680"/>
    <w:rsid w:val="004D2250"/>
    <w:rsid w:val="004D24EA"/>
    <w:rsid w:val="004D2804"/>
    <w:rsid w:val="004D2F92"/>
    <w:rsid w:val="004D4C12"/>
    <w:rsid w:val="004D5041"/>
    <w:rsid w:val="004D5437"/>
    <w:rsid w:val="004D57EF"/>
    <w:rsid w:val="004D5BBE"/>
    <w:rsid w:val="004D5F08"/>
    <w:rsid w:val="004D6823"/>
    <w:rsid w:val="004D6950"/>
    <w:rsid w:val="004D7239"/>
    <w:rsid w:val="004D7995"/>
    <w:rsid w:val="004D7F63"/>
    <w:rsid w:val="004E06E8"/>
    <w:rsid w:val="004E0E20"/>
    <w:rsid w:val="004E10CF"/>
    <w:rsid w:val="004E1784"/>
    <w:rsid w:val="004E19F6"/>
    <w:rsid w:val="004E1B00"/>
    <w:rsid w:val="004E1CD8"/>
    <w:rsid w:val="004E2115"/>
    <w:rsid w:val="004E2684"/>
    <w:rsid w:val="004E2725"/>
    <w:rsid w:val="004E2955"/>
    <w:rsid w:val="004E2D12"/>
    <w:rsid w:val="004E380E"/>
    <w:rsid w:val="004E3896"/>
    <w:rsid w:val="004E3ACA"/>
    <w:rsid w:val="004E3D98"/>
    <w:rsid w:val="004E5FA3"/>
    <w:rsid w:val="004E6843"/>
    <w:rsid w:val="004E6967"/>
    <w:rsid w:val="004E744F"/>
    <w:rsid w:val="004E798A"/>
    <w:rsid w:val="004F06DA"/>
    <w:rsid w:val="004F0B4A"/>
    <w:rsid w:val="004F1055"/>
    <w:rsid w:val="004F121C"/>
    <w:rsid w:val="004F3CC9"/>
    <w:rsid w:val="004F479C"/>
    <w:rsid w:val="004F496A"/>
    <w:rsid w:val="004F5055"/>
    <w:rsid w:val="004F582C"/>
    <w:rsid w:val="004F6482"/>
    <w:rsid w:val="004F6551"/>
    <w:rsid w:val="004F6E72"/>
    <w:rsid w:val="004F6F3A"/>
    <w:rsid w:val="004F7EDC"/>
    <w:rsid w:val="005001D9"/>
    <w:rsid w:val="00500C59"/>
    <w:rsid w:val="00500CB9"/>
    <w:rsid w:val="00500CC5"/>
    <w:rsid w:val="00500D92"/>
    <w:rsid w:val="00501A0F"/>
    <w:rsid w:val="00501CF6"/>
    <w:rsid w:val="0050257F"/>
    <w:rsid w:val="00503094"/>
    <w:rsid w:val="005038FD"/>
    <w:rsid w:val="00503CF0"/>
    <w:rsid w:val="00504D91"/>
    <w:rsid w:val="00505320"/>
    <w:rsid w:val="00505694"/>
    <w:rsid w:val="005063FA"/>
    <w:rsid w:val="00506669"/>
    <w:rsid w:val="0050783C"/>
    <w:rsid w:val="005100EC"/>
    <w:rsid w:val="0051274F"/>
    <w:rsid w:val="00513277"/>
    <w:rsid w:val="00513C52"/>
    <w:rsid w:val="0051403B"/>
    <w:rsid w:val="00515B4D"/>
    <w:rsid w:val="00516977"/>
    <w:rsid w:val="005179EA"/>
    <w:rsid w:val="00520845"/>
    <w:rsid w:val="00520AB6"/>
    <w:rsid w:val="0052130D"/>
    <w:rsid w:val="00521770"/>
    <w:rsid w:val="00522674"/>
    <w:rsid w:val="00523014"/>
    <w:rsid w:val="0052314E"/>
    <w:rsid w:val="005233DB"/>
    <w:rsid w:val="0052390B"/>
    <w:rsid w:val="00523999"/>
    <w:rsid w:val="00523B00"/>
    <w:rsid w:val="00525304"/>
    <w:rsid w:val="005260E9"/>
    <w:rsid w:val="00526420"/>
    <w:rsid w:val="00526602"/>
    <w:rsid w:val="005267FD"/>
    <w:rsid w:val="005278D2"/>
    <w:rsid w:val="005312B7"/>
    <w:rsid w:val="0053148D"/>
    <w:rsid w:val="005319B3"/>
    <w:rsid w:val="005329CB"/>
    <w:rsid w:val="005332A3"/>
    <w:rsid w:val="00533BEC"/>
    <w:rsid w:val="00533D10"/>
    <w:rsid w:val="00533EBD"/>
    <w:rsid w:val="0053405C"/>
    <w:rsid w:val="00534A12"/>
    <w:rsid w:val="00534D39"/>
    <w:rsid w:val="005357C5"/>
    <w:rsid w:val="00535F74"/>
    <w:rsid w:val="00536737"/>
    <w:rsid w:val="00536D6B"/>
    <w:rsid w:val="00537E7E"/>
    <w:rsid w:val="00537E8B"/>
    <w:rsid w:val="005404E6"/>
    <w:rsid w:val="00540672"/>
    <w:rsid w:val="00541334"/>
    <w:rsid w:val="00541642"/>
    <w:rsid w:val="00543A21"/>
    <w:rsid w:val="00543BD8"/>
    <w:rsid w:val="005448F1"/>
    <w:rsid w:val="0054549B"/>
    <w:rsid w:val="00545831"/>
    <w:rsid w:val="00545BB8"/>
    <w:rsid w:val="00546EB4"/>
    <w:rsid w:val="00547A82"/>
    <w:rsid w:val="00550048"/>
    <w:rsid w:val="005501AF"/>
    <w:rsid w:val="00550A00"/>
    <w:rsid w:val="00551170"/>
    <w:rsid w:val="005520DB"/>
    <w:rsid w:val="00552A09"/>
    <w:rsid w:val="00552D47"/>
    <w:rsid w:val="00553230"/>
    <w:rsid w:val="00553B6E"/>
    <w:rsid w:val="00553FA2"/>
    <w:rsid w:val="005544C7"/>
    <w:rsid w:val="005545F5"/>
    <w:rsid w:val="0055484C"/>
    <w:rsid w:val="00557854"/>
    <w:rsid w:val="005601C1"/>
    <w:rsid w:val="005608C4"/>
    <w:rsid w:val="00560EAC"/>
    <w:rsid w:val="005613DC"/>
    <w:rsid w:val="00561771"/>
    <w:rsid w:val="00561BBE"/>
    <w:rsid w:val="0056221E"/>
    <w:rsid w:val="0056247D"/>
    <w:rsid w:val="005628DD"/>
    <w:rsid w:val="00562E9B"/>
    <w:rsid w:val="00563D0C"/>
    <w:rsid w:val="005640B6"/>
    <w:rsid w:val="00564462"/>
    <w:rsid w:val="00564CB9"/>
    <w:rsid w:val="00564F8F"/>
    <w:rsid w:val="005654E3"/>
    <w:rsid w:val="00565708"/>
    <w:rsid w:val="005657C6"/>
    <w:rsid w:val="00565DB1"/>
    <w:rsid w:val="005660D2"/>
    <w:rsid w:val="00566EA2"/>
    <w:rsid w:val="005705A7"/>
    <w:rsid w:val="00571480"/>
    <w:rsid w:val="00571776"/>
    <w:rsid w:val="005719FF"/>
    <w:rsid w:val="00571A48"/>
    <w:rsid w:val="00571D3F"/>
    <w:rsid w:val="005736D8"/>
    <w:rsid w:val="0057402E"/>
    <w:rsid w:val="0057468C"/>
    <w:rsid w:val="005746BD"/>
    <w:rsid w:val="00575557"/>
    <w:rsid w:val="005755C3"/>
    <w:rsid w:val="00575E22"/>
    <w:rsid w:val="00575E91"/>
    <w:rsid w:val="00576560"/>
    <w:rsid w:val="005776AF"/>
    <w:rsid w:val="005800AE"/>
    <w:rsid w:val="00580211"/>
    <w:rsid w:val="005802D9"/>
    <w:rsid w:val="00581D1D"/>
    <w:rsid w:val="00582679"/>
    <w:rsid w:val="0058276D"/>
    <w:rsid w:val="00582A9E"/>
    <w:rsid w:val="00582DBF"/>
    <w:rsid w:val="00583046"/>
    <w:rsid w:val="005846A5"/>
    <w:rsid w:val="0058496F"/>
    <w:rsid w:val="00584C47"/>
    <w:rsid w:val="00585839"/>
    <w:rsid w:val="00585E81"/>
    <w:rsid w:val="00586E4D"/>
    <w:rsid w:val="00586F5E"/>
    <w:rsid w:val="00587385"/>
    <w:rsid w:val="005876E8"/>
    <w:rsid w:val="00587A91"/>
    <w:rsid w:val="00587C84"/>
    <w:rsid w:val="00587F9F"/>
    <w:rsid w:val="0059184B"/>
    <w:rsid w:val="00593E75"/>
    <w:rsid w:val="005958C2"/>
    <w:rsid w:val="005958D7"/>
    <w:rsid w:val="005A08CA"/>
    <w:rsid w:val="005A129C"/>
    <w:rsid w:val="005A2449"/>
    <w:rsid w:val="005A3304"/>
    <w:rsid w:val="005A369B"/>
    <w:rsid w:val="005A3746"/>
    <w:rsid w:val="005A3B75"/>
    <w:rsid w:val="005A43F9"/>
    <w:rsid w:val="005A5387"/>
    <w:rsid w:val="005A5848"/>
    <w:rsid w:val="005A6078"/>
    <w:rsid w:val="005A62B6"/>
    <w:rsid w:val="005A6501"/>
    <w:rsid w:val="005A6651"/>
    <w:rsid w:val="005A7539"/>
    <w:rsid w:val="005A7624"/>
    <w:rsid w:val="005A769C"/>
    <w:rsid w:val="005B0081"/>
    <w:rsid w:val="005B07A9"/>
    <w:rsid w:val="005B0DE0"/>
    <w:rsid w:val="005B1DF7"/>
    <w:rsid w:val="005B2E39"/>
    <w:rsid w:val="005B32BD"/>
    <w:rsid w:val="005B45A9"/>
    <w:rsid w:val="005B45CE"/>
    <w:rsid w:val="005B4600"/>
    <w:rsid w:val="005B511F"/>
    <w:rsid w:val="005B55A5"/>
    <w:rsid w:val="005B5C88"/>
    <w:rsid w:val="005B5F5B"/>
    <w:rsid w:val="005B60C0"/>
    <w:rsid w:val="005B71B8"/>
    <w:rsid w:val="005B71C2"/>
    <w:rsid w:val="005B788F"/>
    <w:rsid w:val="005B7E67"/>
    <w:rsid w:val="005B7EC9"/>
    <w:rsid w:val="005C08D6"/>
    <w:rsid w:val="005C191D"/>
    <w:rsid w:val="005C3119"/>
    <w:rsid w:val="005C5061"/>
    <w:rsid w:val="005C5142"/>
    <w:rsid w:val="005C53E4"/>
    <w:rsid w:val="005C5A5B"/>
    <w:rsid w:val="005C679E"/>
    <w:rsid w:val="005C7675"/>
    <w:rsid w:val="005D04B5"/>
    <w:rsid w:val="005D2738"/>
    <w:rsid w:val="005D280D"/>
    <w:rsid w:val="005D34FC"/>
    <w:rsid w:val="005D3ED9"/>
    <w:rsid w:val="005D4CDB"/>
    <w:rsid w:val="005D53AF"/>
    <w:rsid w:val="005D5740"/>
    <w:rsid w:val="005D6340"/>
    <w:rsid w:val="005D6E60"/>
    <w:rsid w:val="005E0A5B"/>
    <w:rsid w:val="005E16BB"/>
    <w:rsid w:val="005E322D"/>
    <w:rsid w:val="005E3881"/>
    <w:rsid w:val="005E4248"/>
    <w:rsid w:val="005E4D54"/>
    <w:rsid w:val="005E4E50"/>
    <w:rsid w:val="005E4F92"/>
    <w:rsid w:val="005E55C0"/>
    <w:rsid w:val="005E6359"/>
    <w:rsid w:val="005E780D"/>
    <w:rsid w:val="005F0457"/>
    <w:rsid w:val="005F059F"/>
    <w:rsid w:val="005F09DF"/>
    <w:rsid w:val="005F1F75"/>
    <w:rsid w:val="005F2EC5"/>
    <w:rsid w:val="005F2FCB"/>
    <w:rsid w:val="005F32FB"/>
    <w:rsid w:val="005F3AB1"/>
    <w:rsid w:val="005F4273"/>
    <w:rsid w:val="005F4BE8"/>
    <w:rsid w:val="005F4F88"/>
    <w:rsid w:val="005F52BE"/>
    <w:rsid w:val="005F6767"/>
    <w:rsid w:val="005F7110"/>
    <w:rsid w:val="005F7176"/>
    <w:rsid w:val="005F7816"/>
    <w:rsid w:val="005F7FB7"/>
    <w:rsid w:val="006000B7"/>
    <w:rsid w:val="0060029B"/>
    <w:rsid w:val="006002EA"/>
    <w:rsid w:val="00600809"/>
    <w:rsid w:val="0060080C"/>
    <w:rsid w:val="00601C5C"/>
    <w:rsid w:val="00601C84"/>
    <w:rsid w:val="00602046"/>
    <w:rsid w:val="006026C6"/>
    <w:rsid w:val="00602987"/>
    <w:rsid w:val="00603BCF"/>
    <w:rsid w:val="006046DA"/>
    <w:rsid w:val="00604E5B"/>
    <w:rsid w:val="00605F11"/>
    <w:rsid w:val="00606851"/>
    <w:rsid w:val="0060766B"/>
    <w:rsid w:val="0061018A"/>
    <w:rsid w:val="00611106"/>
    <w:rsid w:val="00611C76"/>
    <w:rsid w:val="00612E11"/>
    <w:rsid w:val="00614BE7"/>
    <w:rsid w:val="00615700"/>
    <w:rsid w:val="00617176"/>
    <w:rsid w:val="0061767A"/>
    <w:rsid w:val="00617873"/>
    <w:rsid w:val="00620484"/>
    <w:rsid w:val="00620713"/>
    <w:rsid w:val="00621A81"/>
    <w:rsid w:val="006228E1"/>
    <w:rsid w:val="006229EC"/>
    <w:rsid w:val="00622B10"/>
    <w:rsid w:val="00622C82"/>
    <w:rsid w:val="00623314"/>
    <w:rsid w:val="006235E5"/>
    <w:rsid w:val="00623DF9"/>
    <w:rsid w:val="00624784"/>
    <w:rsid w:val="00625200"/>
    <w:rsid w:val="006263FD"/>
    <w:rsid w:val="00626581"/>
    <w:rsid w:val="006274E5"/>
    <w:rsid w:val="00627521"/>
    <w:rsid w:val="0062770A"/>
    <w:rsid w:val="00630039"/>
    <w:rsid w:val="0063009C"/>
    <w:rsid w:val="0063038D"/>
    <w:rsid w:val="00630989"/>
    <w:rsid w:val="006314F6"/>
    <w:rsid w:val="00631D59"/>
    <w:rsid w:val="006322A3"/>
    <w:rsid w:val="00632BEC"/>
    <w:rsid w:val="00632FC4"/>
    <w:rsid w:val="006346DE"/>
    <w:rsid w:val="00634A38"/>
    <w:rsid w:val="00634B39"/>
    <w:rsid w:val="00635053"/>
    <w:rsid w:val="00636098"/>
    <w:rsid w:val="00637764"/>
    <w:rsid w:val="00640395"/>
    <w:rsid w:val="00640510"/>
    <w:rsid w:val="00640AEB"/>
    <w:rsid w:val="0064144C"/>
    <w:rsid w:val="00641962"/>
    <w:rsid w:val="00641ED6"/>
    <w:rsid w:val="00642B02"/>
    <w:rsid w:val="00642F7E"/>
    <w:rsid w:val="006433B0"/>
    <w:rsid w:val="00647749"/>
    <w:rsid w:val="006501D5"/>
    <w:rsid w:val="0065027C"/>
    <w:rsid w:val="0065229A"/>
    <w:rsid w:val="00653D45"/>
    <w:rsid w:val="006543C1"/>
    <w:rsid w:val="0065440A"/>
    <w:rsid w:val="00654CB9"/>
    <w:rsid w:val="00654F57"/>
    <w:rsid w:val="006550F1"/>
    <w:rsid w:val="0065786E"/>
    <w:rsid w:val="006603CA"/>
    <w:rsid w:val="0066063E"/>
    <w:rsid w:val="00660815"/>
    <w:rsid w:val="00660E44"/>
    <w:rsid w:val="00661342"/>
    <w:rsid w:val="006616AF"/>
    <w:rsid w:val="006623F1"/>
    <w:rsid w:val="00662BC2"/>
    <w:rsid w:val="00663F56"/>
    <w:rsid w:val="00664775"/>
    <w:rsid w:val="006649BC"/>
    <w:rsid w:val="00664F24"/>
    <w:rsid w:val="0066511A"/>
    <w:rsid w:val="00665408"/>
    <w:rsid w:val="00665587"/>
    <w:rsid w:val="006658D8"/>
    <w:rsid w:val="00665CA5"/>
    <w:rsid w:val="00666E2A"/>
    <w:rsid w:val="00670F14"/>
    <w:rsid w:val="006712D3"/>
    <w:rsid w:val="00671D49"/>
    <w:rsid w:val="0067332E"/>
    <w:rsid w:val="00673C96"/>
    <w:rsid w:val="00673F74"/>
    <w:rsid w:val="00675C00"/>
    <w:rsid w:val="00675F0A"/>
    <w:rsid w:val="00676758"/>
    <w:rsid w:val="0068068F"/>
    <w:rsid w:val="00680FEA"/>
    <w:rsid w:val="00681049"/>
    <w:rsid w:val="00681D54"/>
    <w:rsid w:val="00682865"/>
    <w:rsid w:val="00682B02"/>
    <w:rsid w:val="006833D5"/>
    <w:rsid w:val="006834DC"/>
    <w:rsid w:val="0068398D"/>
    <w:rsid w:val="006839D4"/>
    <w:rsid w:val="006856CC"/>
    <w:rsid w:val="0068580F"/>
    <w:rsid w:val="00685F89"/>
    <w:rsid w:val="006861B3"/>
    <w:rsid w:val="00686E12"/>
    <w:rsid w:val="00687384"/>
    <w:rsid w:val="00687CE5"/>
    <w:rsid w:val="00687D68"/>
    <w:rsid w:val="00687DB9"/>
    <w:rsid w:val="006909CA"/>
    <w:rsid w:val="00691987"/>
    <w:rsid w:val="0069203D"/>
    <w:rsid w:val="00692394"/>
    <w:rsid w:val="006926D5"/>
    <w:rsid w:val="006939D2"/>
    <w:rsid w:val="006943C1"/>
    <w:rsid w:val="00694433"/>
    <w:rsid w:val="0069448B"/>
    <w:rsid w:val="00695F1A"/>
    <w:rsid w:val="006964B4"/>
    <w:rsid w:val="006967F0"/>
    <w:rsid w:val="006969C8"/>
    <w:rsid w:val="00696AA3"/>
    <w:rsid w:val="006975B4"/>
    <w:rsid w:val="00697BC8"/>
    <w:rsid w:val="006A035C"/>
    <w:rsid w:val="006A0BFD"/>
    <w:rsid w:val="006A0D00"/>
    <w:rsid w:val="006A12A2"/>
    <w:rsid w:val="006A1403"/>
    <w:rsid w:val="006A1513"/>
    <w:rsid w:val="006A38BA"/>
    <w:rsid w:val="006A4708"/>
    <w:rsid w:val="006A58FF"/>
    <w:rsid w:val="006A5983"/>
    <w:rsid w:val="006A5D2D"/>
    <w:rsid w:val="006A6207"/>
    <w:rsid w:val="006A6799"/>
    <w:rsid w:val="006A6CBA"/>
    <w:rsid w:val="006A7D41"/>
    <w:rsid w:val="006B02D6"/>
    <w:rsid w:val="006B0F00"/>
    <w:rsid w:val="006B1A62"/>
    <w:rsid w:val="006B2B52"/>
    <w:rsid w:val="006B2F2F"/>
    <w:rsid w:val="006B3335"/>
    <w:rsid w:val="006B5BB6"/>
    <w:rsid w:val="006B7024"/>
    <w:rsid w:val="006B724D"/>
    <w:rsid w:val="006C098A"/>
    <w:rsid w:val="006C09F9"/>
    <w:rsid w:val="006C1B94"/>
    <w:rsid w:val="006C2925"/>
    <w:rsid w:val="006C2B39"/>
    <w:rsid w:val="006C2D75"/>
    <w:rsid w:val="006C360D"/>
    <w:rsid w:val="006C38A6"/>
    <w:rsid w:val="006C39A7"/>
    <w:rsid w:val="006C5AC3"/>
    <w:rsid w:val="006C66E2"/>
    <w:rsid w:val="006C72D4"/>
    <w:rsid w:val="006C7B69"/>
    <w:rsid w:val="006C7B6A"/>
    <w:rsid w:val="006D0037"/>
    <w:rsid w:val="006D2492"/>
    <w:rsid w:val="006D2CA9"/>
    <w:rsid w:val="006D2F92"/>
    <w:rsid w:val="006D2FE5"/>
    <w:rsid w:val="006D39E5"/>
    <w:rsid w:val="006D4548"/>
    <w:rsid w:val="006D483B"/>
    <w:rsid w:val="006D5357"/>
    <w:rsid w:val="006D5E17"/>
    <w:rsid w:val="006D640A"/>
    <w:rsid w:val="006D7350"/>
    <w:rsid w:val="006D74CF"/>
    <w:rsid w:val="006E02DB"/>
    <w:rsid w:val="006E0C6C"/>
    <w:rsid w:val="006E1D42"/>
    <w:rsid w:val="006E29B9"/>
    <w:rsid w:val="006E3143"/>
    <w:rsid w:val="006E35C5"/>
    <w:rsid w:val="006E3B65"/>
    <w:rsid w:val="006E484F"/>
    <w:rsid w:val="006E4910"/>
    <w:rsid w:val="006E539E"/>
    <w:rsid w:val="006E688E"/>
    <w:rsid w:val="006E77A9"/>
    <w:rsid w:val="006F1106"/>
    <w:rsid w:val="006F11D4"/>
    <w:rsid w:val="006F2161"/>
    <w:rsid w:val="006F2A9A"/>
    <w:rsid w:val="006F37CB"/>
    <w:rsid w:val="006F3F10"/>
    <w:rsid w:val="006F4905"/>
    <w:rsid w:val="006F4B2B"/>
    <w:rsid w:val="006F5216"/>
    <w:rsid w:val="006F5F72"/>
    <w:rsid w:val="006F6792"/>
    <w:rsid w:val="006F76D4"/>
    <w:rsid w:val="006F7CE0"/>
    <w:rsid w:val="00700D71"/>
    <w:rsid w:val="007015B6"/>
    <w:rsid w:val="00702451"/>
    <w:rsid w:val="00702735"/>
    <w:rsid w:val="00703EFF"/>
    <w:rsid w:val="007059D9"/>
    <w:rsid w:val="00706823"/>
    <w:rsid w:val="007077C6"/>
    <w:rsid w:val="00710253"/>
    <w:rsid w:val="00711BC8"/>
    <w:rsid w:val="00711ED4"/>
    <w:rsid w:val="00712C79"/>
    <w:rsid w:val="007139B9"/>
    <w:rsid w:val="00714221"/>
    <w:rsid w:val="007148F5"/>
    <w:rsid w:val="00715882"/>
    <w:rsid w:val="00715FE7"/>
    <w:rsid w:val="007163F3"/>
    <w:rsid w:val="00716780"/>
    <w:rsid w:val="00717672"/>
    <w:rsid w:val="00717A7C"/>
    <w:rsid w:val="007217FB"/>
    <w:rsid w:val="00721DE3"/>
    <w:rsid w:val="007223B4"/>
    <w:rsid w:val="00722672"/>
    <w:rsid w:val="00722DEC"/>
    <w:rsid w:val="00723523"/>
    <w:rsid w:val="00723E08"/>
    <w:rsid w:val="00724255"/>
    <w:rsid w:val="007242C8"/>
    <w:rsid w:val="00724668"/>
    <w:rsid w:val="00724B21"/>
    <w:rsid w:val="00724B3D"/>
    <w:rsid w:val="00725461"/>
    <w:rsid w:val="00726A15"/>
    <w:rsid w:val="00727A11"/>
    <w:rsid w:val="00727E75"/>
    <w:rsid w:val="007306E7"/>
    <w:rsid w:val="00730B8A"/>
    <w:rsid w:val="00730BEB"/>
    <w:rsid w:val="00731339"/>
    <w:rsid w:val="007313B6"/>
    <w:rsid w:val="007329FC"/>
    <w:rsid w:val="00733E03"/>
    <w:rsid w:val="00733F9D"/>
    <w:rsid w:val="0073427A"/>
    <w:rsid w:val="007355E9"/>
    <w:rsid w:val="00735AD4"/>
    <w:rsid w:val="00735D47"/>
    <w:rsid w:val="00735F27"/>
    <w:rsid w:val="007368B3"/>
    <w:rsid w:val="007372B0"/>
    <w:rsid w:val="0073742E"/>
    <w:rsid w:val="007409A9"/>
    <w:rsid w:val="00740B15"/>
    <w:rsid w:val="007411E9"/>
    <w:rsid w:val="00741D1E"/>
    <w:rsid w:val="00742997"/>
    <w:rsid w:val="0074335E"/>
    <w:rsid w:val="0074415A"/>
    <w:rsid w:val="00744182"/>
    <w:rsid w:val="00744EE1"/>
    <w:rsid w:val="00745029"/>
    <w:rsid w:val="0074534E"/>
    <w:rsid w:val="007456DC"/>
    <w:rsid w:val="00745B4D"/>
    <w:rsid w:val="00745B89"/>
    <w:rsid w:val="00746009"/>
    <w:rsid w:val="00746B0B"/>
    <w:rsid w:val="00746CD8"/>
    <w:rsid w:val="00746F02"/>
    <w:rsid w:val="007477EC"/>
    <w:rsid w:val="00747A6D"/>
    <w:rsid w:val="00747C1B"/>
    <w:rsid w:val="007501AD"/>
    <w:rsid w:val="00750AA8"/>
    <w:rsid w:val="00751D11"/>
    <w:rsid w:val="00752202"/>
    <w:rsid w:val="0075274B"/>
    <w:rsid w:val="00752F0E"/>
    <w:rsid w:val="0075384E"/>
    <w:rsid w:val="00753EB2"/>
    <w:rsid w:val="00753EEA"/>
    <w:rsid w:val="007547BA"/>
    <w:rsid w:val="00754AEE"/>
    <w:rsid w:val="00755B70"/>
    <w:rsid w:val="00755FF1"/>
    <w:rsid w:val="00756B97"/>
    <w:rsid w:val="007570A8"/>
    <w:rsid w:val="00757643"/>
    <w:rsid w:val="007579F7"/>
    <w:rsid w:val="00757B07"/>
    <w:rsid w:val="007610E0"/>
    <w:rsid w:val="007614F2"/>
    <w:rsid w:val="007618CA"/>
    <w:rsid w:val="007619AD"/>
    <w:rsid w:val="00762746"/>
    <w:rsid w:val="00762B80"/>
    <w:rsid w:val="00762C99"/>
    <w:rsid w:val="00762D2B"/>
    <w:rsid w:val="0076390C"/>
    <w:rsid w:val="00763F99"/>
    <w:rsid w:val="0076533B"/>
    <w:rsid w:val="00765FBF"/>
    <w:rsid w:val="00766002"/>
    <w:rsid w:val="00766787"/>
    <w:rsid w:val="00767DC0"/>
    <w:rsid w:val="00770198"/>
    <w:rsid w:val="0077069B"/>
    <w:rsid w:val="00770980"/>
    <w:rsid w:val="00771F74"/>
    <w:rsid w:val="00772529"/>
    <w:rsid w:val="00772953"/>
    <w:rsid w:val="00773938"/>
    <w:rsid w:val="00774D05"/>
    <w:rsid w:val="007756FF"/>
    <w:rsid w:val="007769D9"/>
    <w:rsid w:val="00776F22"/>
    <w:rsid w:val="0077707C"/>
    <w:rsid w:val="007776C0"/>
    <w:rsid w:val="0077771C"/>
    <w:rsid w:val="00777BF4"/>
    <w:rsid w:val="007803D7"/>
    <w:rsid w:val="00780620"/>
    <w:rsid w:val="00780D6A"/>
    <w:rsid w:val="007811F1"/>
    <w:rsid w:val="00781B88"/>
    <w:rsid w:val="007821C9"/>
    <w:rsid w:val="00782453"/>
    <w:rsid w:val="007839A0"/>
    <w:rsid w:val="007839F6"/>
    <w:rsid w:val="007846D6"/>
    <w:rsid w:val="00784708"/>
    <w:rsid w:val="00784A51"/>
    <w:rsid w:val="007906D5"/>
    <w:rsid w:val="00790C0F"/>
    <w:rsid w:val="00791A81"/>
    <w:rsid w:val="00792198"/>
    <w:rsid w:val="007932E5"/>
    <w:rsid w:val="0079351D"/>
    <w:rsid w:val="00793F32"/>
    <w:rsid w:val="00794749"/>
    <w:rsid w:val="00794F4F"/>
    <w:rsid w:val="00794FC2"/>
    <w:rsid w:val="007956A6"/>
    <w:rsid w:val="00796931"/>
    <w:rsid w:val="00797DBB"/>
    <w:rsid w:val="007A0641"/>
    <w:rsid w:val="007A0AC6"/>
    <w:rsid w:val="007A1C48"/>
    <w:rsid w:val="007A2A0F"/>
    <w:rsid w:val="007A2A10"/>
    <w:rsid w:val="007A3228"/>
    <w:rsid w:val="007A478C"/>
    <w:rsid w:val="007A52F5"/>
    <w:rsid w:val="007A52F8"/>
    <w:rsid w:val="007A5337"/>
    <w:rsid w:val="007A571C"/>
    <w:rsid w:val="007A5750"/>
    <w:rsid w:val="007A5B9A"/>
    <w:rsid w:val="007A5EEA"/>
    <w:rsid w:val="007A662E"/>
    <w:rsid w:val="007A6AEC"/>
    <w:rsid w:val="007A6B65"/>
    <w:rsid w:val="007A7885"/>
    <w:rsid w:val="007A7B26"/>
    <w:rsid w:val="007A7D13"/>
    <w:rsid w:val="007B0268"/>
    <w:rsid w:val="007B036B"/>
    <w:rsid w:val="007B0DA1"/>
    <w:rsid w:val="007B117C"/>
    <w:rsid w:val="007B13F1"/>
    <w:rsid w:val="007B1EC0"/>
    <w:rsid w:val="007B1EFB"/>
    <w:rsid w:val="007B239F"/>
    <w:rsid w:val="007B3510"/>
    <w:rsid w:val="007B3944"/>
    <w:rsid w:val="007B4744"/>
    <w:rsid w:val="007B4840"/>
    <w:rsid w:val="007B529D"/>
    <w:rsid w:val="007B55B2"/>
    <w:rsid w:val="007B575D"/>
    <w:rsid w:val="007B5A34"/>
    <w:rsid w:val="007B5A73"/>
    <w:rsid w:val="007B77DD"/>
    <w:rsid w:val="007B7928"/>
    <w:rsid w:val="007B7A29"/>
    <w:rsid w:val="007C1269"/>
    <w:rsid w:val="007C1BA4"/>
    <w:rsid w:val="007C2B2F"/>
    <w:rsid w:val="007C2B40"/>
    <w:rsid w:val="007C37D6"/>
    <w:rsid w:val="007C4987"/>
    <w:rsid w:val="007C6500"/>
    <w:rsid w:val="007C6798"/>
    <w:rsid w:val="007C7FDF"/>
    <w:rsid w:val="007D02C6"/>
    <w:rsid w:val="007D1CD6"/>
    <w:rsid w:val="007D2315"/>
    <w:rsid w:val="007D31C8"/>
    <w:rsid w:val="007D4419"/>
    <w:rsid w:val="007D478C"/>
    <w:rsid w:val="007D48B5"/>
    <w:rsid w:val="007D530A"/>
    <w:rsid w:val="007D68E2"/>
    <w:rsid w:val="007D707C"/>
    <w:rsid w:val="007D7B07"/>
    <w:rsid w:val="007D7B1D"/>
    <w:rsid w:val="007D7DB2"/>
    <w:rsid w:val="007E05DE"/>
    <w:rsid w:val="007E140C"/>
    <w:rsid w:val="007E1772"/>
    <w:rsid w:val="007E1F62"/>
    <w:rsid w:val="007E3411"/>
    <w:rsid w:val="007E3489"/>
    <w:rsid w:val="007E36A7"/>
    <w:rsid w:val="007E5BEF"/>
    <w:rsid w:val="007E68F3"/>
    <w:rsid w:val="007E7376"/>
    <w:rsid w:val="007E778A"/>
    <w:rsid w:val="007F0035"/>
    <w:rsid w:val="007F023E"/>
    <w:rsid w:val="007F056E"/>
    <w:rsid w:val="007F2F3B"/>
    <w:rsid w:val="007F40E6"/>
    <w:rsid w:val="007F4272"/>
    <w:rsid w:val="007F47D0"/>
    <w:rsid w:val="007F4D2D"/>
    <w:rsid w:val="007F4F50"/>
    <w:rsid w:val="007F503A"/>
    <w:rsid w:val="007F5765"/>
    <w:rsid w:val="007F57E7"/>
    <w:rsid w:val="007F6036"/>
    <w:rsid w:val="007F683D"/>
    <w:rsid w:val="007F7B4E"/>
    <w:rsid w:val="00800FCE"/>
    <w:rsid w:val="008017BB"/>
    <w:rsid w:val="00805055"/>
    <w:rsid w:val="00805CBA"/>
    <w:rsid w:val="00807A14"/>
    <w:rsid w:val="008109C6"/>
    <w:rsid w:val="008109EC"/>
    <w:rsid w:val="00811274"/>
    <w:rsid w:val="00813BAB"/>
    <w:rsid w:val="00813D01"/>
    <w:rsid w:val="00814F03"/>
    <w:rsid w:val="00815BD1"/>
    <w:rsid w:val="00817623"/>
    <w:rsid w:val="00817807"/>
    <w:rsid w:val="008222E4"/>
    <w:rsid w:val="0082244E"/>
    <w:rsid w:val="0082273A"/>
    <w:rsid w:val="008228D8"/>
    <w:rsid w:val="00823F16"/>
    <w:rsid w:val="00824EAF"/>
    <w:rsid w:val="008254D0"/>
    <w:rsid w:val="008255BD"/>
    <w:rsid w:val="00825D87"/>
    <w:rsid w:val="00826886"/>
    <w:rsid w:val="00826C3A"/>
    <w:rsid w:val="00826D80"/>
    <w:rsid w:val="008273B3"/>
    <w:rsid w:val="008308DD"/>
    <w:rsid w:val="00830909"/>
    <w:rsid w:val="00830A18"/>
    <w:rsid w:val="00830B34"/>
    <w:rsid w:val="00830C44"/>
    <w:rsid w:val="00830D69"/>
    <w:rsid w:val="00830E6E"/>
    <w:rsid w:val="00831299"/>
    <w:rsid w:val="008313BB"/>
    <w:rsid w:val="008318A4"/>
    <w:rsid w:val="00831CA9"/>
    <w:rsid w:val="008324A4"/>
    <w:rsid w:val="008328E8"/>
    <w:rsid w:val="008334FE"/>
    <w:rsid w:val="00833CA8"/>
    <w:rsid w:val="0083411E"/>
    <w:rsid w:val="0083469A"/>
    <w:rsid w:val="00835F66"/>
    <w:rsid w:val="00836085"/>
    <w:rsid w:val="008362A5"/>
    <w:rsid w:val="00837833"/>
    <w:rsid w:val="00837B4E"/>
    <w:rsid w:val="00837C5C"/>
    <w:rsid w:val="008404A0"/>
    <w:rsid w:val="00840533"/>
    <w:rsid w:val="00841CD6"/>
    <w:rsid w:val="00841E87"/>
    <w:rsid w:val="00843000"/>
    <w:rsid w:val="008435C5"/>
    <w:rsid w:val="00843696"/>
    <w:rsid w:val="008443CE"/>
    <w:rsid w:val="008447C6"/>
    <w:rsid w:val="00844880"/>
    <w:rsid w:val="00844895"/>
    <w:rsid w:val="008450A9"/>
    <w:rsid w:val="00845CCB"/>
    <w:rsid w:val="00845D5C"/>
    <w:rsid w:val="00846C0B"/>
    <w:rsid w:val="00847077"/>
    <w:rsid w:val="00850686"/>
    <w:rsid w:val="0085095D"/>
    <w:rsid w:val="0085226C"/>
    <w:rsid w:val="00852AE0"/>
    <w:rsid w:val="0085419E"/>
    <w:rsid w:val="00855347"/>
    <w:rsid w:val="008553AD"/>
    <w:rsid w:val="008560C4"/>
    <w:rsid w:val="0086100C"/>
    <w:rsid w:val="008619D4"/>
    <w:rsid w:val="00863557"/>
    <w:rsid w:val="00863AB4"/>
    <w:rsid w:val="00863C41"/>
    <w:rsid w:val="00864948"/>
    <w:rsid w:val="00864A4F"/>
    <w:rsid w:val="008657D5"/>
    <w:rsid w:val="008668AF"/>
    <w:rsid w:val="00866963"/>
    <w:rsid w:val="00866B43"/>
    <w:rsid w:val="00866D56"/>
    <w:rsid w:val="00870640"/>
    <w:rsid w:val="00870835"/>
    <w:rsid w:val="00870C3D"/>
    <w:rsid w:val="0087160C"/>
    <w:rsid w:val="00871CFF"/>
    <w:rsid w:val="00871D33"/>
    <w:rsid w:val="00871D70"/>
    <w:rsid w:val="0087229A"/>
    <w:rsid w:val="008722DD"/>
    <w:rsid w:val="00872F2A"/>
    <w:rsid w:val="0087382C"/>
    <w:rsid w:val="00874E9F"/>
    <w:rsid w:val="00877549"/>
    <w:rsid w:val="00877D4D"/>
    <w:rsid w:val="008802FB"/>
    <w:rsid w:val="008808CC"/>
    <w:rsid w:val="00880EAA"/>
    <w:rsid w:val="00883905"/>
    <w:rsid w:val="00884223"/>
    <w:rsid w:val="00884E21"/>
    <w:rsid w:val="008851D1"/>
    <w:rsid w:val="00885770"/>
    <w:rsid w:val="008869B7"/>
    <w:rsid w:val="00886A18"/>
    <w:rsid w:val="00887146"/>
    <w:rsid w:val="008872AE"/>
    <w:rsid w:val="008874A0"/>
    <w:rsid w:val="00887BB6"/>
    <w:rsid w:val="00890417"/>
    <w:rsid w:val="00891011"/>
    <w:rsid w:val="008919C7"/>
    <w:rsid w:val="00891AC7"/>
    <w:rsid w:val="00891E60"/>
    <w:rsid w:val="00891F30"/>
    <w:rsid w:val="008925BD"/>
    <w:rsid w:val="008925CF"/>
    <w:rsid w:val="0089490B"/>
    <w:rsid w:val="00895523"/>
    <w:rsid w:val="00895839"/>
    <w:rsid w:val="00895FCA"/>
    <w:rsid w:val="0089688E"/>
    <w:rsid w:val="00897092"/>
    <w:rsid w:val="00897CDC"/>
    <w:rsid w:val="00897FF5"/>
    <w:rsid w:val="008A07A8"/>
    <w:rsid w:val="008A11A3"/>
    <w:rsid w:val="008A1FD3"/>
    <w:rsid w:val="008A21D5"/>
    <w:rsid w:val="008A2DBE"/>
    <w:rsid w:val="008A3A31"/>
    <w:rsid w:val="008A3E53"/>
    <w:rsid w:val="008A3EFC"/>
    <w:rsid w:val="008A50C5"/>
    <w:rsid w:val="008A5167"/>
    <w:rsid w:val="008A5466"/>
    <w:rsid w:val="008A54FA"/>
    <w:rsid w:val="008A551D"/>
    <w:rsid w:val="008A6022"/>
    <w:rsid w:val="008A6168"/>
    <w:rsid w:val="008A619F"/>
    <w:rsid w:val="008B0225"/>
    <w:rsid w:val="008B135F"/>
    <w:rsid w:val="008B1411"/>
    <w:rsid w:val="008B200F"/>
    <w:rsid w:val="008B2227"/>
    <w:rsid w:val="008B2B96"/>
    <w:rsid w:val="008B2CAF"/>
    <w:rsid w:val="008B38D2"/>
    <w:rsid w:val="008B5DFA"/>
    <w:rsid w:val="008B73B2"/>
    <w:rsid w:val="008C0473"/>
    <w:rsid w:val="008C0CCC"/>
    <w:rsid w:val="008C217D"/>
    <w:rsid w:val="008C240F"/>
    <w:rsid w:val="008C2E47"/>
    <w:rsid w:val="008C2E9D"/>
    <w:rsid w:val="008C2F24"/>
    <w:rsid w:val="008C2FDE"/>
    <w:rsid w:val="008C3A33"/>
    <w:rsid w:val="008C3A43"/>
    <w:rsid w:val="008C3F3F"/>
    <w:rsid w:val="008C4418"/>
    <w:rsid w:val="008C446D"/>
    <w:rsid w:val="008C4AA8"/>
    <w:rsid w:val="008C4EDC"/>
    <w:rsid w:val="008C576E"/>
    <w:rsid w:val="008C634C"/>
    <w:rsid w:val="008C7646"/>
    <w:rsid w:val="008C78A0"/>
    <w:rsid w:val="008D0DEB"/>
    <w:rsid w:val="008D1B3A"/>
    <w:rsid w:val="008D2D07"/>
    <w:rsid w:val="008D3716"/>
    <w:rsid w:val="008D37DE"/>
    <w:rsid w:val="008D4CE0"/>
    <w:rsid w:val="008D507B"/>
    <w:rsid w:val="008D5798"/>
    <w:rsid w:val="008D7004"/>
    <w:rsid w:val="008E0237"/>
    <w:rsid w:val="008E037F"/>
    <w:rsid w:val="008E03E0"/>
    <w:rsid w:val="008E0973"/>
    <w:rsid w:val="008E1125"/>
    <w:rsid w:val="008E12E6"/>
    <w:rsid w:val="008E2449"/>
    <w:rsid w:val="008E38A2"/>
    <w:rsid w:val="008E391B"/>
    <w:rsid w:val="008E3A02"/>
    <w:rsid w:val="008E504F"/>
    <w:rsid w:val="008E5E3E"/>
    <w:rsid w:val="008E75E0"/>
    <w:rsid w:val="008E799F"/>
    <w:rsid w:val="008E7CDC"/>
    <w:rsid w:val="008F2160"/>
    <w:rsid w:val="008F2660"/>
    <w:rsid w:val="008F2D93"/>
    <w:rsid w:val="008F2EBB"/>
    <w:rsid w:val="008F2FEE"/>
    <w:rsid w:val="008F4474"/>
    <w:rsid w:val="008F4FBD"/>
    <w:rsid w:val="008F67AE"/>
    <w:rsid w:val="008F6980"/>
    <w:rsid w:val="008F6B36"/>
    <w:rsid w:val="008F728A"/>
    <w:rsid w:val="008F73DD"/>
    <w:rsid w:val="008F7F97"/>
    <w:rsid w:val="009001D7"/>
    <w:rsid w:val="009003EA"/>
    <w:rsid w:val="009005EF"/>
    <w:rsid w:val="009009B3"/>
    <w:rsid w:val="00901509"/>
    <w:rsid w:val="0090181F"/>
    <w:rsid w:val="009022BC"/>
    <w:rsid w:val="009031D1"/>
    <w:rsid w:val="00903BEB"/>
    <w:rsid w:val="00905210"/>
    <w:rsid w:val="00905424"/>
    <w:rsid w:val="009055CB"/>
    <w:rsid w:val="009057CA"/>
    <w:rsid w:val="0090596B"/>
    <w:rsid w:val="00906B8E"/>
    <w:rsid w:val="00906E2A"/>
    <w:rsid w:val="0090732D"/>
    <w:rsid w:val="00907374"/>
    <w:rsid w:val="00907D0C"/>
    <w:rsid w:val="00910182"/>
    <w:rsid w:val="0091116E"/>
    <w:rsid w:val="00912003"/>
    <w:rsid w:val="009123C6"/>
    <w:rsid w:val="00912963"/>
    <w:rsid w:val="00912D57"/>
    <w:rsid w:val="00913247"/>
    <w:rsid w:val="00913278"/>
    <w:rsid w:val="0091348A"/>
    <w:rsid w:val="0091388F"/>
    <w:rsid w:val="00914997"/>
    <w:rsid w:val="00914ED3"/>
    <w:rsid w:val="00916125"/>
    <w:rsid w:val="009162CA"/>
    <w:rsid w:val="009168A3"/>
    <w:rsid w:val="0091759D"/>
    <w:rsid w:val="009175FB"/>
    <w:rsid w:val="00920A7F"/>
    <w:rsid w:val="00920B78"/>
    <w:rsid w:val="009215BE"/>
    <w:rsid w:val="00921DD5"/>
    <w:rsid w:val="009230AF"/>
    <w:rsid w:val="0092355C"/>
    <w:rsid w:val="00923646"/>
    <w:rsid w:val="00923BCE"/>
    <w:rsid w:val="00925A74"/>
    <w:rsid w:val="00925D31"/>
    <w:rsid w:val="0092621F"/>
    <w:rsid w:val="009276C5"/>
    <w:rsid w:val="0093042F"/>
    <w:rsid w:val="009308C6"/>
    <w:rsid w:val="00932929"/>
    <w:rsid w:val="00932E2A"/>
    <w:rsid w:val="00933011"/>
    <w:rsid w:val="00933210"/>
    <w:rsid w:val="00935FC2"/>
    <w:rsid w:val="0093762A"/>
    <w:rsid w:val="009400B9"/>
    <w:rsid w:val="009402CB"/>
    <w:rsid w:val="00940BBB"/>
    <w:rsid w:val="00940E01"/>
    <w:rsid w:val="00940EA8"/>
    <w:rsid w:val="009411B3"/>
    <w:rsid w:val="009419CB"/>
    <w:rsid w:val="00941E5F"/>
    <w:rsid w:val="00942751"/>
    <w:rsid w:val="00942BD2"/>
    <w:rsid w:val="00942CC6"/>
    <w:rsid w:val="00942FA3"/>
    <w:rsid w:val="00943FBB"/>
    <w:rsid w:val="009443C4"/>
    <w:rsid w:val="00944579"/>
    <w:rsid w:val="00944886"/>
    <w:rsid w:val="00944937"/>
    <w:rsid w:val="00944E52"/>
    <w:rsid w:val="0094559C"/>
    <w:rsid w:val="009455BE"/>
    <w:rsid w:val="009462CF"/>
    <w:rsid w:val="00946386"/>
    <w:rsid w:val="00946D0E"/>
    <w:rsid w:val="00947158"/>
    <w:rsid w:val="009473BC"/>
    <w:rsid w:val="009510E9"/>
    <w:rsid w:val="00951646"/>
    <w:rsid w:val="00951660"/>
    <w:rsid w:val="00951B4F"/>
    <w:rsid w:val="00951B96"/>
    <w:rsid w:val="00952347"/>
    <w:rsid w:val="00952E5E"/>
    <w:rsid w:val="00953201"/>
    <w:rsid w:val="00954EF5"/>
    <w:rsid w:val="0095550F"/>
    <w:rsid w:val="0095562D"/>
    <w:rsid w:val="009556BD"/>
    <w:rsid w:val="00955F35"/>
    <w:rsid w:val="00956235"/>
    <w:rsid w:val="0095663D"/>
    <w:rsid w:val="00957C25"/>
    <w:rsid w:val="0096049D"/>
    <w:rsid w:val="00960564"/>
    <w:rsid w:val="009607AB"/>
    <w:rsid w:val="00960A7D"/>
    <w:rsid w:val="00960EB0"/>
    <w:rsid w:val="00962767"/>
    <w:rsid w:val="0096353C"/>
    <w:rsid w:val="0096419F"/>
    <w:rsid w:val="0096453C"/>
    <w:rsid w:val="00964E4A"/>
    <w:rsid w:val="00964FA6"/>
    <w:rsid w:val="00965790"/>
    <w:rsid w:val="00965E5B"/>
    <w:rsid w:val="009661D5"/>
    <w:rsid w:val="00967FE1"/>
    <w:rsid w:val="00970868"/>
    <w:rsid w:val="00970FDB"/>
    <w:rsid w:val="00971338"/>
    <w:rsid w:val="009714B3"/>
    <w:rsid w:val="0097183F"/>
    <w:rsid w:val="00972922"/>
    <w:rsid w:val="00972B29"/>
    <w:rsid w:val="00973F77"/>
    <w:rsid w:val="009740ED"/>
    <w:rsid w:val="0097600A"/>
    <w:rsid w:val="00977B34"/>
    <w:rsid w:val="00977B35"/>
    <w:rsid w:val="00981DA4"/>
    <w:rsid w:val="009821AF"/>
    <w:rsid w:val="009827DC"/>
    <w:rsid w:val="00982D60"/>
    <w:rsid w:val="00982DA1"/>
    <w:rsid w:val="009852FB"/>
    <w:rsid w:val="009879D9"/>
    <w:rsid w:val="00987A0C"/>
    <w:rsid w:val="00987C20"/>
    <w:rsid w:val="00990EAE"/>
    <w:rsid w:val="009916B9"/>
    <w:rsid w:val="00992055"/>
    <w:rsid w:val="0099237C"/>
    <w:rsid w:val="00992564"/>
    <w:rsid w:val="00994410"/>
    <w:rsid w:val="00996303"/>
    <w:rsid w:val="00996422"/>
    <w:rsid w:val="00996699"/>
    <w:rsid w:val="00996E1E"/>
    <w:rsid w:val="00997504"/>
    <w:rsid w:val="00997A56"/>
    <w:rsid w:val="009A01FC"/>
    <w:rsid w:val="009A1B4A"/>
    <w:rsid w:val="009A1FFD"/>
    <w:rsid w:val="009A3300"/>
    <w:rsid w:val="009A42EF"/>
    <w:rsid w:val="009A5264"/>
    <w:rsid w:val="009A63E8"/>
    <w:rsid w:val="009A7771"/>
    <w:rsid w:val="009B019C"/>
    <w:rsid w:val="009B1CBA"/>
    <w:rsid w:val="009B22CB"/>
    <w:rsid w:val="009B264F"/>
    <w:rsid w:val="009B2DCC"/>
    <w:rsid w:val="009B445F"/>
    <w:rsid w:val="009B47F6"/>
    <w:rsid w:val="009B5184"/>
    <w:rsid w:val="009B5626"/>
    <w:rsid w:val="009B5A69"/>
    <w:rsid w:val="009B61B3"/>
    <w:rsid w:val="009B66B2"/>
    <w:rsid w:val="009C186C"/>
    <w:rsid w:val="009C1907"/>
    <w:rsid w:val="009C1E50"/>
    <w:rsid w:val="009C1FDF"/>
    <w:rsid w:val="009C25B9"/>
    <w:rsid w:val="009C269E"/>
    <w:rsid w:val="009C2A1A"/>
    <w:rsid w:val="009C3722"/>
    <w:rsid w:val="009C41B9"/>
    <w:rsid w:val="009C4D75"/>
    <w:rsid w:val="009C5B77"/>
    <w:rsid w:val="009C635E"/>
    <w:rsid w:val="009C662E"/>
    <w:rsid w:val="009C73CE"/>
    <w:rsid w:val="009D053B"/>
    <w:rsid w:val="009D09A6"/>
    <w:rsid w:val="009D0D16"/>
    <w:rsid w:val="009D1D7C"/>
    <w:rsid w:val="009D2321"/>
    <w:rsid w:val="009D2982"/>
    <w:rsid w:val="009D2BBD"/>
    <w:rsid w:val="009D3997"/>
    <w:rsid w:val="009D39F7"/>
    <w:rsid w:val="009D3F9A"/>
    <w:rsid w:val="009D4694"/>
    <w:rsid w:val="009D4D2A"/>
    <w:rsid w:val="009D4D9F"/>
    <w:rsid w:val="009D53F8"/>
    <w:rsid w:val="009D6434"/>
    <w:rsid w:val="009D6832"/>
    <w:rsid w:val="009D69CE"/>
    <w:rsid w:val="009D7519"/>
    <w:rsid w:val="009D79B1"/>
    <w:rsid w:val="009D7B0E"/>
    <w:rsid w:val="009E0A6D"/>
    <w:rsid w:val="009E1856"/>
    <w:rsid w:val="009E1A40"/>
    <w:rsid w:val="009E2017"/>
    <w:rsid w:val="009E2399"/>
    <w:rsid w:val="009E25AF"/>
    <w:rsid w:val="009E30BD"/>
    <w:rsid w:val="009E4505"/>
    <w:rsid w:val="009E491E"/>
    <w:rsid w:val="009E5305"/>
    <w:rsid w:val="009F091A"/>
    <w:rsid w:val="009F1529"/>
    <w:rsid w:val="009F17C7"/>
    <w:rsid w:val="009F2647"/>
    <w:rsid w:val="009F2A72"/>
    <w:rsid w:val="009F3E7C"/>
    <w:rsid w:val="009F4281"/>
    <w:rsid w:val="009F5EF0"/>
    <w:rsid w:val="009F63FC"/>
    <w:rsid w:val="009F668D"/>
    <w:rsid w:val="009F6B1A"/>
    <w:rsid w:val="009F6D71"/>
    <w:rsid w:val="00A00B8B"/>
    <w:rsid w:val="00A01243"/>
    <w:rsid w:val="00A01CB4"/>
    <w:rsid w:val="00A03483"/>
    <w:rsid w:val="00A055BC"/>
    <w:rsid w:val="00A05AF2"/>
    <w:rsid w:val="00A05C85"/>
    <w:rsid w:val="00A0643E"/>
    <w:rsid w:val="00A07D96"/>
    <w:rsid w:val="00A1078F"/>
    <w:rsid w:val="00A10AED"/>
    <w:rsid w:val="00A11F9D"/>
    <w:rsid w:val="00A121EF"/>
    <w:rsid w:val="00A12DF9"/>
    <w:rsid w:val="00A131E5"/>
    <w:rsid w:val="00A1329C"/>
    <w:rsid w:val="00A13342"/>
    <w:rsid w:val="00A13D58"/>
    <w:rsid w:val="00A156FC"/>
    <w:rsid w:val="00A15798"/>
    <w:rsid w:val="00A15C5B"/>
    <w:rsid w:val="00A16A2C"/>
    <w:rsid w:val="00A16B7F"/>
    <w:rsid w:val="00A16F6A"/>
    <w:rsid w:val="00A1704C"/>
    <w:rsid w:val="00A179B0"/>
    <w:rsid w:val="00A17DBB"/>
    <w:rsid w:val="00A2024A"/>
    <w:rsid w:val="00A21455"/>
    <w:rsid w:val="00A223B3"/>
    <w:rsid w:val="00A22AD8"/>
    <w:rsid w:val="00A22AEA"/>
    <w:rsid w:val="00A22DB3"/>
    <w:rsid w:val="00A233C2"/>
    <w:rsid w:val="00A24304"/>
    <w:rsid w:val="00A25493"/>
    <w:rsid w:val="00A2598A"/>
    <w:rsid w:val="00A25B65"/>
    <w:rsid w:val="00A26C50"/>
    <w:rsid w:val="00A26D72"/>
    <w:rsid w:val="00A270E0"/>
    <w:rsid w:val="00A27384"/>
    <w:rsid w:val="00A31A68"/>
    <w:rsid w:val="00A31A79"/>
    <w:rsid w:val="00A32628"/>
    <w:rsid w:val="00A327B5"/>
    <w:rsid w:val="00A32929"/>
    <w:rsid w:val="00A32FCB"/>
    <w:rsid w:val="00A33B38"/>
    <w:rsid w:val="00A33BEC"/>
    <w:rsid w:val="00A3482C"/>
    <w:rsid w:val="00A36260"/>
    <w:rsid w:val="00A3636C"/>
    <w:rsid w:val="00A3777E"/>
    <w:rsid w:val="00A40033"/>
    <w:rsid w:val="00A400F6"/>
    <w:rsid w:val="00A4108B"/>
    <w:rsid w:val="00A42256"/>
    <w:rsid w:val="00A42724"/>
    <w:rsid w:val="00A42EED"/>
    <w:rsid w:val="00A43239"/>
    <w:rsid w:val="00A44163"/>
    <w:rsid w:val="00A44B85"/>
    <w:rsid w:val="00A44EBC"/>
    <w:rsid w:val="00A4610F"/>
    <w:rsid w:val="00A4637E"/>
    <w:rsid w:val="00A463BA"/>
    <w:rsid w:val="00A46866"/>
    <w:rsid w:val="00A46F75"/>
    <w:rsid w:val="00A4719A"/>
    <w:rsid w:val="00A47753"/>
    <w:rsid w:val="00A51716"/>
    <w:rsid w:val="00A51DA4"/>
    <w:rsid w:val="00A51F25"/>
    <w:rsid w:val="00A52019"/>
    <w:rsid w:val="00A525CF"/>
    <w:rsid w:val="00A5298D"/>
    <w:rsid w:val="00A529AF"/>
    <w:rsid w:val="00A52BFC"/>
    <w:rsid w:val="00A530E9"/>
    <w:rsid w:val="00A532D2"/>
    <w:rsid w:val="00A536AA"/>
    <w:rsid w:val="00A5432D"/>
    <w:rsid w:val="00A5438F"/>
    <w:rsid w:val="00A54568"/>
    <w:rsid w:val="00A545BF"/>
    <w:rsid w:val="00A565C8"/>
    <w:rsid w:val="00A56654"/>
    <w:rsid w:val="00A56893"/>
    <w:rsid w:val="00A602EC"/>
    <w:rsid w:val="00A60F71"/>
    <w:rsid w:val="00A617DA"/>
    <w:rsid w:val="00A61FC5"/>
    <w:rsid w:val="00A624D3"/>
    <w:rsid w:val="00A6250C"/>
    <w:rsid w:val="00A62BE4"/>
    <w:rsid w:val="00A63158"/>
    <w:rsid w:val="00A638A3"/>
    <w:rsid w:val="00A6411C"/>
    <w:rsid w:val="00A64773"/>
    <w:rsid w:val="00A664B2"/>
    <w:rsid w:val="00A66AB9"/>
    <w:rsid w:val="00A67B90"/>
    <w:rsid w:val="00A7098A"/>
    <w:rsid w:val="00A714AC"/>
    <w:rsid w:val="00A72162"/>
    <w:rsid w:val="00A721F8"/>
    <w:rsid w:val="00A72D8D"/>
    <w:rsid w:val="00A73ED0"/>
    <w:rsid w:val="00A7424C"/>
    <w:rsid w:val="00A74575"/>
    <w:rsid w:val="00A75BB2"/>
    <w:rsid w:val="00A7673D"/>
    <w:rsid w:val="00A76C34"/>
    <w:rsid w:val="00A77093"/>
    <w:rsid w:val="00A77789"/>
    <w:rsid w:val="00A77BE6"/>
    <w:rsid w:val="00A80448"/>
    <w:rsid w:val="00A804EB"/>
    <w:rsid w:val="00A81FC2"/>
    <w:rsid w:val="00A8212A"/>
    <w:rsid w:val="00A831E3"/>
    <w:rsid w:val="00A8325A"/>
    <w:rsid w:val="00A8455E"/>
    <w:rsid w:val="00A8597B"/>
    <w:rsid w:val="00A85F66"/>
    <w:rsid w:val="00A860E7"/>
    <w:rsid w:val="00A8638B"/>
    <w:rsid w:val="00A869BF"/>
    <w:rsid w:val="00A87544"/>
    <w:rsid w:val="00A87587"/>
    <w:rsid w:val="00A87739"/>
    <w:rsid w:val="00A87FEE"/>
    <w:rsid w:val="00A9014F"/>
    <w:rsid w:val="00A903F3"/>
    <w:rsid w:val="00A90CF2"/>
    <w:rsid w:val="00A910E6"/>
    <w:rsid w:val="00A922C2"/>
    <w:rsid w:val="00A9384D"/>
    <w:rsid w:val="00A93BA8"/>
    <w:rsid w:val="00A94427"/>
    <w:rsid w:val="00A95396"/>
    <w:rsid w:val="00A976C1"/>
    <w:rsid w:val="00A97977"/>
    <w:rsid w:val="00AA10AB"/>
    <w:rsid w:val="00AA2211"/>
    <w:rsid w:val="00AA26FE"/>
    <w:rsid w:val="00AA27F9"/>
    <w:rsid w:val="00AA4064"/>
    <w:rsid w:val="00AA4251"/>
    <w:rsid w:val="00AA44AE"/>
    <w:rsid w:val="00AA4708"/>
    <w:rsid w:val="00AA4D6C"/>
    <w:rsid w:val="00AA4E29"/>
    <w:rsid w:val="00AA6143"/>
    <w:rsid w:val="00AA6760"/>
    <w:rsid w:val="00AA6CC3"/>
    <w:rsid w:val="00AA71A1"/>
    <w:rsid w:val="00AA7D3C"/>
    <w:rsid w:val="00AA7E02"/>
    <w:rsid w:val="00AB0E25"/>
    <w:rsid w:val="00AB2A26"/>
    <w:rsid w:val="00AB2DA0"/>
    <w:rsid w:val="00AB38AC"/>
    <w:rsid w:val="00AB5524"/>
    <w:rsid w:val="00AB572D"/>
    <w:rsid w:val="00AB6578"/>
    <w:rsid w:val="00AB6880"/>
    <w:rsid w:val="00AB76D4"/>
    <w:rsid w:val="00AC09ED"/>
    <w:rsid w:val="00AC2A77"/>
    <w:rsid w:val="00AC2CE5"/>
    <w:rsid w:val="00AC3567"/>
    <w:rsid w:val="00AC46E9"/>
    <w:rsid w:val="00AC4813"/>
    <w:rsid w:val="00AC502A"/>
    <w:rsid w:val="00AC5264"/>
    <w:rsid w:val="00AC589B"/>
    <w:rsid w:val="00AC5F60"/>
    <w:rsid w:val="00AC617E"/>
    <w:rsid w:val="00AC64C0"/>
    <w:rsid w:val="00AC7A56"/>
    <w:rsid w:val="00AC7DB3"/>
    <w:rsid w:val="00AD3E6B"/>
    <w:rsid w:val="00AD477E"/>
    <w:rsid w:val="00AD5590"/>
    <w:rsid w:val="00AD5C00"/>
    <w:rsid w:val="00AD5E01"/>
    <w:rsid w:val="00AD5E03"/>
    <w:rsid w:val="00AD5E7E"/>
    <w:rsid w:val="00AD6DDB"/>
    <w:rsid w:val="00AD6DF2"/>
    <w:rsid w:val="00AD7906"/>
    <w:rsid w:val="00AD7E0C"/>
    <w:rsid w:val="00AE0E51"/>
    <w:rsid w:val="00AE0F6B"/>
    <w:rsid w:val="00AE1B1D"/>
    <w:rsid w:val="00AE2254"/>
    <w:rsid w:val="00AE3051"/>
    <w:rsid w:val="00AE3220"/>
    <w:rsid w:val="00AE3575"/>
    <w:rsid w:val="00AE3B01"/>
    <w:rsid w:val="00AE48EC"/>
    <w:rsid w:val="00AE4912"/>
    <w:rsid w:val="00AE611B"/>
    <w:rsid w:val="00AE6A6A"/>
    <w:rsid w:val="00AE7CD7"/>
    <w:rsid w:val="00AF05BA"/>
    <w:rsid w:val="00AF0AB6"/>
    <w:rsid w:val="00AF0DCC"/>
    <w:rsid w:val="00AF10E6"/>
    <w:rsid w:val="00AF434C"/>
    <w:rsid w:val="00AF4EB5"/>
    <w:rsid w:val="00AF6325"/>
    <w:rsid w:val="00AF638E"/>
    <w:rsid w:val="00AF66BB"/>
    <w:rsid w:val="00B00847"/>
    <w:rsid w:val="00B016AF"/>
    <w:rsid w:val="00B02025"/>
    <w:rsid w:val="00B0217A"/>
    <w:rsid w:val="00B0262C"/>
    <w:rsid w:val="00B0265E"/>
    <w:rsid w:val="00B032E2"/>
    <w:rsid w:val="00B043B6"/>
    <w:rsid w:val="00B04CFE"/>
    <w:rsid w:val="00B04D37"/>
    <w:rsid w:val="00B0518F"/>
    <w:rsid w:val="00B07AA0"/>
    <w:rsid w:val="00B10711"/>
    <w:rsid w:val="00B10799"/>
    <w:rsid w:val="00B12E52"/>
    <w:rsid w:val="00B13139"/>
    <w:rsid w:val="00B13154"/>
    <w:rsid w:val="00B14DB2"/>
    <w:rsid w:val="00B14F97"/>
    <w:rsid w:val="00B158FD"/>
    <w:rsid w:val="00B15958"/>
    <w:rsid w:val="00B162B8"/>
    <w:rsid w:val="00B164D5"/>
    <w:rsid w:val="00B17FF4"/>
    <w:rsid w:val="00B207DE"/>
    <w:rsid w:val="00B220E5"/>
    <w:rsid w:val="00B2210C"/>
    <w:rsid w:val="00B2399B"/>
    <w:rsid w:val="00B2423A"/>
    <w:rsid w:val="00B24518"/>
    <w:rsid w:val="00B2469D"/>
    <w:rsid w:val="00B2537B"/>
    <w:rsid w:val="00B25BB6"/>
    <w:rsid w:val="00B26001"/>
    <w:rsid w:val="00B26E15"/>
    <w:rsid w:val="00B272F9"/>
    <w:rsid w:val="00B30272"/>
    <w:rsid w:val="00B309C4"/>
    <w:rsid w:val="00B30D98"/>
    <w:rsid w:val="00B31FBD"/>
    <w:rsid w:val="00B3260C"/>
    <w:rsid w:val="00B32AF7"/>
    <w:rsid w:val="00B330D2"/>
    <w:rsid w:val="00B33171"/>
    <w:rsid w:val="00B337D6"/>
    <w:rsid w:val="00B346C7"/>
    <w:rsid w:val="00B34868"/>
    <w:rsid w:val="00B35CC5"/>
    <w:rsid w:val="00B35E8A"/>
    <w:rsid w:val="00B36064"/>
    <w:rsid w:val="00B36322"/>
    <w:rsid w:val="00B3744B"/>
    <w:rsid w:val="00B37D94"/>
    <w:rsid w:val="00B408F1"/>
    <w:rsid w:val="00B40C5C"/>
    <w:rsid w:val="00B41081"/>
    <w:rsid w:val="00B41696"/>
    <w:rsid w:val="00B419F2"/>
    <w:rsid w:val="00B41DCE"/>
    <w:rsid w:val="00B41F9C"/>
    <w:rsid w:val="00B42E27"/>
    <w:rsid w:val="00B442B9"/>
    <w:rsid w:val="00B4460F"/>
    <w:rsid w:val="00B446B8"/>
    <w:rsid w:val="00B44C83"/>
    <w:rsid w:val="00B456FE"/>
    <w:rsid w:val="00B457E4"/>
    <w:rsid w:val="00B460F7"/>
    <w:rsid w:val="00B4709D"/>
    <w:rsid w:val="00B472AE"/>
    <w:rsid w:val="00B476FA"/>
    <w:rsid w:val="00B47B0E"/>
    <w:rsid w:val="00B501ED"/>
    <w:rsid w:val="00B50320"/>
    <w:rsid w:val="00B51176"/>
    <w:rsid w:val="00B52476"/>
    <w:rsid w:val="00B526AF"/>
    <w:rsid w:val="00B528EC"/>
    <w:rsid w:val="00B52B42"/>
    <w:rsid w:val="00B52D32"/>
    <w:rsid w:val="00B53C22"/>
    <w:rsid w:val="00B5581D"/>
    <w:rsid w:val="00B56AA0"/>
    <w:rsid w:val="00B56DC9"/>
    <w:rsid w:val="00B57544"/>
    <w:rsid w:val="00B576A4"/>
    <w:rsid w:val="00B606A7"/>
    <w:rsid w:val="00B61494"/>
    <w:rsid w:val="00B62438"/>
    <w:rsid w:val="00B6248B"/>
    <w:rsid w:val="00B6262C"/>
    <w:rsid w:val="00B63703"/>
    <w:rsid w:val="00B63918"/>
    <w:rsid w:val="00B639E2"/>
    <w:rsid w:val="00B64242"/>
    <w:rsid w:val="00B6483E"/>
    <w:rsid w:val="00B648C1"/>
    <w:rsid w:val="00B65F3B"/>
    <w:rsid w:val="00B66289"/>
    <w:rsid w:val="00B66858"/>
    <w:rsid w:val="00B66A80"/>
    <w:rsid w:val="00B7027B"/>
    <w:rsid w:val="00B707CD"/>
    <w:rsid w:val="00B71E0A"/>
    <w:rsid w:val="00B736FB"/>
    <w:rsid w:val="00B738E7"/>
    <w:rsid w:val="00B739EB"/>
    <w:rsid w:val="00B74521"/>
    <w:rsid w:val="00B74909"/>
    <w:rsid w:val="00B74B94"/>
    <w:rsid w:val="00B75B1B"/>
    <w:rsid w:val="00B75E89"/>
    <w:rsid w:val="00B76FF4"/>
    <w:rsid w:val="00B770BC"/>
    <w:rsid w:val="00B7789C"/>
    <w:rsid w:val="00B803EE"/>
    <w:rsid w:val="00B80DEB"/>
    <w:rsid w:val="00B8100F"/>
    <w:rsid w:val="00B819A5"/>
    <w:rsid w:val="00B81DAB"/>
    <w:rsid w:val="00B81DEA"/>
    <w:rsid w:val="00B8264B"/>
    <w:rsid w:val="00B82C9A"/>
    <w:rsid w:val="00B83BB3"/>
    <w:rsid w:val="00B842A9"/>
    <w:rsid w:val="00B8442A"/>
    <w:rsid w:val="00B85DE6"/>
    <w:rsid w:val="00B85E84"/>
    <w:rsid w:val="00B861A6"/>
    <w:rsid w:val="00B8645E"/>
    <w:rsid w:val="00B86980"/>
    <w:rsid w:val="00B86D3C"/>
    <w:rsid w:val="00B870F2"/>
    <w:rsid w:val="00B879B6"/>
    <w:rsid w:val="00B87AC3"/>
    <w:rsid w:val="00B87C42"/>
    <w:rsid w:val="00B87F36"/>
    <w:rsid w:val="00B90393"/>
    <w:rsid w:val="00B91A56"/>
    <w:rsid w:val="00B922BE"/>
    <w:rsid w:val="00B92972"/>
    <w:rsid w:val="00B937D8"/>
    <w:rsid w:val="00B9395F"/>
    <w:rsid w:val="00B94940"/>
    <w:rsid w:val="00B94B0B"/>
    <w:rsid w:val="00B950F9"/>
    <w:rsid w:val="00B95382"/>
    <w:rsid w:val="00B95900"/>
    <w:rsid w:val="00B97104"/>
    <w:rsid w:val="00B97888"/>
    <w:rsid w:val="00B97A83"/>
    <w:rsid w:val="00B97AD8"/>
    <w:rsid w:val="00B97AE5"/>
    <w:rsid w:val="00B97EC2"/>
    <w:rsid w:val="00BA0348"/>
    <w:rsid w:val="00BA0CD2"/>
    <w:rsid w:val="00BA1D5D"/>
    <w:rsid w:val="00BA2192"/>
    <w:rsid w:val="00BA26E6"/>
    <w:rsid w:val="00BA3AD1"/>
    <w:rsid w:val="00BA3C43"/>
    <w:rsid w:val="00BA3FB7"/>
    <w:rsid w:val="00BA4338"/>
    <w:rsid w:val="00BA4499"/>
    <w:rsid w:val="00BA4EE4"/>
    <w:rsid w:val="00BA5F42"/>
    <w:rsid w:val="00BA6F87"/>
    <w:rsid w:val="00BA72DA"/>
    <w:rsid w:val="00BA7760"/>
    <w:rsid w:val="00BB1304"/>
    <w:rsid w:val="00BB1A1C"/>
    <w:rsid w:val="00BB1C6D"/>
    <w:rsid w:val="00BB2045"/>
    <w:rsid w:val="00BB2D5A"/>
    <w:rsid w:val="00BB2FF7"/>
    <w:rsid w:val="00BB3275"/>
    <w:rsid w:val="00BB3513"/>
    <w:rsid w:val="00BB3B9F"/>
    <w:rsid w:val="00BB44ED"/>
    <w:rsid w:val="00BB45D3"/>
    <w:rsid w:val="00BB48BE"/>
    <w:rsid w:val="00BB5454"/>
    <w:rsid w:val="00BB5C60"/>
    <w:rsid w:val="00BB5F55"/>
    <w:rsid w:val="00BB619F"/>
    <w:rsid w:val="00BB7297"/>
    <w:rsid w:val="00BB74F0"/>
    <w:rsid w:val="00BB750F"/>
    <w:rsid w:val="00BB7A30"/>
    <w:rsid w:val="00BB7FF5"/>
    <w:rsid w:val="00BC1B6F"/>
    <w:rsid w:val="00BC214C"/>
    <w:rsid w:val="00BC222C"/>
    <w:rsid w:val="00BC28D1"/>
    <w:rsid w:val="00BC2FF6"/>
    <w:rsid w:val="00BC37FE"/>
    <w:rsid w:val="00BC4160"/>
    <w:rsid w:val="00BC5362"/>
    <w:rsid w:val="00BC7ED5"/>
    <w:rsid w:val="00BD0045"/>
    <w:rsid w:val="00BD045E"/>
    <w:rsid w:val="00BD0619"/>
    <w:rsid w:val="00BD06F2"/>
    <w:rsid w:val="00BD0AD1"/>
    <w:rsid w:val="00BD0B6F"/>
    <w:rsid w:val="00BD1227"/>
    <w:rsid w:val="00BD12EF"/>
    <w:rsid w:val="00BD135E"/>
    <w:rsid w:val="00BD17DC"/>
    <w:rsid w:val="00BD1954"/>
    <w:rsid w:val="00BD1983"/>
    <w:rsid w:val="00BD202B"/>
    <w:rsid w:val="00BD2D45"/>
    <w:rsid w:val="00BD2D5B"/>
    <w:rsid w:val="00BD3D00"/>
    <w:rsid w:val="00BD43F8"/>
    <w:rsid w:val="00BD4A79"/>
    <w:rsid w:val="00BD4C7B"/>
    <w:rsid w:val="00BD5072"/>
    <w:rsid w:val="00BD7DB1"/>
    <w:rsid w:val="00BE03C6"/>
    <w:rsid w:val="00BE0A06"/>
    <w:rsid w:val="00BE0E85"/>
    <w:rsid w:val="00BE0ECD"/>
    <w:rsid w:val="00BE11AB"/>
    <w:rsid w:val="00BE12EE"/>
    <w:rsid w:val="00BE23BD"/>
    <w:rsid w:val="00BE31C0"/>
    <w:rsid w:val="00BE34EB"/>
    <w:rsid w:val="00BE4BE7"/>
    <w:rsid w:val="00BE52E4"/>
    <w:rsid w:val="00BE5EAD"/>
    <w:rsid w:val="00BE6976"/>
    <w:rsid w:val="00BE7346"/>
    <w:rsid w:val="00BE7D93"/>
    <w:rsid w:val="00BE7F67"/>
    <w:rsid w:val="00BF02EB"/>
    <w:rsid w:val="00BF0DDC"/>
    <w:rsid w:val="00BF3B47"/>
    <w:rsid w:val="00BF4054"/>
    <w:rsid w:val="00BF4C4B"/>
    <w:rsid w:val="00BF50F3"/>
    <w:rsid w:val="00BF51EB"/>
    <w:rsid w:val="00BF52D9"/>
    <w:rsid w:val="00BF54B5"/>
    <w:rsid w:val="00BF56F9"/>
    <w:rsid w:val="00BF66CC"/>
    <w:rsid w:val="00BF7EB3"/>
    <w:rsid w:val="00C006F8"/>
    <w:rsid w:val="00C01624"/>
    <w:rsid w:val="00C0173B"/>
    <w:rsid w:val="00C01853"/>
    <w:rsid w:val="00C031B6"/>
    <w:rsid w:val="00C0332F"/>
    <w:rsid w:val="00C04446"/>
    <w:rsid w:val="00C0474A"/>
    <w:rsid w:val="00C04CC7"/>
    <w:rsid w:val="00C0587C"/>
    <w:rsid w:val="00C05FF6"/>
    <w:rsid w:val="00C06356"/>
    <w:rsid w:val="00C0671D"/>
    <w:rsid w:val="00C0724E"/>
    <w:rsid w:val="00C07654"/>
    <w:rsid w:val="00C07738"/>
    <w:rsid w:val="00C07BAF"/>
    <w:rsid w:val="00C07C5F"/>
    <w:rsid w:val="00C07CE1"/>
    <w:rsid w:val="00C11629"/>
    <w:rsid w:val="00C1279C"/>
    <w:rsid w:val="00C12C74"/>
    <w:rsid w:val="00C136CA"/>
    <w:rsid w:val="00C1496D"/>
    <w:rsid w:val="00C158DB"/>
    <w:rsid w:val="00C15959"/>
    <w:rsid w:val="00C163AB"/>
    <w:rsid w:val="00C16E06"/>
    <w:rsid w:val="00C202C8"/>
    <w:rsid w:val="00C21320"/>
    <w:rsid w:val="00C22603"/>
    <w:rsid w:val="00C22B1C"/>
    <w:rsid w:val="00C23631"/>
    <w:rsid w:val="00C25746"/>
    <w:rsid w:val="00C27A34"/>
    <w:rsid w:val="00C305CC"/>
    <w:rsid w:val="00C30856"/>
    <w:rsid w:val="00C30905"/>
    <w:rsid w:val="00C30D07"/>
    <w:rsid w:val="00C31689"/>
    <w:rsid w:val="00C31B1D"/>
    <w:rsid w:val="00C32C98"/>
    <w:rsid w:val="00C32D33"/>
    <w:rsid w:val="00C3396A"/>
    <w:rsid w:val="00C34095"/>
    <w:rsid w:val="00C34176"/>
    <w:rsid w:val="00C34AE5"/>
    <w:rsid w:val="00C34D85"/>
    <w:rsid w:val="00C361BF"/>
    <w:rsid w:val="00C36318"/>
    <w:rsid w:val="00C365E7"/>
    <w:rsid w:val="00C3781D"/>
    <w:rsid w:val="00C402AC"/>
    <w:rsid w:val="00C40661"/>
    <w:rsid w:val="00C40CF5"/>
    <w:rsid w:val="00C415BB"/>
    <w:rsid w:val="00C41607"/>
    <w:rsid w:val="00C41653"/>
    <w:rsid w:val="00C43CA3"/>
    <w:rsid w:val="00C43CAB"/>
    <w:rsid w:val="00C43EED"/>
    <w:rsid w:val="00C446F1"/>
    <w:rsid w:val="00C449FC"/>
    <w:rsid w:val="00C4542D"/>
    <w:rsid w:val="00C45865"/>
    <w:rsid w:val="00C46874"/>
    <w:rsid w:val="00C5012F"/>
    <w:rsid w:val="00C50BA3"/>
    <w:rsid w:val="00C514CE"/>
    <w:rsid w:val="00C51B23"/>
    <w:rsid w:val="00C523B5"/>
    <w:rsid w:val="00C545D1"/>
    <w:rsid w:val="00C55120"/>
    <w:rsid w:val="00C55D37"/>
    <w:rsid w:val="00C56A6A"/>
    <w:rsid w:val="00C56DDD"/>
    <w:rsid w:val="00C579D1"/>
    <w:rsid w:val="00C60D6F"/>
    <w:rsid w:val="00C62655"/>
    <w:rsid w:val="00C62E85"/>
    <w:rsid w:val="00C636FF"/>
    <w:rsid w:val="00C63C2B"/>
    <w:rsid w:val="00C63DA1"/>
    <w:rsid w:val="00C63F79"/>
    <w:rsid w:val="00C65312"/>
    <w:rsid w:val="00C65332"/>
    <w:rsid w:val="00C66638"/>
    <w:rsid w:val="00C671C0"/>
    <w:rsid w:val="00C707B7"/>
    <w:rsid w:val="00C71ADE"/>
    <w:rsid w:val="00C71D03"/>
    <w:rsid w:val="00C7338E"/>
    <w:rsid w:val="00C73B39"/>
    <w:rsid w:val="00C747C3"/>
    <w:rsid w:val="00C74C39"/>
    <w:rsid w:val="00C75144"/>
    <w:rsid w:val="00C754A0"/>
    <w:rsid w:val="00C77311"/>
    <w:rsid w:val="00C77FC1"/>
    <w:rsid w:val="00C81389"/>
    <w:rsid w:val="00C81E6B"/>
    <w:rsid w:val="00C832A2"/>
    <w:rsid w:val="00C836E3"/>
    <w:rsid w:val="00C83C05"/>
    <w:rsid w:val="00C8420C"/>
    <w:rsid w:val="00C842EB"/>
    <w:rsid w:val="00C85612"/>
    <w:rsid w:val="00C85724"/>
    <w:rsid w:val="00C8759B"/>
    <w:rsid w:val="00C878C3"/>
    <w:rsid w:val="00C87B2B"/>
    <w:rsid w:val="00C87CAB"/>
    <w:rsid w:val="00C91BD0"/>
    <w:rsid w:val="00C92B0B"/>
    <w:rsid w:val="00C92B9A"/>
    <w:rsid w:val="00C92F3C"/>
    <w:rsid w:val="00C945A8"/>
    <w:rsid w:val="00C94808"/>
    <w:rsid w:val="00C94F67"/>
    <w:rsid w:val="00C9663D"/>
    <w:rsid w:val="00C9736B"/>
    <w:rsid w:val="00C97915"/>
    <w:rsid w:val="00CA096D"/>
    <w:rsid w:val="00CA2604"/>
    <w:rsid w:val="00CA2CC0"/>
    <w:rsid w:val="00CA2DF6"/>
    <w:rsid w:val="00CA3ECF"/>
    <w:rsid w:val="00CA41BB"/>
    <w:rsid w:val="00CA4FE6"/>
    <w:rsid w:val="00CA5106"/>
    <w:rsid w:val="00CA565B"/>
    <w:rsid w:val="00CA6AFD"/>
    <w:rsid w:val="00CA7151"/>
    <w:rsid w:val="00CA77B4"/>
    <w:rsid w:val="00CB0005"/>
    <w:rsid w:val="00CB0106"/>
    <w:rsid w:val="00CB127E"/>
    <w:rsid w:val="00CB1D32"/>
    <w:rsid w:val="00CB1F8D"/>
    <w:rsid w:val="00CB1FAF"/>
    <w:rsid w:val="00CB346A"/>
    <w:rsid w:val="00CB3F1D"/>
    <w:rsid w:val="00CB4A6B"/>
    <w:rsid w:val="00CB6200"/>
    <w:rsid w:val="00CB63BD"/>
    <w:rsid w:val="00CB6ED3"/>
    <w:rsid w:val="00CB71AE"/>
    <w:rsid w:val="00CB7398"/>
    <w:rsid w:val="00CB7D29"/>
    <w:rsid w:val="00CC0B62"/>
    <w:rsid w:val="00CC1E51"/>
    <w:rsid w:val="00CC277A"/>
    <w:rsid w:val="00CC2976"/>
    <w:rsid w:val="00CC32CF"/>
    <w:rsid w:val="00CC5B04"/>
    <w:rsid w:val="00CC613A"/>
    <w:rsid w:val="00CC69BF"/>
    <w:rsid w:val="00CD0523"/>
    <w:rsid w:val="00CD159A"/>
    <w:rsid w:val="00CD1CF8"/>
    <w:rsid w:val="00CD210E"/>
    <w:rsid w:val="00CD2D49"/>
    <w:rsid w:val="00CD41A0"/>
    <w:rsid w:val="00CD5D99"/>
    <w:rsid w:val="00CD606F"/>
    <w:rsid w:val="00CD6097"/>
    <w:rsid w:val="00CD648F"/>
    <w:rsid w:val="00CD70F9"/>
    <w:rsid w:val="00CD7B5D"/>
    <w:rsid w:val="00CD7C43"/>
    <w:rsid w:val="00CE0A85"/>
    <w:rsid w:val="00CE2159"/>
    <w:rsid w:val="00CE392D"/>
    <w:rsid w:val="00CE57C7"/>
    <w:rsid w:val="00CE59DC"/>
    <w:rsid w:val="00CE791B"/>
    <w:rsid w:val="00CF0523"/>
    <w:rsid w:val="00CF0CB8"/>
    <w:rsid w:val="00CF323F"/>
    <w:rsid w:val="00CF36B2"/>
    <w:rsid w:val="00CF50CF"/>
    <w:rsid w:val="00CF5321"/>
    <w:rsid w:val="00CF5EEE"/>
    <w:rsid w:val="00CF6D26"/>
    <w:rsid w:val="00CF7749"/>
    <w:rsid w:val="00CF7B9F"/>
    <w:rsid w:val="00D00681"/>
    <w:rsid w:val="00D006B9"/>
    <w:rsid w:val="00D0157E"/>
    <w:rsid w:val="00D01AF7"/>
    <w:rsid w:val="00D01FDD"/>
    <w:rsid w:val="00D02095"/>
    <w:rsid w:val="00D02328"/>
    <w:rsid w:val="00D0259D"/>
    <w:rsid w:val="00D026CC"/>
    <w:rsid w:val="00D03C88"/>
    <w:rsid w:val="00D03E1B"/>
    <w:rsid w:val="00D03F65"/>
    <w:rsid w:val="00D04052"/>
    <w:rsid w:val="00D04205"/>
    <w:rsid w:val="00D048E2"/>
    <w:rsid w:val="00D04E18"/>
    <w:rsid w:val="00D05339"/>
    <w:rsid w:val="00D05FDE"/>
    <w:rsid w:val="00D06660"/>
    <w:rsid w:val="00D0703E"/>
    <w:rsid w:val="00D07402"/>
    <w:rsid w:val="00D076F4"/>
    <w:rsid w:val="00D10953"/>
    <w:rsid w:val="00D10984"/>
    <w:rsid w:val="00D10D68"/>
    <w:rsid w:val="00D11482"/>
    <w:rsid w:val="00D1148A"/>
    <w:rsid w:val="00D118D8"/>
    <w:rsid w:val="00D12BC3"/>
    <w:rsid w:val="00D133F4"/>
    <w:rsid w:val="00D1364E"/>
    <w:rsid w:val="00D13D42"/>
    <w:rsid w:val="00D13F15"/>
    <w:rsid w:val="00D157E9"/>
    <w:rsid w:val="00D15BCE"/>
    <w:rsid w:val="00D171BD"/>
    <w:rsid w:val="00D17697"/>
    <w:rsid w:val="00D17770"/>
    <w:rsid w:val="00D178AC"/>
    <w:rsid w:val="00D17E11"/>
    <w:rsid w:val="00D20F55"/>
    <w:rsid w:val="00D21239"/>
    <w:rsid w:val="00D21283"/>
    <w:rsid w:val="00D22D2F"/>
    <w:rsid w:val="00D2307F"/>
    <w:rsid w:val="00D23C11"/>
    <w:rsid w:val="00D24FB5"/>
    <w:rsid w:val="00D2533C"/>
    <w:rsid w:val="00D26516"/>
    <w:rsid w:val="00D265D8"/>
    <w:rsid w:val="00D26EF8"/>
    <w:rsid w:val="00D303B9"/>
    <w:rsid w:val="00D32991"/>
    <w:rsid w:val="00D32F5E"/>
    <w:rsid w:val="00D33E70"/>
    <w:rsid w:val="00D34053"/>
    <w:rsid w:val="00D358D3"/>
    <w:rsid w:val="00D368FE"/>
    <w:rsid w:val="00D40565"/>
    <w:rsid w:val="00D40EF1"/>
    <w:rsid w:val="00D41083"/>
    <w:rsid w:val="00D42A79"/>
    <w:rsid w:val="00D42DF0"/>
    <w:rsid w:val="00D43526"/>
    <w:rsid w:val="00D438D7"/>
    <w:rsid w:val="00D44315"/>
    <w:rsid w:val="00D4435E"/>
    <w:rsid w:val="00D44FA2"/>
    <w:rsid w:val="00D45C6B"/>
    <w:rsid w:val="00D45F9F"/>
    <w:rsid w:val="00D463C3"/>
    <w:rsid w:val="00D46864"/>
    <w:rsid w:val="00D46CE7"/>
    <w:rsid w:val="00D46CEF"/>
    <w:rsid w:val="00D471F0"/>
    <w:rsid w:val="00D47651"/>
    <w:rsid w:val="00D47654"/>
    <w:rsid w:val="00D47ABA"/>
    <w:rsid w:val="00D50C7C"/>
    <w:rsid w:val="00D51596"/>
    <w:rsid w:val="00D51E05"/>
    <w:rsid w:val="00D52B07"/>
    <w:rsid w:val="00D52EC0"/>
    <w:rsid w:val="00D555CB"/>
    <w:rsid w:val="00D55E34"/>
    <w:rsid w:val="00D55F9C"/>
    <w:rsid w:val="00D560B1"/>
    <w:rsid w:val="00D56CDE"/>
    <w:rsid w:val="00D56DE5"/>
    <w:rsid w:val="00D60686"/>
    <w:rsid w:val="00D60C02"/>
    <w:rsid w:val="00D61CC8"/>
    <w:rsid w:val="00D62078"/>
    <w:rsid w:val="00D62566"/>
    <w:rsid w:val="00D62A0F"/>
    <w:rsid w:val="00D63469"/>
    <w:rsid w:val="00D635C7"/>
    <w:rsid w:val="00D63A50"/>
    <w:rsid w:val="00D63FFA"/>
    <w:rsid w:val="00D6431B"/>
    <w:rsid w:val="00D6454B"/>
    <w:rsid w:val="00D6464E"/>
    <w:rsid w:val="00D65030"/>
    <w:rsid w:val="00D653D6"/>
    <w:rsid w:val="00D6658D"/>
    <w:rsid w:val="00D6679A"/>
    <w:rsid w:val="00D6775E"/>
    <w:rsid w:val="00D70D6F"/>
    <w:rsid w:val="00D70F3B"/>
    <w:rsid w:val="00D71A2A"/>
    <w:rsid w:val="00D723CD"/>
    <w:rsid w:val="00D72931"/>
    <w:rsid w:val="00D7389D"/>
    <w:rsid w:val="00D747FF"/>
    <w:rsid w:val="00D74BC7"/>
    <w:rsid w:val="00D74D56"/>
    <w:rsid w:val="00D74EFD"/>
    <w:rsid w:val="00D75008"/>
    <w:rsid w:val="00D7669E"/>
    <w:rsid w:val="00D76B85"/>
    <w:rsid w:val="00D77863"/>
    <w:rsid w:val="00D77AD1"/>
    <w:rsid w:val="00D81128"/>
    <w:rsid w:val="00D816C9"/>
    <w:rsid w:val="00D81CE0"/>
    <w:rsid w:val="00D8288E"/>
    <w:rsid w:val="00D82CD7"/>
    <w:rsid w:val="00D8301B"/>
    <w:rsid w:val="00D84479"/>
    <w:rsid w:val="00D844B9"/>
    <w:rsid w:val="00D84682"/>
    <w:rsid w:val="00D856D5"/>
    <w:rsid w:val="00D85B32"/>
    <w:rsid w:val="00D87109"/>
    <w:rsid w:val="00D87ECE"/>
    <w:rsid w:val="00D9154C"/>
    <w:rsid w:val="00D91AD5"/>
    <w:rsid w:val="00D91D41"/>
    <w:rsid w:val="00D923EA"/>
    <w:rsid w:val="00D92DCA"/>
    <w:rsid w:val="00D94115"/>
    <w:rsid w:val="00D948FC"/>
    <w:rsid w:val="00D94BED"/>
    <w:rsid w:val="00D95915"/>
    <w:rsid w:val="00DA14B5"/>
    <w:rsid w:val="00DA26AC"/>
    <w:rsid w:val="00DA2BB0"/>
    <w:rsid w:val="00DA36D5"/>
    <w:rsid w:val="00DA371A"/>
    <w:rsid w:val="00DA3EB8"/>
    <w:rsid w:val="00DA4859"/>
    <w:rsid w:val="00DA5BDD"/>
    <w:rsid w:val="00DA66DF"/>
    <w:rsid w:val="00DA69FE"/>
    <w:rsid w:val="00DA79D4"/>
    <w:rsid w:val="00DB02D4"/>
    <w:rsid w:val="00DB0771"/>
    <w:rsid w:val="00DB0D87"/>
    <w:rsid w:val="00DB178F"/>
    <w:rsid w:val="00DB288D"/>
    <w:rsid w:val="00DB3CF8"/>
    <w:rsid w:val="00DB421C"/>
    <w:rsid w:val="00DB47BA"/>
    <w:rsid w:val="00DB4CF4"/>
    <w:rsid w:val="00DB57BF"/>
    <w:rsid w:val="00DB5AD5"/>
    <w:rsid w:val="00DB6D51"/>
    <w:rsid w:val="00DB6FD7"/>
    <w:rsid w:val="00DB70C7"/>
    <w:rsid w:val="00DB7EEF"/>
    <w:rsid w:val="00DC0139"/>
    <w:rsid w:val="00DC0CCD"/>
    <w:rsid w:val="00DC2E82"/>
    <w:rsid w:val="00DC30A5"/>
    <w:rsid w:val="00DC4752"/>
    <w:rsid w:val="00DC61E0"/>
    <w:rsid w:val="00DC62BF"/>
    <w:rsid w:val="00DC6AD7"/>
    <w:rsid w:val="00DC6CC4"/>
    <w:rsid w:val="00DC6D54"/>
    <w:rsid w:val="00DC75DA"/>
    <w:rsid w:val="00DD0389"/>
    <w:rsid w:val="00DD09EC"/>
    <w:rsid w:val="00DD1721"/>
    <w:rsid w:val="00DD17F2"/>
    <w:rsid w:val="00DD567D"/>
    <w:rsid w:val="00DD671C"/>
    <w:rsid w:val="00DD6EF0"/>
    <w:rsid w:val="00DE0065"/>
    <w:rsid w:val="00DE110B"/>
    <w:rsid w:val="00DE1389"/>
    <w:rsid w:val="00DE2897"/>
    <w:rsid w:val="00DE2CD0"/>
    <w:rsid w:val="00DE3034"/>
    <w:rsid w:val="00DE3618"/>
    <w:rsid w:val="00DE487E"/>
    <w:rsid w:val="00DE5B4E"/>
    <w:rsid w:val="00DE6B5B"/>
    <w:rsid w:val="00DE772C"/>
    <w:rsid w:val="00DE7750"/>
    <w:rsid w:val="00DE7A07"/>
    <w:rsid w:val="00DE7F47"/>
    <w:rsid w:val="00DF1325"/>
    <w:rsid w:val="00DF1473"/>
    <w:rsid w:val="00DF278B"/>
    <w:rsid w:val="00DF27D6"/>
    <w:rsid w:val="00DF2ECE"/>
    <w:rsid w:val="00DF32BE"/>
    <w:rsid w:val="00DF3D4B"/>
    <w:rsid w:val="00DF4E6A"/>
    <w:rsid w:val="00DF68E4"/>
    <w:rsid w:val="00DF784E"/>
    <w:rsid w:val="00E0035A"/>
    <w:rsid w:val="00E0036C"/>
    <w:rsid w:val="00E020FF"/>
    <w:rsid w:val="00E03196"/>
    <w:rsid w:val="00E03720"/>
    <w:rsid w:val="00E0448C"/>
    <w:rsid w:val="00E045A2"/>
    <w:rsid w:val="00E0484C"/>
    <w:rsid w:val="00E04AA9"/>
    <w:rsid w:val="00E04B62"/>
    <w:rsid w:val="00E04B70"/>
    <w:rsid w:val="00E0665A"/>
    <w:rsid w:val="00E07C52"/>
    <w:rsid w:val="00E118D9"/>
    <w:rsid w:val="00E12154"/>
    <w:rsid w:val="00E1311C"/>
    <w:rsid w:val="00E133DE"/>
    <w:rsid w:val="00E13A74"/>
    <w:rsid w:val="00E14A23"/>
    <w:rsid w:val="00E14BE6"/>
    <w:rsid w:val="00E15697"/>
    <w:rsid w:val="00E15729"/>
    <w:rsid w:val="00E157C2"/>
    <w:rsid w:val="00E17179"/>
    <w:rsid w:val="00E172F4"/>
    <w:rsid w:val="00E17ACE"/>
    <w:rsid w:val="00E21570"/>
    <w:rsid w:val="00E21BEF"/>
    <w:rsid w:val="00E233CF"/>
    <w:rsid w:val="00E23692"/>
    <w:rsid w:val="00E239F5"/>
    <w:rsid w:val="00E24101"/>
    <w:rsid w:val="00E249DE"/>
    <w:rsid w:val="00E256FE"/>
    <w:rsid w:val="00E25FE9"/>
    <w:rsid w:val="00E2780F"/>
    <w:rsid w:val="00E3004A"/>
    <w:rsid w:val="00E30707"/>
    <w:rsid w:val="00E30DB7"/>
    <w:rsid w:val="00E310C2"/>
    <w:rsid w:val="00E31E75"/>
    <w:rsid w:val="00E32702"/>
    <w:rsid w:val="00E33140"/>
    <w:rsid w:val="00E334A5"/>
    <w:rsid w:val="00E33DF6"/>
    <w:rsid w:val="00E350F2"/>
    <w:rsid w:val="00E36361"/>
    <w:rsid w:val="00E36BFA"/>
    <w:rsid w:val="00E406AC"/>
    <w:rsid w:val="00E4117F"/>
    <w:rsid w:val="00E424DB"/>
    <w:rsid w:val="00E426D3"/>
    <w:rsid w:val="00E42948"/>
    <w:rsid w:val="00E43CD3"/>
    <w:rsid w:val="00E43DA8"/>
    <w:rsid w:val="00E45B40"/>
    <w:rsid w:val="00E45D8A"/>
    <w:rsid w:val="00E467BA"/>
    <w:rsid w:val="00E46D03"/>
    <w:rsid w:val="00E5049C"/>
    <w:rsid w:val="00E51581"/>
    <w:rsid w:val="00E519F5"/>
    <w:rsid w:val="00E523E9"/>
    <w:rsid w:val="00E5334F"/>
    <w:rsid w:val="00E540A1"/>
    <w:rsid w:val="00E540EC"/>
    <w:rsid w:val="00E54600"/>
    <w:rsid w:val="00E551CA"/>
    <w:rsid w:val="00E55B3A"/>
    <w:rsid w:val="00E55B4F"/>
    <w:rsid w:val="00E56A62"/>
    <w:rsid w:val="00E576F5"/>
    <w:rsid w:val="00E609D7"/>
    <w:rsid w:val="00E610AB"/>
    <w:rsid w:val="00E611F9"/>
    <w:rsid w:val="00E61991"/>
    <w:rsid w:val="00E61CFA"/>
    <w:rsid w:val="00E624DE"/>
    <w:rsid w:val="00E626B1"/>
    <w:rsid w:val="00E62C41"/>
    <w:rsid w:val="00E632FB"/>
    <w:rsid w:val="00E63354"/>
    <w:rsid w:val="00E64247"/>
    <w:rsid w:val="00E64B40"/>
    <w:rsid w:val="00E64BD6"/>
    <w:rsid w:val="00E651B5"/>
    <w:rsid w:val="00E65656"/>
    <w:rsid w:val="00E6614C"/>
    <w:rsid w:val="00E66D11"/>
    <w:rsid w:val="00E672E0"/>
    <w:rsid w:val="00E67793"/>
    <w:rsid w:val="00E70640"/>
    <w:rsid w:val="00E70B7C"/>
    <w:rsid w:val="00E71487"/>
    <w:rsid w:val="00E71D62"/>
    <w:rsid w:val="00E71DD1"/>
    <w:rsid w:val="00E727EB"/>
    <w:rsid w:val="00E729A9"/>
    <w:rsid w:val="00E729F7"/>
    <w:rsid w:val="00E72C44"/>
    <w:rsid w:val="00E73421"/>
    <w:rsid w:val="00E73B17"/>
    <w:rsid w:val="00E74056"/>
    <w:rsid w:val="00E74343"/>
    <w:rsid w:val="00E755C0"/>
    <w:rsid w:val="00E75717"/>
    <w:rsid w:val="00E77845"/>
    <w:rsid w:val="00E7788A"/>
    <w:rsid w:val="00E8041A"/>
    <w:rsid w:val="00E80576"/>
    <w:rsid w:val="00E80B05"/>
    <w:rsid w:val="00E812BC"/>
    <w:rsid w:val="00E813F1"/>
    <w:rsid w:val="00E814B3"/>
    <w:rsid w:val="00E81DB1"/>
    <w:rsid w:val="00E81FE9"/>
    <w:rsid w:val="00E8264B"/>
    <w:rsid w:val="00E82B93"/>
    <w:rsid w:val="00E82CCB"/>
    <w:rsid w:val="00E83636"/>
    <w:rsid w:val="00E83658"/>
    <w:rsid w:val="00E838B5"/>
    <w:rsid w:val="00E83DC9"/>
    <w:rsid w:val="00E84AA0"/>
    <w:rsid w:val="00E84CB2"/>
    <w:rsid w:val="00E84E82"/>
    <w:rsid w:val="00E856E9"/>
    <w:rsid w:val="00E879FF"/>
    <w:rsid w:val="00E87F95"/>
    <w:rsid w:val="00E903C0"/>
    <w:rsid w:val="00E90517"/>
    <w:rsid w:val="00E90BE0"/>
    <w:rsid w:val="00E9112E"/>
    <w:rsid w:val="00E915DA"/>
    <w:rsid w:val="00E91A5B"/>
    <w:rsid w:val="00E926EE"/>
    <w:rsid w:val="00E92E91"/>
    <w:rsid w:val="00E93C61"/>
    <w:rsid w:val="00E93F7E"/>
    <w:rsid w:val="00E94269"/>
    <w:rsid w:val="00E9579B"/>
    <w:rsid w:val="00E957BA"/>
    <w:rsid w:val="00E9689E"/>
    <w:rsid w:val="00E969CB"/>
    <w:rsid w:val="00E96B04"/>
    <w:rsid w:val="00E9750C"/>
    <w:rsid w:val="00E97793"/>
    <w:rsid w:val="00EA03EC"/>
    <w:rsid w:val="00EA076E"/>
    <w:rsid w:val="00EA092A"/>
    <w:rsid w:val="00EA0C7B"/>
    <w:rsid w:val="00EA0D4A"/>
    <w:rsid w:val="00EA1215"/>
    <w:rsid w:val="00EA15A7"/>
    <w:rsid w:val="00EA19CB"/>
    <w:rsid w:val="00EA1AE3"/>
    <w:rsid w:val="00EA2856"/>
    <w:rsid w:val="00EA2AA0"/>
    <w:rsid w:val="00EA5608"/>
    <w:rsid w:val="00EA5CF6"/>
    <w:rsid w:val="00EA61E9"/>
    <w:rsid w:val="00EA66CA"/>
    <w:rsid w:val="00EB033E"/>
    <w:rsid w:val="00EB126C"/>
    <w:rsid w:val="00EB12F6"/>
    <w:rsid w:val="00EB13DD"/>
    <w:rsid w:val="00EB197A"/>
    <w:rsid w:val="00EB1AE0"/>
    <w:rsid w:val="00EB2075"/>
    <w:rsid w:val="00EB2BB3"/>
    <w:rsid w:val="00EB2F0A"/>
    <w:rsid w:val="00EB3200"/>
    <w:rsid w:val="00EB454E"/>
    <w:rsid w:val="00EB5918"/>
    <w:rsid w:val="00EB5B44"/>
    <w:rsid w:val="00EB6979"/>
    <w:rsid w:val="00EB6F03"/>
    <w:rsid w:val="00EB741A"/>
    <w:rsid w:val="00EB7A12"/>
    <w:rsid w:val="00EB7DA8"/>
    <w:rsid w:val="00EC0462"/>
    <w:rsid w:val="00EC130F"/>
    <w:rsid w:val="00EC1FA1"/>
    <w:rsid w:val="00EC261A"/>
    <w:rsid w:val="00EC2628"/>
    <w:rsid w:val="00EC2A4F"/>
    <w:rsid w:val="00EC46B6"/>
    <w:rsid w:val="00EC4893"/>
    <w:rsid w:val="00EC49B1"/>
    <w:rsid w:val="00EC4F4E"/>
    <w:rsid w:val="00EC56BD"/>
    <w:rsid w:val="00EC572A"/>
    <w:rsid w:val="00EC5C92"/>
    <w:rsid w:val="00EC7101"/>
    <w:rsid w:val="00EC74D5"/>
    <w:rsid w:val="00EC7E7E"/>
    <w:rsid w:val="00ED01E2"/>
    <w:rsid w:val="00ED0480"/>
    <w:rsid w:val="00ED0F9A"/>
    <w:rsid w:val="00ED116E"/>
    <w:rsid w:val="00ED1208"/>
    <w:rsid w:val="00ED13E2"/>
    <w:rsid w:val="00ED1678"/>
    <w:rsid w:val="00ED2762"/>
    <w:rsid w:val="00ED315D"/>
    <w:rsid w:val="00ED393E"/>
    <w:rsid w:val="00ED3DD7"/>
    <w:rsid w:val="00ED4CA3"/>
    <w:rsid w:val="00ED5156"/>
    <w:rsid w:val="00ED57E8"/>
    <w:rsid w:val="00ED586F"/>
    <w:rsid w:val="00ED597E"/>
    <w:rsid w:val="00ED5BC5"/>
    <w:rsid w:val="00ED5DA2"/>
    <w:rsid w:val="00ED6402"/>
    <w:rsid w:val="00ED6832"/>
    <w:rsid w:val="00ED6D23"/>
    <w:rsid w:val="00ED7E5A"/>
    <w:rsid w:val="00EE16EC"/>
    <w:rsid w:val="00EE2C08"/>
    <w:rsid w:val="00EE2C11"/>
    <w:rsid w:val="00EE3208"/>
    <w:rsid w:val="00EE36A5"/>
    <w:rsid w:val="00EE3928"/>
    <w:rsid w:val="00EE3DC1"/>
    <w:rsid w:val="00EE3EA2"/>
    <w:rsid w:val="00EE4EEB"/>
    <w:rsid w:val="00EE4F41"/>
    <w:rsid w:val="00EE51B4"/>
    <w:rsid w:val="00EE55F2"/>
    <w:rsid w:val="00EE5612"/>
    <w:rsid w:val="00EE5A7A"/>
    <w:rsid w:val="00EE5DA1"/>
    <w:rsid w:val="00EE7671"/>
    <w:rsid w:val="00EF075E"/>
    <w:rsid w:val="00EF12C8"/>
    <w:rsid w:val="00EF1B78"/>
    <w:rsid w:val="00EF3F03"/>
    <w:rsid w:val="00EF406E"/>
    <w:rsid w:val="00EF527A"/>
    <w:rsid w:val="00EF59A0"/>
    <w:rsid w:val="00EF5A8A"/>
    <w:rsid w:val="00EF6196"/>
    <w:rsid w:val="00EF6437"/>
    <w:rsid w:val="00EF7513"/>
    <w:rsid w:val="00EF7C19"/>
    <w:rsid w:val="00F001C6"/>
    <w:rsid w:val="00F00D2C"/>
    <w:rsid w:val="00F00E95"/>
    <w:rsid w:val="00F0143D"/>
    <w:rsid w:val="00F0154D"/>
    <w:rsid w:val="00F01C61"/>
    <w:rsid w:val="00F01F0B"/>
    <w:rsid w:val="00F02127"/>
    <w:rsid w:val="00F02EC5"/>
    <w:rsid w:val="00F033DA"/>
    <w:rsid w:val="00F04722"/>
    <w:rsid w:val="00F06279"/>
    <w:rsid w:val="00F06D09"/>
    <w:rsid w:val="00F06DD1"/>
    <w:rsid w:val="00F07642"/>
    <w:rsid w:val="00F07DF2"/>
    <w:rsid w:val="00F10625"/>
    <w:rsid w:val="00F10F7A"/>
    <w:rsid w:val="00F11686"/>
    <w:rsid w:val="00F12F93"/>
    <w:rsid w:val="00F1321C"/>
    <w:rsid w:val="00F1347F"/>
    <w:rsid w:val="00F134F4"/>
    <w:rsid w:val="00F1353E"/>
    <w:rsid w:val="00F13B90"/>
    <w:rsid w:val="00F14370"/>
    <w:rsid w:val="00F14647"/>
    <w:rsid w:val="00F1551A"/>
    <w:rsid w:val="00F15AE6"/>
    <w:rsid w:val="00F15BE1"/>
    <w:rsid w:val="00F15DCD"/>
    <w:rsid w:val="00F1623B"/>
    <w:rsid w:val="00F168C0"/>
    <w:rsid w:val="00F16C8F"/>
    <w:rsid w:val="00F2001E"/>
    <w:rsid w:val="00F202A3"/>
    <w:rsid w:val="00F203E7"/>
    <w:rsid w:val="00F207A5"/>
    <w:rsid w:val="00F218A7"/>
    <w:rsid w:val="00F21C06"/>
    <w:rsid w:val="00F22638"/>
    <w:rsid w:val="00F22CCA"/>
    <w:rsid w:val="00F23924"/>
    <w:rsid w:val="00F2399D"/>
    <w:rsid w:val="00F24076"/>
    <w:rsid w:val="00F247A7"/>
    <w:rsid w:val="00F25B6F"/>
    <w:rsid w:val="00F25B89"/>
    <w:rsid w:val="00F25EFC"/>
    <w:rsid w:val="00F26684"/>
    <w:rsid w:val="00F27669"/>
    <w:rsid w:val="00F27832"/>
    <w:rsid w:val="00F27D92"/>
    <w:rsid w:val="00F30442"/>
    <w:rsid w:val="00F30D95"/>
    <w:rsid w:val="00F31769"/>
    <w:rsid w:val="00F33B71"/>
    <w:rsid w:val="00F346F5"/>
    <w:rsid w:val="00F3544F"/>
    <w:rsid w:val="00F35BB5"/>
    <w:rsid w:val="00F36A20"/>
    <w:rsid w:val="00F36AC2"/>
    <w:rsid w:val="00F37633"/>
    <w:rsid w:val="00F377CF"/>
    <w:rsid w:val="00F4005F"/>
    <w:rsid w:val="00F402EE"/>
    <w:rsid w:val="00F422FE"/>
    <w:rsid w:val="00F429E2"/>
    <w:rsid w:val="00F42CB8"/>
    <w:rsid w:val="00F431FA"/>
    <w:rsid w:val="00F434E4"/>
    <w:rsid w:val="00F449C6"/>
    <w:rsid w:val="00F468E4"/>
    <w:rsid w:val="00F46F36"/>
    <w:rsid w:val="00F47801"/>
    <w:rsid w:val="00F509E6"/>
    <w:rsid w:val="00F52FE3"/>
    <w:rsid w:val="00F532B1"/>
    <w:rsid w:val="00F5346A"/>
    <w:rsid w:val="00F53A25"/>
    <w:rsid w:val="00F542AE"/>
    <w:rsid w:val="00F54DA8"/>
    <w:rsid w:val="00F54FBC"/>
    <w:rsid w:val="00F55978"/>
    <w:rsid w:val="00F55D6F"/>
    <w:rsid w:val="00F56187"/>
    <w:rsid w:val="00F561AC"/>
    <w:rsid w:val="00F57CE0"/>
    <w:rsid w:val="00F604ED"/>
    <w:rsid w:val="00F607DA"/>
    <w:rsid w:val="00F60B14"/>
    <w:rsid w:val="00F619D6"/>
    <w:rsid w:val="00F627B1"/>
    <w:rsid w:val="00F63BC9"/>
    <w:rsid w:val="00F63E0A"/>
    <w:rsid w:val="00F64AE5"/>
    <w:rsid w:val="00F64D97"/>
    <w:rsid w:val="00F65160"/>
    <w:rsid w:val="00F65DD0"/>
    <w:rsid w:val="00F67701"/>
    <w:rsid w:val="00F67CD2"/>
    <w:rsid w:val="00F708F1"/>
    <w:rsid w:val="00F71602"/>
    <w:rsid w:val="00F71DFA"/>
    <w:rsid w:val="00F71E7C"/>
    <w:rsid w:val="00F727BB"/>
    <w:rsid w:val="00F72BF1"/>
    <w:rsid w:val="00F72FF8"/>
    <w:rsid w:val="00F735BC"/>
    <w:rsid w:val="00F7436C"/>
    <w:rsid w:val="00F749A8"/>
    <w:rsid w:val="00F74E3F"/>
    <w:rsid w:val="00F74F36"/>
    <w:rsid w:val="00F74FE7"/>
    <w:rsid w:val="00F753D4"/>
    <w:rsid w:val="00F76DE7"/>
    <w:rsid w:val="00F77371"/>
    <w:rsid w:val="00F774D7"/>
    <w:rsid w:val="00F779A5"/>
    <w:rsid w:val="00F80C3C"/>
    <w:rsid w:val="00F8279D"/>
    <w:rsid w:val="00F8342E"/>
    <w:rsid w:val="00F850CF"/>
    <w:rsid w:val="00F86072"/>
    <w:rsid w:val="00F8738C"/>
    <w:rsid w:val="00F91297"/>
    <w:rsid w:val="00F91353"/>
    <w:rsid w:val="00F9191D"/>
    <w:rsid w:val="00F924FB"/>
    <w:rsid w:val="00F9291E"/>
    <w:rsid w:val="00F93880"/>
    <w:rsid w:val="00F94C82"/>
    <w:rsid w:val="00F9661F"/>
    <w:rsid w:val="00F96817"/>
    <w:rsid w:val="00F96A32"/>
    <w:rsid w:val="00FA0070"/>
    <w:rsid w:val="00FA0CB3"/>
    <w:rsid w:val="00FA0EC5"/>
    <w:rsid w:val="00FA2740"/>
    <w:rsid w:val="00FA3724"/>
    <w:rsid w:val="00FA6263"/>
    <w:rsid w:val="00FA6958"/>
    <w:rsid w:val="00FA797D"/>
    <w:rsid w:val="00FB06BB"/>
    <w:rsid w:val="00FB0D0B"/>
    <w:rsid w:val="00FB1D33"/>
    <w:rsid w:val="00FB27A2"/>
    <w:rsid w:val="00FB2805"/>
    <w:rsid w:val="00FB2F02"/>
    <w:rsid w:val="00FB38C7"/>
    <w:rsid w:val="00FB3F00"/>
    <w:rsid w:val="00FB4622"/>
    <w:rsid w:val="00FB4BBE"/>
    <w:rsid w:val="00FB5968"/>
    <w:rsid w:val="00FB5C01"/>
    <w:rsid w:val="00FB64EA"/>
    <w:rsid w:val="00FB6E3C"/>
    <w:rsid w:val="00FC0AD2"/>
    <w:rsid w:val="00FC0D39"/>
    <w:rsid w:val="00FC0DDC"/>
    <w:rsid w:val="00FC1C3B"/>
    <w:rsid w:val="00FC344E"/>
    <w:rsid w:val="00FC4410"/>
    <w:rsid w:val="00FC4803"/>
    <w:rsid w:val="00FC50B1"/>
    <w:rsid w:val="00FC6904"/>
    <w:rsid w:val="00FC6A1C"/>
    <w:rsid w:val="00FC7C82"/>
    <w:rsid w:val="00FD1020"/>
    <w:rsid w:val="00FD117D"/>
    <w:rsid w:val="00FD1285"/>
    <w:rsid w:val="00FD3EF1"/>
    <w:rsid w:val="00FD3F14"/>
    <w:rsid w:val="00FD49EC"/>
    <w:rsid w:val="00FD4D65"/>
    <w:rsid w:val="00FD5429"/>
    <w:rsid w:val="00FD64CC"/>
    <w:rsid w:val="00FD67ED"/>
    <w:rsid w:val="00FD6A8D"/>
    <w:rsid w:val="00FD749A"/>
    <w:rsid w:val="00FE0073"/>
    <w:rsid w:val="00FE1174"/>
    <w:rsid w:val="00FE2058"/>
    <w:rsid w:val="00FE246F"/>
    <w:rsid w:val="00FE249E"/>
    <w:rsid w:val="00FE2535"/>
    <w:rsid w:val="00FE2CBA"/>
    <w:rsid w:val="00FE30FC"/>
    <w:rsid w:val="00FE31A5"/>
    <w:rsid w:val="00FE35DC"/>
    <w:rsid w:val="00FE4411"/>
    <w:rsid w:val="00FE493D"/>
    <w:rsid w:val="00FE56A6"/>
    <w:rsid w:val="00FE595E"/>
    <w:rsid w:val="00FE719D"/>
    <w:rsid w:val="00FE7320"/>
    <w:rsid w:val="00FE7A5B"/>
    <w:rsid w:val="00FF0330"/>
    <w:rsid w:val="00FF212F"/>
    <w:rsid w:val="00FF3F27"/>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682F"/>
  <w15:chartTrackingRefBased/>
  <w15:docId w15:val="{5362960F-670C-4DC0-A6C5-26385386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A0"/>
  </w:style>
  <w:style w:type="paragraph" w:styleId="Footer">
    <w:name w:val="footer"/>
    <w:basedOn w:val="Normal"/>
    <w:link w:val="FooterChar"/>
    <w:uiPriority w:val="99"/>
    <w:unhideWhenUsed/>
    <w:rsid w:val="0028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A0"/>
  </w:style>
  <w:style w:type="paragraph" w:styleId="NoSpacing">
    <w:name w:val="No Spacing"/>
    <w:uiPriority w:val="1"/>
    <w:qFormat/>
    <w:rsid w:val="00286AA0"/>
    <w:pPr>
      <w:spacing w:after="0" w:line="240" w:lineRule="auto"/>
    </w:pPr>
  </w:style>
  <w:style w:type="paragraph" w:styleId="FootnoteText">
    <w:name w:val="footnote text"/>
    <w:aliases w:val="ALTS FOOTNOTE,Char,FOOTNOTES,Footnote Text Char1 Char Char,Footnote Text Char1 Char Char Char Char,Footnote Text Char2 Char,Footnote Text Char2 Char Char Char,Footnote Text Char2 Char Char Char Char Char,f,fn,footnote text,ft,single space"/>
    <w:basedOn w:val="Normal"/>
    <w:link w:val="FootnoteTextChar"/>
    <w:uiPriority w:val="99"/>
    <w:unhideWhenUsed/>
    <w:qFormat/>
    <w:rsid w:val="00286AA0"/>
    <w:pPr>
      <w:spacing w:after="0" w:line="240" w:lineRule="auto"/>
    </w:pPr>
    <w:rPr>
      <w:sz w:val="20"/>
      <w:szCs w:val="20"/>
    </w:rPr>
  </w:style>
  <w:style w:type="character" w:customStyle="1" w:styleId="FootnoteTextChar">
    <w:name w:val="Footnote Text Char"/>
    <w:aliases w:val="ALTS FOOTNOTE Char1,Char Char1,FOOTNOTES Char1,Footnote Text Char1 Char Char Char1,Footnote Text Char1 Char Char Char Char Char1,Footnote Text Char2 Char Char1,Footnote Text Char2 Char Char Char Char1,f Char1,fn Char1,ft Char"/>
    <w:basedOn w:val="DefaultParagraphFont"/>
    <w:link w:val="FootnoteText"/>
    <w:uiPriority w:val="99"/>
    <w:rsid w:val="00286AA0"/>
    <w:rPr>
      <w:sz w:val="20"/>
      <w:szCs w:val="20"/>
    </w:rPr>
  </w:style>
  <w:style w:type="character" w:styleId="FootnoteReference">
    <w:name w:val="footnote reference"/>
    <w:aliases w:val="ftref,BVI fnr,16 Point,Superscript 6 Point,referencia nota al pie,Footnote Reference Number,Ref,de nota al pie,fr,Used by Word for Help footnote symbols,Car Car Char Car Char Car Car Char Car Char Char,Знак сноски 1,Знак сноски-FN,FO"/>
    <w:basedOn w:val="DefaultParagraphFont"/>
    <w:link w:val="FNRefeCharChar"/>
    <w:uiPriority w:val="99"/>
    <w:unhideWhenUsed/>
    <w:qFormat/>
    <w:rsid w:val="00286AA0"/>
    <w:rPr>
      <w:vertAlign w:val="superscript"/>
    </w:rPr>
  </w:style>
  <w:style w:type="character" w:styleId="CommentReference">
    <w:name w:val="annotation reference"/>
    <w:basedOn w:val="DefaultParagraphFont"/>
    <w:uiPriority w:val="99"/>
    <w:semiHidden/>
    <w:unhideWhenUsed/>
    <w:rsid w:val="00286AA0"/>
    <w:rPr>
      <w:sz w:val="16"/>
      <w:szCs w:val="16"/>
    </w:rPr>
  </w:style>
  <w:style w:type="paragraph" w:styleId="CommentText">
    <w:name w:val="annotation text"/>
    <w:basedOn w:val="Normal"/>
    <w:link w:val="CommentTextChar"/>
    <w:uiPriority w:val="99"/>
    <w:semiHidden/>
    <w:unhideWhenUsed/>
    <w:rsid w:val="00286AA0"/>
    <w:pPr>
      <w:spacing w:line="240" w:lineRule="auto"/>
    </w:pPr>
    <w:rPr>
      <w:sz w:val="20"/>
      <w:szCs w:val="20"/>
    </w:rPr>
  </w:style>
  <w:style w:type="character" w:customStyle="1" w:styleId="CommentTextChar">
    <w:name w:val="Comment Text Char"/>
    <w:basedOn w:val="DefaultParagraphFont"/>
    <w:link w:val="CommentText"/>
    <w:uiPriority w:val="99"/>
    <w:semiHidden/>
    <w:rsid w:val="00286AA0"/>
    <w:rPr>
      <w:sz w:val="20"/>
      <w:szCs w:val="20"/>
    </w:rPr>
  </w:style>
  <w:style w:type="paragraph" w:styleId="BalloonText">
    <w:name w:val="Balloon Text"/>
    <w:basedOn w:val="Normal"/>
    <w:link w:val="BalloonTextChar"/>
    <w:uiPriority w:val="99"/>
    <w:semiHidden/>
    <w:unhideWhenUsed/>
    <w:rsid w:val="0028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A0"/>
    <w:rPr>
      <w:rFonts w:ascii="Segoe UI" w:hAnsi="Segoe UI" w:cs="Segoe UI"/>
      <w:sz w:val="18"/>
      <w:szCs w:val="18"/>
    </w:rPr>
  </w:style>
  <w:style w:type="character" w:styleId="Hyperlink">
    <w:name w:val="Hyperlink"/>
    <w:basedOn w:val="DefaultParagraphFont"/>
    <w:uiPriority w:val="99"/>
    <w:unhideWhenUsed/>
    <w:rsid w:val="00286AA0"/>
    <w:rPr>
      <w:color w:val="0563C1" w:themeColor="hyperlink"/>
      <w:u w:val="single"/>
    </w:rPr>
  </w:style>
  <w:style w:type="paragraph" w:customStyle="1" w:styleId="Default">
    <w:name w:val="Default"/>
    <w:rsid w:val="003E38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38D2"/>
    <w:pPr>
      <w:ind w:left="720"/>
      <w:contextualSpacing/>
    </w:pPr>
  </w:style>
  <w:style w:type="character" w:styleId="Strong">
    <w:name w:val="Strong"/>
    <w:basedOn w:val="DefaultParagraphFont"/>
    <w:uiPriority w:val="22"/>
    <w:qFormat/>
    <w:rsid w:val="003E38D2"/>
    <w:rPr>
      <w:b/>
      <w:bCs/>
    </w:rPr>
  </w:style>
  <w:style w:type="character" w:styleId="Emphasis">
    <w:name w:val="Emphasis"/>
    <w:basedOn w:val="DefaultParagraphFont"/>
    <w:uiPriority w:val="20"/>
    <w:qFormat/>
    <w:rsid w:val="003E38D2"/>
    <w:rPr>
      <w:i/>
      <w:iCs/>
    </w:rPr>
  </w:style>
  <w:style w:type="paragraph" w:customStyle="1" w:styleId="blurb-text">
    <w:name w:val="blurb-text"/>
    <w:basedOn w:val="Normal"/>
    <w:rsid w:val="003E3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tns-c1-0">
    <w:name w:val="ng-tns-c1-0"/>
    <w:basedOn w:val="DefaultParagraphFont"/>
    <w:rsid w:val="003E38D2"/>
  </w:style>
  <w:style w:type="table" w:styleId="TableGrid">
    <w:name w:val="Table Grid"/>
    <w:basedOn w:val="TableNormal"/>
    <w:uiPriority w:val="39"/>
    <w:rsid w:val="00F9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7CD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53FF"/>
    <w:rPr>
      <w:b/>
      <w:bCs/>
    </w:rPr>
  </w:style>
  <w:style w:type="character" w:customStyle="1" w:styleId="CommentSubjectChar">
    <w:name w:val="Comment Subject Char"/>
    <w:basedOn w:val="CommentTextChar"/>
    <w:link w:val="CommentSubject"/>
    <w:uiPriority w:val="99"/>
    <w:semiHidden/>
    <w:rsid w:val="004A53FF"/>
    <w:rPr>
      <w:b/>
      <w:bCs/>
      <w:sz w:val="20"/>
      <w:szCs w:val="20"/>
    </w:rPr>
  </w:style>
  <w:style w:type="paragraph" w:styleId="Revision">
    <w:name w:val="Revision"/>
    <w:hidden/>
    <w:uiPriority w:val="99"/>
    <w:semiHidden/>
    <w:rsid w:val="002624EE"/>
    <w:pPr>
      <w:spacing w:after="0" w:line="240" w:lineRule="auto"/>
    </w:pPr>
  </w:style>
  <w:style w:type="character" w:customStyle="1" w:styleId="UnresolvedMention2">
    <w:name w:val="Unresolved Mention2"/>
    <w:basedOn w:val="DefaultParagraphFont"/>
    <w:uiPriority w:val="99"/>
    <w:semiHidden/>
    <w:unhideWhenUsed/>
    <w:rsid w:val="000B6E19"/>
    <w:rPr>
      <w:color w:val="605E5C"/>
      <w:shd w:val="clear" w:color="auto" w:fill="E1DFDD"/>
    </w:rPr>
  </w:style>
  <w:style w:type="paragraph" w:styleId="NormalWeb">
    <w:name w:val="Normal (Web)"/>
    <w:basedOn w:val="Normal"/>
    <w:uiPriority w:val="99"/>
    <w:unhideWhenUsed/>
    <w:rsid w:val="00642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E43DA8"/>
    <w:rPr>
      <w:color w:val="605E5C"/>
      <w:shd w:val="clear" w:color="auto" w:fill="E1DFDD"/>
    </w:rPr>
  </w:style>
  <w:style w:type="character" w:customStyle="1" w:styleId="FootnoteTextChar1">
    <w:name w:val="Footnote Text Char1"/>
    <w:aliases w:val="ALTS FOOTNOTE Char,Char Char,FOOTNOTES Char,Footnote Text Char1 Char Char Char,Footnote Text Char1 Char Char Char Char Char,Footnote Text Char2 Char Char,Footnote Text Char2 Char Char Char Char,f Char,fn Char,footnote text Char"/>
    <w:uiPriority w:val="99"/>
    <w:rsid w:val="008F2160"/>
    <w:rPr>
      <w:rFonts w:cs="DejaVu Sans"/>
      <w:sz w:val="18"/>
    </w:rPr>
  </w:style>
  <w:style w:type="paragraph" w:customStyle="1" w:styleId="FNRefeCharChar">
    <w:name w:val="FNRefe Char Char"/>
    <w:aliases w:val="BVI fnr Char Char,BVI fnr Car Car Char Char Char,BVI fnr Car Char Char Char,BVI fnr Car Car Car Car Char Char Char Char Char,BVI fnr Char Char Char, BVI fnr Char Char Char, BVI fnr Car Car Char Char Char"/>
    <w:basedOn w:val="Normal"/>
    <w:link w:val="FootnoteReference"/>
    <w:uiPriority w:val="99"/>
    <w:qFormat/>
    <w:rsid w:val="008F2160"/>
    <w:pPr>
      <w:spacing w:line="240" w:lineRule="exact"/>
    </w:pPr>
    <w:rPr>
      <w:vertAlign w:val="superscript"/>
    </w:rPr>
  </w:style>
  <w:style w:type="character" w:styleId="UnresolvedMention">
    <w:name w:val="Unresolved Mention"/>
    <w:basedOn w:val="DefaultParagraphFont"/>
    <w:uiPriority w:val="99"/>
    <w:semiHidden/>
    <w:unhideWhenUsed/>
    <w:rsid w:val="004A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4256">
      <w:bodyDiv w:val="1"/>
      <w:marLeft w:val="0"/>
      <w:marRight w:val="0"/>
      <w:marTop w:val="0"/>
      <w:marBottom w:val="0"/>
      <w:divBdr>
        <w:top w:val="none" w:sz="0" w:space="0" w:color="auto"/>
        <w:left w:val="none" w:sz="0" w:space="0" w:color="auto"/>
        <w:bottom w:val="none" w:sz="0" w:space="0" w:color="auto"/>
        <w:right w:val="none" w:sz="0" w:space="0" w:color="auto"/>
      </w:divBdr>
    </w:div>
    <w:div w:id="1052074324">
      <w:bodyDiv w:val="1"/>
      <w:marLeft w:val="0"/>
      <w:marRight w:val="0"/>
      <w:marTop w:val="0"/>
      <w:marBottom w:val="0"/>
      <w:divBdr>
        <w:top w:val="none" w:sz="0" w:space="0" w:color="auto"/>
        <w:left w:val="none" w:sz="0" w:space="0" w:color="auto"/>
        <w:bottom w:val="none" w:sz="0" w:space="0" w:color="auto"/>
        <w:right w:val="none" w:sz="0" w:space="0" w:color="auto"/>
      </w:divBdr>
    </w:div>
    <w:div w:id="1072267210">
      <w:bodyDiv w:val="1"/>
      <w:marLeft w:val="0"/>
      <w:marRight w:val="0"/>
      <w:marTop w:val="0"/>
      <w:marBottom w:val="0"/>
      <w:divBdr>
        <w:top w:val="none" w:sz="0" w:space="0" w:color="auto"/>
        <w:left w:val="none" w:sz="0" w:space="0" w:color="auto"/>
        <w:bottom w:val="none" w:sz="0" w:space="0" w:color="auto"/>
        <w:right w:val="none" w:sz="0" w:space="0" w:color="auto"/>
      </w:divBdr>
    </w:div>
    <w:div w:id="1224177430">
      <w:bodyDiv w:val="1"/>
      <w:marLeft w:val="0"/>
      <w:marRight w:val="0"/>
      <w:marTop w:val="0"/>
      <w:marBottom w:val="0"/>
      <w:divBdr>
        <w:top w:val="none" w:sz="0" w:space="0" w:color="auto"/>
        <w:left w:val="none" w:sz="0" w:space="0" w:color="auto"/>
        <w:bottom w:val="none" w:sz="0" w:space="0" w:color="auto"/>
        <w:right w:val="none" w:sz="0" w:space="0" w:color="auto"/>
      </w:divBdr>
    </w:div>
    <w:div w:id="1327127913">
      <w:bodyDiv w:val="1"/>
      <w:marLeft w:val="0"/>
      <w:marRight w:val="0"/>
      <w:marTop w:val="0"/>
      <w:marBottom w:val="0"/>
      <w:divBdr>
        <w:top w:val="none" w:sz="0" w:space="0" w:color="auto"/>
        <w:left w:val="none" w:sz="0" w:space="0" w:color="auto"/>
        <w:bottom w:val="none" w:sz="0" w:space="0" w:color="auto"/>
        <w:right w:val="none" w:sz="0" w:space="0" w:color="auto"/>
      </w:divBdr>
    </w:div>
    <w:div w:id="1391074799">
      <w:bodyDiv w:val="1"/>
      <w:marLeft w:val="0"/>
      <w:marRight w:val="0"/>
      <w:marTop w:val="0"/>
      <w:marBottom w:val="0"/>
      <w:divBdr>
        <w:top w:val="none" w:sz="0" w:space="0" w:color="auto"/>
        <w:left w:val="none" w:sz="0" w:space="0" w:color="auto"/>
        <w:bottom w:val="none" w:sz="0" w:space="0" w:color="auto"/>
        <w:right w:val="none" w:sz="0" w:space="0" w:color="auto"/>
      </w:divBdr>
    </w:div>
    <w:div w:id="1483161173">
      <w:bodyDiv w:val="1"/>
      <w:marLeft w:val="0"/>
      <w:marRight w:val="0"/>
      <w:marTop w:val="0"/>
      <w:marBottom w:val="0"/>
      <w:divBdr>
        <w:top w:val="none" w:sz="0" w:space="0" w:color="auto"/>
        <w:left w:val="none" w:sz="0" w:space="0" w:color="auto"/>
        <w:bottom w:val="none" w:sz="0" w:space="0" w:color="auto"/>
        <w:right w:val="none" w:sz="0" w:space="0" w:color="auto"/>
      </w:divBdr>
    </w:div>
    <w:div w:id="1715538590">
      <w:bodyDiv w:val="1"/>
      <w:marLeft w:val="0"/>
      <w:marRight w:val="0"/>
      <w:marTop w:val="0"/>
      <w:marBottom w:val="0"/>
      <w:divBdr>
        <w:top w:val="none" w:sz="0" w:space="0" w:color="auto"/>
        <w:left w:val="none" w:sz="0" w:space="0" w:color="auto"/>
        <w:bottom w:val="none" w:sz="0" w:space="0" w:color="auto"/>
        <w:right w:val="none" w:sz="0" w:space="0" w:color="auto"/>
      </w:divBdr>
    </w:div>
    <w:div w:id="1797799579">
      <w:bodyDiv w:val="1"/>
      <w:marLeft w:val="0"/>
      <w:marRight w:val="0"/>
      <w:marTop w:val="0"/>
      <w:marBottom w:val="0"/>
      <w:divBdr>
        <w:top w:val="none" w:sz="0" w:space="0" w:color="auto"/>
        <w:left w:val="none" w:sz="0" w:space="0" w:color="auto"/>
        <w:bottom w:val="none" w:sz="0" w:space="0" w:color="auto"/>
        <w:right w:val="none" w:sz="0" w:space="0" w:color="auto"/>
      </w:divBdr>
    </w:div>
    <w:div w:id="1801530249">
      <w:bodyDiv w:val="1"/>
      <w:marLeft w:val="0"/>
      <w:marRight w:val="0"/>
      <w:marTop w:val="0"/>
      <w:marBottom w:val="0"/>
      <w:divBdr>
        <w:top w:val="none" w:sz="0" w:space="0" w:color="auto"/>
        <w:left w:val="none" w:sz="0" w:space="0" w:color="auto"/>
        <w:bottom w:val="none" w:sz="0" w:space="0" w:color="auto"/>
        <w:right w:val="none" w:sz="0" w:space="0" w:color="auto"/>
      </w:divBdr>
    </w:div>
    <w:div w:id="20150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ergypolicy.columbia.edu/research/report/engaging-state-owned-enterprises-climate-action" TargetMode="External"/><Relationship Id="rId21" Type="http://schemas.openxmlformats.org/officeDocument/2006/relationships/hyperlink" Target="https://openknowledge.worldbank.org/handle/10986/3508" TargetMode="External"/><Relationship Id="rId42" Type="http://schemas.openxmlformats.org/officeDocument/2006/relationships/hyperlink" Target="http://dx.doi.org/10.2139/ssrn.2960832" TargetMode="External"/><Relationship Id="rId47" Type="http://schemas.openxmlformats.org/officeDocument/2006/relationships/hyperlink" Target="https://www.regjeringen.no/en/aktuelt/heilskapeleg-plan-for-a-na-klimamalet/id2827600/?expand=factbox2834802" TargetMode="External"/><Relationship Id="rId63" Type="http://schemas.openxmlformats.org/officeDocument/2006/relationships/hyperlink" Target="http://documents.worldbank.org/curated/en/189471550755819133/Beyond-the-Gap-How-Countries-Can-Afford-the-Infrastructure-They-Need-while-Protecting-the-Planet" TargetMode="External"/><Relationship Id="rId68" Type="http://schemas.openxmlformats.org/officeDocument/2006/relationships/hyperlink" Target="https://openknowledge.worldbank.org/handle/10986/5922" TargetMode="External"/><Relationship Id="rId16"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hyperlink" Target="https://www.imf.org/en/Publications/WP/Issues/2019/11/22/Governance-and-State-Owned-Enterprises-How-Costly-is-Corruption-48800" TargetMode="External"/><Relationship Id="rId32" Type="http://schemas.openxmlformats.org/officeDocument/2006/relationships/hyperlink" Target="https://www.wri.org/resources/data-visualizations/world-greenhouse-gas-emissions-2016" TargetMode="External"/><Relationship Id="rId37" Type="http://schemas.openxmlformats.org/officeDocument/2006/relationships/hyperlink" Target="https://blogs.imf.org/2020/05/07/state-owned-enterprises-in-the-time-of-covid-19/" TargetMode="External"/><Relationship Id="rId40" Type="http://schemas.openxmlformats.org/officeDocument/2006/relationships/hyperlink" Target="https://www.smithschool.ox.ac.uk/publications/wpapers/workingpaper20-02.pdf" TargetMode="External"/><Relationship Id="rId45" Type="http://schemas.openxmlformats.org/officeDocument/2006/relationships/hyperlink" Target="https://brill.com/view/journals/clla/7/2-3/article-p97_97.xml?language=en" TargetMode="External"/><Relationship Id="rId53" Type="http://schemas.openxmlformats.org/officeDocument/2006/relationships/hyperlink" Target="https://www.oecd.org/greengrowth/48012345.pdf" TargetMode="External"/><Relationship Id="rId58" Type="http://schemas.openxmlformats.org/officeDocument/2006/relationships/hyperlink" Target="https://doi.org/10.1787/06ff826b-en" TargetMode="External"/><Relationship Id="rId66" Type="http://schemas.openxmlformats.org/officeDocument/2006/relationships/hyperlink" Target="https://www.reuters.com/business/energy/chinas-new-coal-power-plant-capacity-2020-more-than-3-times-rest-worlds-study-2021-02-03/" TargetMode="External"/><Relationship Id="rId74" Type="http://schemas.openxmlformats.org/officeDocument/2006/relationships/hyperlink" Target="https://openknowledge.worldbank.org/handle/10986/34961"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ourworldindata.org/co2-and-other-greenhouse-gas-emissions"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openknowledge.worldbank.org/handle/10986/34917" TargetMode="External"/><Relationship Id="rId27" Type="http://schemas.openxmlformats.org/officeDocument/2006/relationships/hyperlink" Target="http://www.ipsnews.net/2020/09/making-state-owned-enterprises-work-for-climate-in-china-and-beyond/" TargetMode="External"/><Relationship Id="rId30" Type="http://schemas.openxmlformats.org/officeDocument/2006/relationships/hyperlink" Target="https://www.iisd.org/publications/crossroads-balancing-financial-and-social-costs-coal-transition-china" TargetMode="External"/><Relationship Id="rId35" Type="http://schemas.openxmlformats.org/officeDocument/2006/relationships/hyperlink" Target="https://www.kmu.gov.ua/en/reformi/ekonomichne-zrostannya/reforma-energetichnogo-sektoru" TargetMode="External"/><Relationship Id="rId43" Type="http://schemas.openxmlformats.org/officeDocument/2006/relationships/hyperlink" Target="http://eprints.soas.ac.uk/26045" TargetMode="External"/><Relationship Id="rId48" Type="http://schemas.openxmlformats.org/officeDocument/2006/relationships/hyperlink" Target="https://www.government.se/reports/2020/09/annual-report-for-state-owned-enterprises-2019/" TargetMode="External"/><Relationship Id="rId56" Type="http://schemas.openxmlformats.org/officeDocument/2006/relationships/hyperlink" Target="https://www.oecd.org/fossil-fuels/publication/update-progress-reform-fossil-fuel-subsidies-g20.pdf" TargetMode="External"/><Relationship Id="rId64" Type="http://schemas.openxmlformats.org/officeDocument/2006/relationships/hyperlink" Target="http://documents1.worldbank.org/curated/en/349001468197334987/pdf/WPS7483.pdf" TargetMode="External"/><Relationship Id="rId69" Type="http://schemas.openxmlformats.org/officeDocument/2006/relationships/hyperlink" Target="https://www.unep.org/resources/adaptation-gap-report-2020" TargetMode="External"/><Relationship Id="rId77" Type="http://schemas.openxmlformats.org/officeDocument/2006/relationships/hyperlink" Target="https://www.wri.org/resources/data-visualizations/world-greenhouse-gas-emissions-2016" TargetMode="External"/><Relationship Id="rId8" Type="http://schemas.openxmlformats.org/officeDocument/2006/relationships/webSettings" Target="webSettings.xml"/><Relationship Id="rId51" Type="http://schemas.openxmlformats.org/officeDocument/2006/relationships/hyperlink" Target="http://www.oecd.org/corporate/guidelines-corporate-governance-SOEs.htm" TargetMode="External"/><Relationship Id="rId72" Type="http://schemas.openxmlformats.org/officeDocument/2006/relationships/hyperlink" Target="https://www.unep.org/emissions-gap-report-2020" TargetMode="External"/><Relationship Id="rId80"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imf.org/en/Publications/WP/Issues/2020/09/25/Managing-Fiscal-Risks-from-State-Owned-Enterprises-49773" TargetMode="External"/><Relationship Id="rId33" Type="http://schemas.openxmlformats.org/officeDocument/2006/relationships/hyperlink" Target="https://www.iisd.org/system/files/publications/cph_trade_climate_border_carbon.pdf" TargetMode="External"/><Relationship Id="rId38" Type="http://schemas.openxmlformats.org/officeDocument/2006/relationships/hyperlink" Target="https://doi.org/10.1007/978-3-030-39066-2_14" TargetMode="External"/><Relationship Id="rId46" Type="http://schemas.openxmlformats.org/officeDocument/2006/relationships/hyperlink" Target="https://www.mckinsey.com/industries/oil-and-gas/our-insights/the-big-choices-for-oil-and-gas-in-navigating-the-energy-transition" TargetMode="External"/><Relationship Id="rId59" Type="http://schemas.openxmlformats.org/officeDocument/2006/relationships/hyperlink" Target="https://ppi.worldbank.org/en/ppi" TargetMode="External"/><Relationship Id="rId67" Type="http://schemas.openxmlformats.org/officeDocument/2006/relationships/hyperlink" Target="http://www.sasac.gov.cn/n85881/n85921/n85936/c358206/content.html" TargetMode="External"/><Relationship Id="rId20" Type="http://schemas.openxmlformats.org/officeDocument/2006/relationships/hyperlink" Target="https://www.lse.ac.uk/granthaminstitute/publication/carbon-taxes-path-dependency-and-directed-technical-change-evidence-from-the-auto-industry-working-paper-102/" TargetMode="External"/><Relationship Id="rId41" Type="http://schemas.openxmlformats.org/officeDocument/2006/relationships/hyperlink" Target="https://ssrn.com/abstract=2960832" TargetMode="External"/><Relationship Id="rId54" Type="http://schemas.openxmlformats.org/officeDocument/2006/relationships/hyperlink" Target="http://www.oecd.org/daf/ca/soemarket.htm" TargetMode="External"/><Relationship Id="rId62" Type="http://schemas.openxmlformats.org/officeDocument/2006/relationships/hyperlink" Target="https://www.oecd.org/cgfi/resources/Green-Finance-and-Investment-Insights-Energy-Sector-SOEs-You-Have-the-Power.pdf" TargetMode="External"/><Relationship Id="rId70" Type="http://schemas.openxmlformats.org/officeDocument/2006/relationships/hyperlink" Target="https://www.unep.org/news-and-stories/press-release/global-leaders-call-urgent-action-climate-adaptation-commission" TargetMode="External"/><Relationship Id="rId75" Type="http://schemas.openxmlformats.org/officeDocument/2006/relationships/hyperlink" Target="https://www.ifc.org/wps/wcm/connect/9882a886-10ba-4d4c-bff8-e0efe0457a93/WBG_SOE_Leadership_Toolkit.pdf?MOD=AJPERES&amp;CVID=nEmMOp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dx.doi.org/10.22617/TCS200201-2" TargetMode="External"/><Relationship Id="rId28" Type="http://schemas.openxmlformats.org/officeDocument/2006/relationships/hyperlink" Target="https://carbontracker.org/reports/the-skys-the-limit-solar-wind/" TargetMode="External"/><Relationship Id="rId36" Type="http://schemas.openxmlformats.org/officeDocument/2006/relationships/hyperlink" Target="https://www.climatebonds.net/resources/reports/nordic-and-baltic-public-sector-green-bonds" TargetMode="External"/><Relationship Id="rId49" Type="http://schemas.openxmlformats.org/officeDocument/2006/relationships/hyperlink" Target="file:///C:/Users/wb114542/Downloads/0893318911415600.pdf" TargetMode="External"/><Relationship Id="rId57" Type="http://schemas.openxmlformats.org/officeDocument/2006/relationships/hyperlink" Target="https://ourworldindata.org/co2-and-other-greenhouse-gas-emissions" TargetMode="External"/><Relationship Id="rId10" Type="http://schemas.openxmlformats.org/officeDocument/2006/relationships/endnotes" Target="endnotes.xml"/><Relationship Id="rId31" Type="http://schemas.openxmlformats.org/officeDocument/2006/relationships/hyperlink" Target="https://www.bu.edu/cgef/" TargetMode="External"/><Relationship Id="rId44" Type="http://schemas.openxmlformats.org/officeDocument/2006/relationships/hyperlink" Target="https://www.malaysiaairlines.com/cn/en/news-article/2021/malaysia-aviation-group-launched-sustainability-blueprint.html" TargetMode="External"/><Relationship Id="rId52" Type="http://schemas.openxmlformats.org/officeDocument/2006/relationships/hyperlink" Target="https://doi.org/10.1787/4caa0c3b-en" TargetMode="External"/><Relationship Id="rId60" Type="http://schemas.openxmlformats.org/officeDocument/2006/relationships/hyperlink" Target="https://www.pwc.com/gx/en/sovereign-wealth-investment-funds/publications/assets/sovereign-investors-2020.pdf" TargetMode="External"/><Relationship Id="rId65" Type="http://schemas.openxmlformats.org/officeDocument/2006/relationships/hyperlink" Target="https://sciencebasedtargets.org/" TargetMode="External"/><Relationship Id="rId73" Type="http://schemas.openxmlformats.org/officeDocument/2006/relationships/hyperlink" Target="https://www.unep.org/interactive/six-sector-solution-climate-change/"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3.xml"/><Relationship Id="rId39" Type="http://schemas.openxmlformats.org/officeDocument/2006/relationships/hyperlink" Target="http://www.mjilonline.org/the-potential-of-corporate-social-responsibility-a-case-study-on-effective-implementation-of-csr-from-denmark/" TargetMode="External"/><Relationship Id="rId34" Type="http://schemas.openxmlformats.org/officeDocument/2006/relationships/hyperlink" Target="https://www.fs-unep-centre.org/global-trends-in-renewable-energy-investment-2020/" TargetMode="External"/><Relationship Id="rId50" Type="http://schemas.openxmlformats.org/officeDocument/2006/relationships/hyperlink" Target="https://doi.org/10.1787/eb61fd29-en" TargetMode="External"/><Relationship Id="rId55" Type="http://schemas.openxmlformats.org/officeDocument/2006/relationships/hyperlink" Target="http://www.oecd.org/corporate/ca/Professionalising-boards-of-directors-of-SOEs.pdf" TargetMode="External"/><Relationship Id="rId76" Type="http://schemas.openxmlformats.org/officeDocument/2006/relationships/hyperlink" Target="https://openknowledge.worldbank.org/handle/10986/20390" TargetMode="External"/><Relationship Id="rId7" Type="http://schemas.openxmlformats.org/officeDocument/2006/relationships/settings" Target="settings.xml"/><Relationship Id="rId71" Type="http://schemas.openxmlformats.org/officeDocument/2006/relationships/hyperlink" Target="https://etrp.wmo.int/pluginfile.php/20838/mod_resource/content/0/Global%20Commission_Report_FINAL.pdf" TargetMode="External"/><Relationship Id="rId2" Type="http://schemas.openxmlformats.org/officeDocument/2006/relationships/customXml" Target="../customXml/item2.xml"/><Relationship Id="rId29" Type="http://schemas.openxmlformats.org/officeDocument/2006/relationships/hyperlink" Target="https://www.lse.ac.uk/granthaminstitute/wp-content/uploads/2016/01/Bowen-et-al-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snoinvest.no/en/about-ny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000081133:Bertha M. Mburugu:bmburugu@worldbank.org;</DocAuthors>
    <Authors xmlns="b99a068c-3844-4a16-badd-77233eea0529">
      <UserInfo>
        <DisplayName>i:0#.w|wb\wb81133</DisplayName>
        <AccountId>8350</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2021-10-06T04:00:00+00:00</DocumentDate>
    <WBDocType xmlns="b99a068c-3844-4a16-badd-77233eea0529">Report</WBDocType>
    <SecurityClassification xmlns="b99a068c-3844-4a16-badd-77233eea0529">Public</SecurityClassification>
    <DeliverableID xmlns="b99a068c-3844-4a16-badd-77233eea0529">DLV0508350</DeliverableID>
    <ProjectID xmlns="b99a068c-3844-4a16-badd-77233eea0529">P175551</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5A96A38D633DE41997AE86EEEBBF244" ma:contentTypeVersion="3" ma:contentTypeDescription="" ma:contentTypeScope="" ma:versionID="91718c011cb0b4aee039198a9f805c8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17EC2AF4-1ABA-41E1-9B42-2C3F7C10D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8BDA3-F528-416D-8E42-D17202E7EE28}">
  <ds:schemaRefs>
    <ds:schemaRef ds:uri="http://schemas.microsoft.com/sharepoint/v3/contenttype/forms"/>
  </ds:schemaRefs>
</ds:datastoreItem>
</file>

<file path=customXml/itemProps3.xml><?xml version="1.0" encoding="utf-8"?>
<ds:datastoreItem xmlns:ds="http://schemas.openxmlformats.org/officeDocument/2006/customXml" ds:itemID="{0B63D5E4-AA3F-4F32-A4F5-0948093D1EAF}">
  <ds:schemaRefs>
    <ds:schemaRef ds:uri="http://schemas.openxmlformats.org/officeDocument/2006/bibliography"/>
  </ds:schemaRefs>
</ds:datastoreItem>
</file>

<file path=customXml/itemProps4.xml><?xml version="1.0" encoding="utf-8"?>
<ds:datastoreItem xmlns:ds="http://schemas.openxmlformats.org/officeDocument/2006/customXml" ds:itemID="{BD8CE7B3-9B6B-41D0-8D6B-BEC58FCE28EB}"/>
</file>

<file path=customXml/itemProps5.xml><?xml version="1.0" encoding="utf-8"?>
<ds:datastoreItem xmlns:ds="http://schemas.openxmlformats.org/officeDocument/2006/customXml" ds:itemID="{52D5B200-7572-4AFF-83B9-172773F4D30C}"/>
</file>

<file path=docProps/app.xml><?xml version="1.0" encoding="utf-8"?>
<Properties xmlns="http://schemas.openxmlformats.org/officeDocument/2006/extended-properties" xmlns:vt="http://schemas.openxmlformats.org/officeDocument/2006/docPropsVTypes">
  <Template>Normal.dotm</Template>
  <TotalTime>5</TotalTime>
  <Pages>18</Pages>
  <Words>9861</Words>
  <Characters>56213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STATE-OWNED ENTERPRISES AND CLIMATE ACTION</dc:title>
  <dc:subject/>
  <dc:creator>HP</dc:creator>
  <cp:keywords/>
  <dc:description/>
  <cp:lastModifiedBy>Miria A. Pigato</cp:lastModifiedBy>
  <cp:revision>3</cp:revision>
  <cp:lastPrinted>2021-06-06T04:20:00Z</cp:lastPrinted>
  <dcterms:created xsi:type="dcterms:W3CDTF">2021-09-08T17:32:00Z</dcterms:created>
  <dcterms:modified xsi:type="dcterms:W3CDTF">2021-09-10T12:56:00Z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0x01010054E0FEF4951F9D49A6F48A35419983C700B5A96A38D633DE41997AE86EEEBBF244</vt:lpwstr>
  </property>
  <property fmtid="{D5CDD505-2E9C-101B-9397-08002B2CF9AE}" pid="7" name="WbDocsObjectId">
    <vt:lpwstr/>
  </property>
  <property fmtid="{D5CDD505-2E9C-101B-9397-08002B2CF9AE}" pid="8" name="RatedBy">
    <vt:lpwstr/>
  </property>
  <property fmtid="{D5CDD505-2E9C-101B-9397-08002B2CF9AE}" pid="9" name="IsDocumentTagged">
    <vt:lpwstr/>
  </property>
  <property fmtid="{D5CDD505-2E9C-101B-9397-08002B2CF9AE}" pid="11" name="LikedBy">
    <vt:lpwstr/>
  </property>
  <property fmtid="{D5CDD505-2E9C-101B-9397-08002B2CF9AE}" pid="12" name="SubmitToImageBank">
    <vt:lpwstr>Y</vt:lpwstr>
  </property>
  <property fmtid="{D5CDD505-2E9C-101B-9397-08002B2CF9AE}" pid="16" name="Ratings">
    <vt:lpwstr/>
  </property>
  <property fmtid="{D5CDD505-2E9C-101B-9397-08002B2CF9AE}" pid="17" name="ProofOfDelivery">
    <vt:lpwstr/>
  </property>
</Properties>
</file>