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95370" w14:textId="77777777" w:rsidR="00AF23CF" w:rsidRPr="001C66CB" w:rsidRDefault="00AF23CF" w:rsidP="00B8323C">
      <w:pPr>
        <w:rPr>
          <w:rFonts w:ascii="Calibri" w:eastAsia="Calibri" w:hAnsi="Calibri" w:cs="Aparajita"/>
        </w:rPr>
      </w:pPr>
      <w:bookmarkStart w:id="0" w:name="_GoBack"/>
      <w:bookmarkEnd w:id="0"/>
      <w:r w:rsidRPr="001C66CB">
        <w:rPr>
          <w:rFonts w:ascii="Calibri" w:eastAsia="Calibri" w:hAnsi="Calibri" w:cs="Aparajita"/>
          <w:noProof/>
        </w:rPr>
        <w:drawing>
          <wp:anchor distT="0" distB="0" distL="114300" distR="114300" simplePos="0" relativeHeight="251695104" behindDoc="0" locked="0" layoutInCell="1" allowOverlap="1" wp14:anchorId="2D04177C" wp14:editId="3C892D18">
            <wp:simplePos x="0" y="0"/>
            <wp:positionH relativeFrom="margin">
              <wp:posOffset>-904875</wp:posOffset>
            </wp:positionH>
            <wp:positionV relativeFrom="margin">
              <wp:posOffset>-904875</wp:posOffset>
            </wp:positionV>
            <wp:extent cx="7543596" cy="10670539"/>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596" cy="10670539"/>
                    </a:xfrm>
                    <a:prstGeom prst="rect">
                      <a:avLst/>
                    </a:prstGeom>
                  </pic:spPr>
                </pic:pic>
              </a:graphicData>
            </a:graphic>
            <wp14:sizeRelH relativeFrom="page">
              <wp14:pctWidth>0</wp14:pctWidth>
            </wp14:sizeRelH>
            <wp14:sizeRelV relativeFrom="page">
              <wp14:pctHeight>0</wp14:pctHeight>
            </wp14:sizeRelV>
          </wp:anchor>
        </w:drawing>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r w:rsidRPr="001C66CB">
        <w:rPr>
          <w:rFonts w:ascii="Calibri" w:eastAsia="Calibri" w:hAnsi="Calibri" w:cs="Aparajita"/>
        </w:rPr>
        <w:tab/>
      </w:r>
    </w:p>
    <w:p w14:paraId="1CF2B66C" w14:textId="77777777" w:rsidR="00AF23CF" w:rsidRPr="001C66CB" w:rsidRDefault="00AF23CF" w:rsidP="00B8323C">
      <w:pPr>
        <w:rPr>
          <w:rFonts w:ascii="Calibri" w:eastAsia="Calibri" w:hAnsi="Calibri" w:cs="Aparajita"/>
        </w:rPr>
      </w:pPr>
    </w:p>
    <w:p w14:paraId="264D12B2" w14:textId="77777777" w:rsidR="00AF23CF" w:rsidRPr="001C66CB" w:rsidRDefault="00AF23CF" w:rsidP="00B8323C">
      <w:pPr>
        <w:rPr>
          <w:rFonts w:ascii="Calibri" w:eastAsia="Calibri" w:hAnsi="Calibri" w:cs="Aparajita"/>
        </w:rPr>
      </w:pPr>
    </w:p>
    <w:p w14:paraId="75D2F8BF" w14:textId="77777777" w:rsidR="00AF23CF" w:rsidRPr="001C66CB" w:rsidRDefault="00AF23CF" w:rsidP="00B8323C">
      <w:pPr>
        <w:rPr>
          <w:rFonts w:ascii="Calibri" w:eastAsia="Calibri" w:hAnsi="Calibri" w:cs="Aparajita"/>
        </w:rPr>
      </w:pPr>
    </w:p>
    <w:p w14:paraId="399DBF88" w14:textId="77777777" w:rsidR="00AF23CF" w:rsidRPr="001C66CB" w:rsidRDefault="00AF23CF" w:rsidP="00B8323C">
      <w:pPr>
        <w:rPr>
          <w:rFonts w:ascii="Calibri" w:eastAsia="Calibri" w:hAnsi="Calibri" w:cs="Aparajita"/>
        </w:rPr>
      </w:pPr>
      <w:r w:rsidRPr="001C66CB">
        <w:rPr>
          <w:rFonts w:ascii="Calibri" w:eastAsia="Calibri" w:hAnsi="Calibri" w:cs="Aparajita"/>
        </w:rPr>
        <w:br w:type="page"/>
      </w:r>
    </w:p>
    <w:p w14:paraId="73C99FE4" w14:textId="77777777"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lastRenderedPageBreak/>
        <w:t>Report No.</w:t>
      </w:r>
    </w:p>
    <w:p w14:paraId="1907E5B7" w14:textId="77777777" w:rsidR="00AF23CF" w:rsidRPr="001C66CB" w:rsidRDefault="00AF23CF" w:rsidP="00B8323C">
      <w:pPr>
        <w:rPr>
          <w:rFonts w:ascii="Calibri" w:eastAsia="Calibri" w:hAnsi="Calibri" w:cs="Aparajita"/>
        </w:rPr>
      </w:pPr>
    </w:p>
    <w:p w14:paraId="5F0468EF" w14:textId="77777777" w:rsidR="00AF23CF" w:rsidRPr="001C66CB" w:rsidRDefault="00AF23CF" w:rsidP="00B8323C">
      <w:pPr>
        <w:rPr>
          <w:rFonts w:ascii="Calibri" w:eastAsia="Calibri" w:hAnsi="Calibri" w:cs="Aparajita"/>
        </w:rPr>
      </w:pPr>
    </w:p>
    <w:p w14:paraId="167FF559" w14:textId="77777777" w:rsidR="00A940BA" w:rsidRPr="00A940BA" w:rsidRDefault="00A940BA" w:rsidP="00A940BA">
      <w:pPr>
        <w:rPr>
          <w:rFonts w:ascii="Calibri" w:eastAsia="Calibri" w:hAnsi="Calibri" w:cs="Aparajita"/>
          <w:color w:val="8C8D90"/>
        </w:rPr>
      </w:pPr>
      <w:r w:rsidRPr="00A940BA">
        <w:rPr>
          <w:rFonts w:ascii="Calibri" w:eastAsia="Calibri" w:hAnsi="Calibri" w:cs="Aparajita"/>
          <w:color w:val="8C8D90"/>
        </w:rPr>
        <w:t xml:space="preserve">This note is a summary of the reports prepared by the World Bank and funded by the European Commission. </w:t>
      </w:r>
    </w:p>
    <w:p w14:paraId="45F416DF" w14:textId="325969B3" w:rsidR="00A940BA" w:rsidRPr="00A940BA" w:rsidRDefault="00A940BA" w:rsidP="00A940BA">
      <w:pPr>
        <w:widowControl w:val="0"/>
        <w:autoSpaceDE w:val="0"/>
        <w:autoSpaceDN w:val="0"/>
        <w:adjustRightInd w:val="0"/>
        <w:spacing w:before="400"/>
        <w:ind w:right="72"/>
        <w:rPr>
          <w:rFonts w:ascii="Century Gothic" w:eastAsia="Calibri" w:hAnsi="Century Gothic" w:cs="Times New Roman"/>
          <w:b/>
          <w:color w:val="BF454A"/>
        </w:rPr>
      </w:pPr>
      <w:r w:rsidRPr="00A940BA">
        <w:rPr>
          <w:rFonts w:ascii="Century Gothic" w:eastAsia="Calibri" w:hAnsi="Century Gothic" w:cs="Times New Roman"/>
          <w:b/>
          <w:color w:val="BF454A"/>
        </w:rPr>
        <w:t>Contact</w:t>
      </w:r>
      <w:r>
        <w:rPr>
          <w:rFonts w:ascii="Century Gothic" w:eastAsia="Calibri" w:hAnsi="Century Gothic" w:cs="Times New Roman"/>
          <w:b/>
          <w:color w:val="BF454A"/>
        </w:rPr>
        <w:t>s</w:t>
      </w:r>
      <w:r w:rsidRPr="00A940BA">
        <w:rPr>
          <w:rFonts w:ascii="Century Gothic" w:eastAsia="Calibri" w:hAnsi="Century Gothic" w:cs="Times New Roman"/>
          <w:b/>
          <w:color w:val="BF454A"/>
        </w:rPr>
        <w:t xml:space="preserve"> </w:t>
      </w:r>
    </w:p>
    <w:p w14:paraId="27CC5B40" w14:textId="75DFF216" w:rsidR="00AF23CF" w:rsidRPr="00A940BA" w:rsidRDefault="00B93F9B" w:rsidP="00A940BA">
      <w:pPr>
        <w:rPr>
          <w:rFonts w:ascii="Calibri" w:eastAsia="Calibri" w:hAnsi="Calibri" w:cs="Aparajita"/>
          <w:color w:val="8C8D90"/>
        </w:rPr>
      </w:pPr>
      <w:r w:rsidRPr="00B93F9B">
        <w:rPr>
          <w:rFonts w:ascii="Calibri" w:eastAsia="Calibri" w:hAnsi="Calibri" w:cs="Aparajita"/>
          <w:color w:val="8C8D90"/>
        </w:rPr>
        <w:t xml:space="preserve">Bekzod Shamsiev, </w:t>
      </w:r>
      <w:r w:rsidRPr="00A940BA">
        <w:rPr>
          <w:rFonts w:ascii="Calibri" w:eastAsia="Calibri" w:hAnsi="Calibri" w:cs="Aparajita"/>
          <w:color w:val="8C8D90"/>
        </w:rPr>
        <w:t>Senior</w:t>
      </w:r>
      <w:r w:rsidRPr="00B93F9B">
        <w:rPr>
          <w:rFonts w:ascii="Calibri" w:eastAsia="Calibri" w:hAnsi="Calibri" w:cs="Aparajita"/>
          <w:color w:val="8C8D90"/>
        </w:rPr>
        <w:t xml:space="preserve"> Agriculture Economist (bshamsiev@worldbank.org)</w:t>
      </w:r>
    </w:p>
    <w:p w14:paraId="3B2875E2" w14:textId="2B571CB8" w:rsidR="00AF23CF" w:rsidRDefault="00AF23CF" w:rsidP="00B8323C">
      <w:pPr>
        <w:rPr>
          <w:rFonts w:ascii="Calibri" w:eastAsia="Calibri" w:hAnsi="Calibri" w:cs="Aparajita"/>
          <w:b/>
        </w:rPr>
      </w:pPr>
    </w:p>
    <w:p w14:paraId="47F599E2" w14:textId="77777777" w:rsidR="00B93F9B" w:rsidRDefault="00B93F9B" w:rsidP="00B8323C">
      <w:pPr>
        <w:rPr>
          <w:rFonts w:ascii="Calibri" w:eastAsia="Calibri" w:hAnsi="Calibri" w:cs="Aparajita"/>
          <w:b/>
        </w:rPr>
      </w:pPr>
    </w:p>
    <w:p w14:paraId="6E17248F" w14:textId="77777777" w:rsidR="008B3D66" w:rsidRPr="001C66CB" w:rsidRDefault="008B3D66" w:rsidP="00B8323C">
      <w:pPr>
        <w:rPr>
          <w:rFonts w:ascii="Calibri" w:eastAsia="Calibri" w:hAnsi="Calibri" w:cs="Aparajita"/>
          <w:b/>
        </w:rPr>
      </w:pPr>
    </w:p>
    <w:p w14:paraId="1A3F319A" w14:textId="77777777" w:rsidR="00AF23CF" w:rsidRPr="001C66CB" w:rsidRDefault="00AF23CF" w:rsidP="00B8323C">
      <w:pPr>
        <w:autoSpaceDE w:val="0"/>
        <w:autoSpaceDN w:val="0"/>
        <w:adjustRightInd w:val="0"/>
        <w:spacing w:after="0"/>
        <w:rPr>
          <w:rFonts w:ascii="Calibri" w:eastAsia="Calibri" w:hAnsi="Calibri" w:cs="Times New Roman"/>
          <w:color w:val="8C8D90"/>
        </w:rPr>
      </w:pPr>
    </w:p>
    <w:p w14:paraId="055E93E7" w14:textId="59DF230E" w:rsidR="00AF23CF" w:rsidRPr="001C66CB" w:rsidRDefault="00AF23CF" w:rsidP="00B8323C">
      <w:pPr>
        <w:autoSpaceDE w:val="0"/>
        <w:autoSpaceDN w:val="0"/>
        <w:adjustRightInd w:val="0"/>
        <w:spacing w:after="0"/>
        <w:rPr>
          <w:rFonts w:ascii="Calibri" w:eastAsia="Calibri" w:hAnsi="Calibri" w:cs="Times New Roman"/>
          <w:color w:val="8C8D90"/>
        </w:rPr>
      </w:pPr>
      <w:r w:rsidRPr="001C66CB">
        <w:rPr>
          <w:rFonts w:ascii="Calibri" w:eastAsia="Calibri" w:hAnsi="Calibri" w:cs="Times New Roman"/>
          <w:color w:val="8C8D90"/>
        </w:rPr>
        <w:t>© 201</w:t>
      </w:r>
      <w:r>
        <w:rPr>
          <w:rFonts w:ascii="Calibri" w:eastAsia="Calibri" w:hAnsi="Calibri" w:cs="Times New Roman"/>
          <w:color w:val="8C8D90"/>
        </w:rPr>
        <w:t>8</w:t>
      </w:r>
      <w:r w:rsidRPr="001C66CB">
        <w:rPr>
          <w:rFonts w:ascii="Calibri" w:eastAsia="Calibri" w:hAnsi="Calibri" w:cs="Times New Roman"/>
          <w:color w:val="8C8D90"/>
        </w:rPr>
        <w:t xml:space="preserve"> International Bank for Reconstruction and Development / The World Bank </w:t>
      </w:r>
    </w:p>
    <w:p w14:paraId="185CA5D0" w14:textId="77777777" w:rsidR="00AF23CF" w:rsidRPr="001C66CB" w:rsidRDefault="00AF23CF" w:rsidP="00B8323C">
      <w:pPr>
        <w:autoSpaceDE w:val="0"/>
        <w:autoSpaceDN w:val="0"/>
        <w:adjustRightInd w:val="0"/>
        <w:spacing w:after="0"/>
        <w:rPr>
          <w:rFonts w:ascii="Calibri" w:eastAsia="Calibri" w:hAnsi="Calibri" w:cs="Times New Roman"/>
          <w:color w:val="8C8D90"/>
        </w:rPr>
      </w:pPr>
      <w:r w:rsidRPr="001C66CB">
        <w:rPr>
          <w:rFonts w:ascii="Calibri" w:eastAsia="Calibri" w:hAnsi="Calibri" w:cs="Times New Roman"/>
          <w:color w:val="8C8D90"/>
        </w:rPr>
        <w:t xml:space="preserve">1818 H Street NW </w:t>
      </w:r>
    </w:p>
    <w:p w14:paraId="3551EC70" w14:textId="77777777" w:rsidR="00AF23CF" w:rsidRPr="001C66CB" w:rsidRDefault="00AF23CF" w:rsidP="00B8323C">
      <w:pPr>
        <w:autoSpaceDE w:val="0"/>
        <w:autoSpaceDN w:val="0"/>
        <w:adjustRightInd w:val="0"/>
        <w:spacing w:after="0"/>
        <w:rPr>
          <w:rFonts w:ascii="Calibri" w:eastAsia="Calibri" w:hAnsi="Calibri" w:cs="Times New Roman"/>
          <w:color w:val="8C8D90"/>
        </w:rPr>
      </w:pPr>
      <w:r w:rsidRPr="001C66CB">
        <w:rPr>
          <w:rFonts w:ascii="Calibri" w:eastAsia="Calibri" w:hAnsi="Calibri" w:cs="Times New Roman"/>
          <w:color w:val="8C8D90"/>
        </w:rPr>
        <w:t xml:space="preserve">Washington DC 20433 </w:t>
      </w:r>
    </w:p>
    <w:p w14:paraId="22E8504B" w14:textId="77777777" w:rsidR="00AF23CF" w:rsidRPr="001C66CB" w:rsidRDefault="00AF23CF" w:rsidP="00B8323C">
      <w:pPr>
        <w:autoSpaceDE w:val="0"/>
        <w:autoSpaceDN w:val="0"/>
        <w:adjustRightInd w:val="0"/>
        <w:spacing w:after="0"/>
        <w:rPr>
          <w:rFonts w:ascii="Calibri" w:eastAsia="Calibri" w:hAnsi="Calibri" w:cs="Times New Roman"/>
          <w:color w:val="8C8D90"/>
        </w:rPr>
      </w:pPr>
      <w:r w:rsidRPr="001C66CB">
        <w:rPr>
          <w:rFonts w:ascii="Calibri" w:eastAsia="Calibri" w:hAnsi="Calibri" w:cs="Times New Roman"/>
          <w:color w:val="8C8D90"/>
        </w:rPr>
        <w:t xml:space="preserve">Telephone: 202-473-1000 </w:t>
      </w:r>
    </w:p>
    <w:p w14:paraId="455D0B49" w14:textId="77777777"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t xml:space="preserve">Internet: www.worldbank.org </w:t>
      </w:r>
    </w:p>
    <w:p w14:paraId="1D86D8A5" w14:textId="77777777" w:rsidR="00AF23CF" w:rsidRPr="001C66CB" w:rsidRDefault="00AF23CF" w:rsidP="00B8323C">
      <w:pPr>
        <w:autoSpaceDE w:val="0"/>
        <w:autoSpaceDN w:val="0"/>
        <w:adjustRightInd w:val="0"/>
        <w:rPr>
          <w:rFonts w:ascii="Calibri" w:eastAsia="Calibri" w:hAnsi="Calibri" w:cs="Times New Roman"/>
          <w:color w:val="8C8D90"/>
        </w:rPr>
      </w:pPr>
    </w:p>
    <w:p w14:paraId="593205B6" w14:textId="50E960E0"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t>This work is a product o</w:t>
      </w:r>
      <w:r w:rsidR="00337AB6">
        <w:rPr>
          <w:rFonts w:ascii="Calibri" w:eastAsia="Calibri" w:hAnsi="Calibri" w:cs="Times New Roman"/>
          <w:color w:val="8C8D90"/>
        </w:rPr>
        <w:t>f t</w:t>
      </w:r>
      <w:r w:rsidRPr="001C66CB">
        <w:rPr>
          <w:rFonts w:ascii="Calibri" w:eastAsia="Calibri" w:hAnsi="Calibri" w:cs="Times New Roman"/>
          <w:color w:val="8C8D90"/>
        </w:rPr>
        <w:t xml:space="preserve">he staff of The World Bank with external contributions. The findings, interpretations, and conclusions expressed in this work do not necessarily reflect the views of The World Bank, its Board of Executive Directors, or the governments they represent. </w:t>
      </w:r>
    </w:p>
    <w:p w14:paraId="6F11F3CD" w14:textId="77777777"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t xml:space="preserve">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 </w:t>
      </w:r>
    </w:p>
    <w:p w14:paraId="1EC2F3C4" w14:textId="77777777" w:rsidR="00AF23CF" w:rsidRPr="001C66CB" w:rsidRDefault="00AF23CF" w:rsidP="00B8323C">
      <w:pPr>
        <w:widowControl w:val="0"/>
        <w:autoSpaceDE w:val="0"/>
        <w:autoSpaceDN w:val="0"/>
        <w:adjustRightInd w:val="0"/>
        <w:spacing w:before="400"/>
        <w:ind w:right="72"/>
        <w:rPr>
          <w:rFonts w:ascii="Century Gothic" w:eastAsia="Calibri" w:hAnsi="Century Gothic" w:cs="Times New Roman"/>
          <w:b/>
          <w:color w:val="BF454A"/>
        </w:rPr>
      </w:pPr>
      <w:r w:rsidRPr="001C66CB">
        <w:rPr>
          <w:rFonts w:ascii="Century Gothic" w:eastAsia="Calibri" w:hAnsi="Century Gothic" w:cs="Times New Roman"/>
          <w:b/>
          <w:color w:val="BF454A"/>
        </w:rPr>
        <w:t>Right</w:t>
      </w:r>
      <w:r w:rsidRPr="006B2AF5">
        <w:rPr>
          <w:rFonts w:ascii="Century Gothic" w:eastAsia="Calibri" w:hAnsi="Century Gothic" w:cs="Times New Roman"/>
          <w:b/>
          <w:color w:val="BF454A"/>
        </w:rPr>
        <w:t>s and Permission</w:t>
      </w:r>
      <w:r w:rsidRPr="001C66CB">
        <w:rPr>
          <w:rFonts w:ascii="Century Gothic" w:eastAsia="Calibri" w:hAnsi="Century Gothic" w:cs="Times New Roman"/>
          <w:b/>
          <w:color w:val="BF454A"/>
        </w:rPr>
        <w:t xml:space="preserve">s </w:t>
      </w:r>
    </w:p>
    <w:p w14:paraId="380E5615" w14:textId="550C8AD4"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t xml:space="preserve">The material in this work is subject to copyright. Because </w:t>
      </w:r>
      <w:r w:rsidR="00337AB6">
        <w:rPr>
          <w:rFonts w:ascii="Calibri" w:eastAsia="Calibri" w:hAnsi="Calibri" w:cs="Times New Roman"/>
          <w:color w:val="8C8D90"/>
        </w:rPr>
        <w:t>t</w:t>
      </w:r>
      <w:r w:rsidRPr="001C66CB">
        <w:rPr>
          <w:rFonts w:ascii="Calibri" w:eastAsia="Calibri" w:hAnsi="Calibri" w:cs="Times New Roman"/>
          <w:color w:val="8C8D90"/>
        </w:rPr>
        <w:t xml:space="preserve">he World Bank encourages dissemination of its knowledge, this work may be reproduced, in whole or in part, for noncommercial purposes as long as full attribution to this work is given. </w:t>
      </w:r>
    </w:p>
    <w:p w14:paraId="19094018" w14:textId="77777777" w:rsidR="00AF23CF" w:rsidRPr="001C66CB" w:rsidRDefault="00AF23CF" w:rsidP="00B8323C">
      <w:pPr>
        <w:autoSpaceDE w:val="0"/>
        <w:autoSpaceDN w:val="0"/>
        <w:adjustRightInd w:val="0"/>
        <w:rPr>
          <w:rFonts w:ascii="Calibri" w:eastAsia="Calibri" w:hAnsi="Calibri" w:cs="Times New Roman"/>
          <w:color w:val="8C8D90"/>
        </w:rPr>
      </w:pPr>
      <w:r w:rsidRPr="001C66CB">
        <w:rPr>
          <w:rFonts w:ascii="Calibri" w:eastAsia="Calibri" w:hAnsi="Calibri" w:cs="Times New Roman"/>
          <w:color w:val="8C8D90"/>
        </w:rPr>
        <w:t xml:space="preserve">Any queries on rights and licenses, including subsidiary rights, should be addressed to World Bank Publications, The World Bank Group, 1818 H Street NW, Washington, DC 20433, USA; fax: 202-522-2625; e-mail: pubrights@worldbank.org. </w:t>
      </w:r>
    </w:p>
    <w:p w14:paraId="48B8260A" w14:textId="77777777" w:rsidR="00AF23CF" w:rsidRPr="001C66CB" w:rsidRDefault="00AF23CF" w:rsidP="00B8323C">
      <w:pPr>
        <w:rPr>
          <w:rFonts w:ascii="Calibri" w:eastAsia="Calibri" w:hAnsi="Calibri" w:cs="Times New Roman"/>
          <w:lang w:val="en-GB" w:eastAsia="en-GB"/>
        </w:rPr>
      </w:pPr>
    </w:p>
    <w:p w14:paraId="03DC921D" w14:textId="04AB658F" w:rsidR="006B6A79" w:rsidRPr="001E08CE" w:rsidRDefault="006B6A79" w:rsidP="00B8323C">
      <w:pPr>
        <w:pStyle w:val="Heading1"/>
      </w:pPr>
      <w:bookmarkStart w:id="1" w:name="_Toc484775535"/>
      <w:bookmarkStart w:id="2" w:name="_Toc486026464"/>
      <w:bookmarkStart w:id="3" w:name="_Toc510128753"/>
      <w:r w:rsidRPr="001E08CE">
        <w:drawing>
          <wp:anchor distT="0" distB="0" distL="114300" distR="114300" simplePos="0" relativeHeight="251703296" behindDoc="1" locked="0" layoutInCell="1" allowOverlap="1" wp14:anchorId="3FDE1018" wp14:editId="451C2CFA">
            <wp:simplePos x="0" y="0"/>
            <wp:positionH relativeFrom="column">
              <wp:posOffset>-629285</wp:posOffset>
            </wp:positionH>
            <wp:positionV relativeFrom="paragraph">
              <wp:posOffset>-582608</wp:posOffset>
            </wp:positionV>
            <wp:extent cx="1175385" cy="1187450"/>
            <wp:effectExtent l="0" t="0" r="5715" b="0"/>
            <wp:wrapNone/>
            <wp:docPr id="12" name="Picture 12" descr="C:\Users\kaioho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ohon\Desktop\Untitle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5385" cy="11874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r w:rsidR="001E5885" w:rsidRPr="001E5885">
        <w:t>OVERHAULING THE MANAGEMENT OF AGRICULTURE</w:t>
      </w:r>
    </w:p>
    <w:p w14:paraId="47F05286" w14:textId="6CE08F21" w:rsidR="000222AA" w:rsidRDefault="001E5885" w:rsidP="000222AA">
      <w:pPr>
        <w:spacing w:after="100"/>
        <w:rPr>
          <w:rFonts w:cstheme="minorHAnsi"/>
        </w:rPr>
      </w:pPr>
      <w:bookmarkStart w:id="4" w:name="_Toc510128754"/>
      <w:r w:rsidRPr="001E5885">
        <w:rPr>
          <w:rFonts w:cstheme="minorHAnsi"/>
        </w:rPr>
        <w:t>An otherwise bright spot in the Serbian economy the agri-food sector has not benefited from a steady policy environment. Since 2000, the Ministry of Agriculture has had no less than 13 ministers against a backdrop of accession negotiations for European Union membership and ongoing reforms. To make the sector more productive and competitive several actions the Government of Serbia should consider the following</w:t>
      </w:r>
      <w:r w:rsidR="000222AA" w:rsidRPr="000222AA">
        <w:rPr>
          <w:rFonts w:cstheme="minorHAnsi"/>
        </w:rPr>
        <w:t xml:space="preserve">:  </w:t>
      </w:r>
    </w:p>
    <w:p w14:paraId="0DBC64C4" w14:textId="77777777" w:rsidR="001E5885" w:rsidRPr="001E5885" w:rsidRDefault="001E5885" w:rsidP="001E5885">
      <w:pPr>
        <w:pStyle w:val="ListParagraph"/>
        <w:numPr>
          <w:ilvl w:val="0"/>
          <w:numId w:val="57"/>
        </w:numPr>
        <w:spacing w:after="100"/>
        <w:ind w:left="547" w:hanging="547"/>
        <w:contextualSpacing w:val="0"/>
        <w:rPr>
          <w:rFonts w:cstheme="minorHAnsi"/>
        </w:rPr>
      </w:pPr>
      <w:r w:rsidRPr="001E5885">
        <w:rPr>
          <w:rFonts w:cstheme="minorHAnsi"/>
        </w:rPr>
        <w:t xml:space="preserve">Rethinking the role of government in agriculture; </w:t>
      </w:r>
    </w:p>
    <w:p w14:paraId="0F726B2E" w14:textId="77777777" w:rsidR="001E5885" w:rsidRPr="001E5885" w:rsidRDefault="001E5885" w:rsidP="001E5885">
      <w:pPr>
        <w:pStyle w:val="ListParagraph"/>
        <w:numPr>
          <w:ilvl w:val="0"/>
          <w:numId w:val="57"/>
        </w:numPr>
        <w:spacing w:after="100"/>
        <w:ind w:left="547" w:hanging="547"/>
        <w:contextualSpacing w:val="0"/>
        <w:rPr>
          <w:rFonts w:cstheme="minorHAnsi"/>
        </w:rPr>
      </w:pPr>
      <w:r w:rsidRPr="001E5885">
        <w:rPr>
          <w:rFonts w:cstheme="minorHAnsi"/>
        </w:rPr>
        <w:t xml:space="preserve">Mending the broken policy cycle and positioning staff appropriately; and </w:t>
      </w:r>
    </w:p>
    <w:p w14:paraId="33866B20" w14:textId="77777777" w:rsidR="001E5885" w:rsidRPr="001E5885" w:rsidRDefault="001E5885" w:rsidP="001E5885">
      <w:pPr>
        <w:pStyle w:val="ListParagraph"/>
        <w:numPr>
          <w:ilvl w:val="0"/>
          <w:numId w:val="57"/>
        </w:numPr>
        <w:spacing w:after="100"/>
        <w:ind w:left="547" w:hanging="547"/>
        <w:contextualSpacing w:val="0"/>
        <w:rPr>
          <w:rFonts w:cstheme="minorHAnsi"/>
        </w:rPr>
      </w:pPr>
      <w:r w:rsidRPr="001E5885">
        <w:rPr>
          <w:rFonts w:cstheme="minorHAnsi"/>
        </w:rPr>
        <w:t>Addressing data collection storage and use, and decentralizing</w:t>
      </w:r>
    </w:p>
    <w:p w14:paraId="46C872EE" w14:textId="77777777" w:rsidR="001E5885" w:rsidRPr="001E5885" w:rsidRDefault="001E5885" w:rsidP="001E5885">
      <w:pPr>
        <w:pStyle w:val="ListParagraph"/>
        <w:numPr>
          <w:ilvl w:val="0"/>
          <w:numId w:val="57"/>
        </w:numPr>
        <w:spacing w:after="300"/>
        <w:ind w:left="547" w:hanging="547"/>
        <w:contextualSpacing w:val="0"/>
        <w:rPr>
          <w:rFonts w:cstheme="minorHAnsi"/>
        </w:rPr>
      </w:pPr>
      <w:r w:rsidRPr="001E5885">
        <w:rPr>
          <w:rFonts w:cstheme="minorHAnsi"/>
        </w:rPr>
        <w:t xml:space="preserve">Solving the staffing problem and getting the inspection process right  </w:t>
      </w:r>
    </w:p>
    <w:p w14:paraId="4A33C5D5" w14:textId="77777777" w:rsidR="00B7381F" w:rsidRPr="000222AA" w:rsidRDefault="00B7381F" w:rsidP="00DE3ECF">
      <w:pPr>
        <w:pStyle w:val="Heading2"/>
      </w:pPr>
      <w:r w:rsidRPr="000222AA">
        <w:t>Challenges</w:t>
      </w:r>
    </w:p>
    <w:p w14:paraId="62E10416" w14:textId="77777777" w:rsidR="00941254" w:rsidRPr="007C73F3" w:rsidRDefault="00941254" w:rsidP="00941254">
      <w:pPr>
        <w:spacing w:after="100"/>
        <w:rPr>
          <w:rFonts w:cstheme="minorHAnsi"/>
          <w:szCs w:val="24"/>
        </w:rPr>
      </w:pPr>
      <w:r w:rsidRPr="007C73F3">
        <w:rPr>
          <w:rFonts w:cstheme="minorHAnsi"/>
          <w:szCs w:val="24"/>
        </w:rPr>
        <w:t>Key challenges to be addressed include:</w:t>
      </w:r>
    </w:p>
    <w:p w14:paraId="6D669B54" w14:textId="77777777" w:rsidR="00941254" w:rsidRPr="00941254" w:rsidRDefault="00941254" w:rsidP="00941254">
      <w:pPr>
        <w:pStyle w:val="ListParagraph"/>
        <w:numPr>
          <w:ilvl w:val="0"/>
          <w:numId w:val="57"/>
        </w:numPr>
        <w:spacing w:after="100"/>
        <w:ind w:left="547" w:hanging="547"/>
        <w:contextualSpacing w:val="0"/>
        <w:rPr>
          <w:rFonts w:cstheme="minorHAnsi"/>
        </w:rPr>
      </w:pPr>
      <w:r w:rsidRPr="00941254">
        <w:rPr>
          <w:rFonts w:cstheme="minorHAnsi"/>
        </w:rPr>
        <w:t>Rethinking the role of government in agriculture</w:t>
      </w:r>
    </w:p>
    <w:p w14:paraId="1461CF78" w14:textId="77777777" w:rsidR="00941254" w:rsidRPr="00941254" w:rsidRDefault="00941254" w:rsidP="00941254">
      <w:pPr>
        <w:pStyle w:val="ListParagraph"/>
        <w:numPr>
          <w:ilvl w:val="0"/>
          <w:numId w:val="57"/>
        </w:numPr>
        <w:spacing w:after="100"/>
        <w:ind w:left="547" w:hanging="547"/>
        <w:contextualSpacing w:val="0"/>
        <w:rPr>
          <w:rFonts w:cstheme="minorHAnsi"/>
        </w:rPr>
      </w:pPr>
      <w:r w:rsidRPr="00941254">
        <w:rPr>
          <w:rFonts w:cstheme="minorHAnsi"/>
        </w:rPr>
        <w:t>Mending the broken policy cycle, positioning staff appropriately, and straightening the road to Europe</w:t>
      </w:r>
    </w:p>
    <w:p w14:paraId="0760DC14" w14:textId="77777777" w:rsidR="00941254" w:rsidRPr="00941254" w:rsidRDefault="00941254" w:rsidP="00941254">
      <w:pPr>
        <w:pStyle w:val="ListParagraph"/>
        <w:numPr>
          <w:ilvl w:val="0"/>
          <w:numId w:val="57"/>
        </w:numPr>
        <w:spacing w:after="300"/>
        <w:ind w:left="547" w:hanging="547"/>
        <w:contextualSpacing w:val="0"/>
        <w:rPr>
          <w:rFonts w:cstheme="minorHAnsi"/>
        </w:rPr>
      </w:pPr>
      <w:r w:rsidRPr="00941254">
        <w:rPr>
          <w:rFonts w:cstheme="minorHAnsi"/>
        </w:rPr>
        <w:t xml:space="preserve">Addressing data collection, storage and use, and right sizing decentralization </w:t>
      </w:r>
    </w:p>
    <w:p w14:paraId="364F065B" w14:textId="6396B729" w:rsidR="00F30051" w:rsidRDefault="00F30051" w:rsidP="00F30051">
      <w:pPr>
        <w:pStyle w:val="Heading1"/>
        <w:spacing w:after="0"/>
        <w:rPr>
          <w:rFonts w:asciiTheme="minorHAnsi" w:hAnsiTheme="minorHAnsi" w:cstheme="minorHAnsi"/>
          <w:b/>
          <w:sz w:val="26"/>
          <w:szCs w:val="26"/>
        </w:rPr>
      </w:pP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615"/>
        <w:gridCol w:w="7402"/>
      </w:tblGrid>
      <w:tr w:rsidR="00F30051" w14:paraId="6EAB7DEE" w14:textId="77777777" w:rsidTr="00EF7E27">
        <w:tc>
          <w:tcPr>
            <w:tcW w:w="1615" w:type="dxa"/>
            <w:vAlign w:val="center"/>
          </w:tcPr>
          <w:p w14:paraId="44111D80" w14:textId="77777777" w:rsidR="00F30051" w:rsidRDefault="00F30051" w:rsidP="00EF7E27">
            <w:pPr>
              <w:pStyle w:val="ListParagraph"/>
              <w:spacing w:after="0"/>
              <w:ind w:left="0"/>
              <w:contextualSpacing w:val="0"/>
              <w:jc w:val="center"/>
              <w:rPr>
                <w:rFonts w:cs="Aparajita"/>
                <w:b/>
              </w:rPr>
            </w:pPr>
            <w:r>
              <w:rPr>
                <w:rFonts w:cs="Aparajita"/>
                <w:b/>
                <w:noProof/>
              </w:rPr>
              <w:drawing>
                <wp:inline distT="0" distB="0" distL="0" distR="0" wp14:anchorId="440AFC70" wp14:editId="74831A98">
                  <wp:extent cx="638722" cy="641267"/>
                  <wp:effectExtent l="0" t="0" r="0" b="6985"/>
                  <wp:docPr id="4" name="Picture 4" descr="C:\Users\kaioho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ohon\Desktop\Untitle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67" cy="650649"/>
                          </a:xfrm>
                          <a:prstGeom prst="rect">
                            <a:avLst/>
                          </a:prstGeom>
                          <a:noFill/>
                          <a:ln>
                            <a:noFill/>
                          </a:ln>
                        </pic:spPr>
                      </pic:pic>
                    </a:graphicData>
                  </a:graphic>
                </wp:inline>
              </w:drawing>
            </w:r>
          </w:p>
        </w:tc>
        <w:tc>
          <w:tcPr>
            <w:tcW w:w="7402" w:type="dxa"/>
            <w:vAlign w:val="center"/>
          </w:tcPr>
          <w:p w14:paraId="5FA59755" w14:textId="06EB3A83" w:rsidR="00F30051" w:rsidRPr="006E463B" w:rsidRDefault="00F30051" w:rsidP="00EF7E27">
            <w:pPr>
              <w:widowControl w:val="0"/>
              <w:autoSpaceDE w:val="0"/>
              <w:autoSpaceDN w:val="0"/>
              <w:adjustRightInd w:val="0"/>
              <w:spacing w:after="0"/>
              <w:jc w:val="left"/>
              <w:rPr>
                <w:rFonts w:ascii="Andes" w:hAnsi="Andes"/>
                <w:b/>
                <w:bCs/>
                <w:color w:val="06366C"/>
                <w:sz w:val="28"/>
                <w:szCs w:val="28"/>
              </w:rPr>
            </w:pPr>
            <w:r w:rsidRPr="00F30051">
              <w:rPr>
                <w:rFonts w:ascii="Andes" w:hAnsi="Andes"/>
                <w:b/>
                <w:bCs/>
                <w:color w:val="06366C"/>
                <w:sz w:val="28"/>
                <w:szCs w:val="28"/>
              </w:rPr>
              <w:t xml:space="preserve">Rethink </w:t>
            </w:r>
            <w:r>
              <w:rPr>
                <w:rFonts w:ascii="Andes" w:hAnsi="Andes"/>
                <w:b/>
                <w:bCs/>
                <w:color w:val="06366C"/>
                <w:sz w:val="28"/>
                <w:szCs w:val="28"/>
              </w:rPr>
              <w:t>t</w:t>
            </w:r>
            <w:r w:rsidRPr="00F30051">
              <w:rPr>
                <w:rFonts w:ascii="Andes" w:hAnsi="Andes"/>
                <w:b/>
                <w:bCs/>
                <w:color w:val="06366C"/>
                <w:sz w:val="28"/>
                <w:szCs w:val="28"/>
              </w:rPr>
              <w:t xml:space="preserve">he Role </w:t>
            </w:r>
            <w:r>
              <w:rPr>
                <w:rFonts w:ascii="Andes" w:hAnsi="Andes"/>
                <w:b/>
                <w:bCs/>
                <w:color w:val="06366C"/>
                <w:sz w:val="28"/>
                <w:szCs w:val="28"/>
              </w:rPr>
              <w:t>o</w:t>
            </w:r>
            <w:r w:rsidRPr="00F30051">
              <w:rPr>
                <w:rFonts w:ascii="Andes" w:hAnsi="Andes"/>
                <w:b/>
                <w:bCs/>
                <w:color w:val="06366C"/>
                <w:sz w:val="28"/>
                <w:szCs w:val="28"/>
              </w:rPr>
              <w:t xml:space="preserve">f </w:t>
            </w:r>
            <w:r>
              <w:rPr>
                <w:rFonts w:ascii="Andes" w:hAnsi="Andes"/>
                <w:b/>
                <w:bCs/>
                <w:color w:val="06366C"/>
                <w:sz w:val="28"/>
                <w:szCs w:val="28"/>
              </w:rPr>
              <w:t>t</w:t>
            </w:r>
            <w:r w:rsidRPr="00F30051">
              <w:rPr>
                <w:rFonts w:ascii="Andes" w:hAnsi="Andes"/>
                <w:b/>
                <w:bCs/>
                <w:color w:val="06366C"/>
                <w:sz w:val="28"/>
                <w:szCs w:val="28"/>
              </w:rPr>
              <w:t xml:space="preserve">he State </w:t>
            </w:r>
            <w:r>
              <w:rPr>
                <w:rFonts w:ascii="Andes" w:hAnsi="Andes"/>
                <w:b/>
                <w:bCs/>
                <w:color w:val="06366C"/>
                <w:sz w:val="28"/>
                <w:szCs w:val="28"/>
              </w:rPr>
              <w:t>i</w:t>
            </w:r>
            <w:r w:rsidRPr="00F30051">
              <w:rPr>
                <w:rFonts w:ascii="Andes" w:hAnsi="Andes"/>
                <w:b/>
                <w:bCs/>
                <w:color w:val="06366C"/>
                <w:sz w:val="28"/>
                <w:szCs w:val="28"/>
              </w:rPr>
              <w:t xml:space="preserve">n </w:t>
            </w:r>
            <w:r>
              <w:rPr>
                <w:rFonts w:ascii="Andes" w:hAnsi="Andes"/>
                <w:b/>
                <w:bCs/>
                <w:color w:val="06366C"/>
                <w:sz w:val="28"/>
                <w:szCs w:val="28"/>
              </w:rPr>
              <w:t>t</w:t>
            </w:r>
            <w:r w:rsidRPr="00F30051">
              <w:rPr>
                <w:rFonts w:ascii="Andes" w:hAnsi="Andes"/>
                <w:b/>
                <w:bCs/>
                <w:color w:val="06366C"/>
                <w:sz w:val="28"/>
                <w:szCs w:val="28"/>
              </w:rPr>
              <w:t>he Sector</w:t>
            </w:r>
          </w:p>
        </w:tc>
      </w:tr>
    </w:tbl>
    <w:p w14:paraId="27FD862C" w14:textId="77777777" w:rsidR="00F30051" w:rsidRPr="00F30051" w:rsidRDefault="00F30051" w:rsidP="00F30051">
      <w:pPr>
        <w:pStyle w:val="Heading1"/>
        <w:spacing w:after="0"/>
        <w:rPr>
          <w:rFonts w:asciiTheme="minorHAnsi" w:hAnsiTheme="minorHAnsi" w:cstheme="minorHAnsi"/>
          <w:b/>
          <w:sz w:val="26"/>
          <w:szCs w:val="26"/>
        </w:rPr>
      </w:pPr>
    </w:p>
    <w:p w14:paraId="373A3FC1" w14:textId="389E1A0F" w:rsidR="00941254" w:rsidRPr="007C73F3" w:rsidRDefault="00941254" w:rsidP="00941254">
      <w:pPr>
        <w:rPr>
          <w:rFonts w:cstheme="minorHAnsi"/>
          <w:szCs w:val="24"/>
        </w:rPr>
      </w:pPr>
      <w:r w:rsidRPr="007C73F3">
        <w:rPr>
          <w:rFonts w:cstheme="minorHAnsi"/>
          <w:b/>
          <w:szCs w:val="24"/>
        </w:rPr>
        <w:t>European Union governments tend to involve themselves in agriculture in ways they would not in other sectors</w:t>
      </w:r>
      <w:r w:rsidRPr="007C73F3">
        <w:rPr>
          <w:rFonts w:cstheme="minorHAnsi"/>
          <w:szCs w:val="24"/>
        </w:rPr>
        <w:t xml:space="preserve">. This is however restricted to correcting market failures. In Serbia, much of the ministry’s work in the sector involves the management of state-owned land and administration of 170 different types of subsidies ranging from chickens to beehives to fruit saplings (see </w:t>
      </w:r>
      <w:r w:rsidR="00F30051">
        <w:rPr>
          <w:rFonts w:cstheme="minorHAnsi"/>
          <w:szCs w:val="24"/>
        </w:rPr>
        <w:t>F</w:t>
      </w:r>
      <w:r w:rsidRPr="007C73F3">
        <w:rPr>
          <w:rFonts w:cstheme="minorHAnsi"/>
          <w:szCs w:val="24"/>
        </w:rPr>
        <w:t>igure 1).</w:t>
      </w:r>
    </w:p>
    <w:p w14:paraId="142CDA06" w14:textId="77777777" w:rsidR="003E198D" w:rsidRDefault="003E198D">
      <w:pPr>
        <w:spacing w:after="0" w:line="240" w:lineRule="auto"/>
        <w:jc w:val="left"/>
        <w:rPr>
          <w:rFonts w:cstheme="minorHAnsi"/>
          <w:b/>
          <w:szCs w:val="24"/>
        </w:rPr>
      </w:pPr>
      <w:r>
        <w:rPr>
          <w:rFonts w:cstheme="minorHAnsi"/>
          <w:b/>
          <w:szCs w:val="24"/>
        </w:rPr>
        <w:br w:type="page"/>
      </w:r>
    </w:p>
    <w:p w14:paraId="12202DBA" w14:textId="3E45DC68" w:rsidR="003E198D" w:rsidRDefault="003E198D" w:rsidP="003E198D">
      <w:pPr>
        <w:pStyle w:val="Caption"/>
        <w:spacing w:before="0" w:after="100"/>
        <w:ind w:left="0"/>
        <w:rPr>
          <w:rFonts w:asciiTheme="minorHAnsi" w:hAnsiTheme="minorHAnsi"/>
        </w:rPr>
      </w:pPr>
      <w:bookmarkStart w:id="5" w:name="_Toc510129085"/>
      <w:r w:rsidRPr="00603F59">
        <w:rPr>
          <w:rFonts w:asciiTheme="minorHAnsi" w:hAnsiTheme="minorHAnsi" w:cs="Times New Roman"/>
          <w:b/>
          <w:i w:val="0"/>
          <w:sz w:val="24"/>
          <w:szCs w:val="24"/>
        </w:rPr>
        <w:lastRenderedPageBreak/>
        <w:t>Figure</w:t>
      </w:r>
      <w:r>
        <w:rPr>
          <w:rFonts w:asciiTheme="minorHAnsi" w:hAnsiTheme="minorHAnsi" w:cs="Times New Roman"/>
          <w:b/>
          <w:i w:val="0"/>
          <w:sz w:val="24"/>
          <w:szCs w:val="24"/>
        </w:rPr>
        <w:t xml:space="preserve"> </w:t>
      </w:r>
      <w:r>
        <w:rPr>
          <w:rFonts w:asciiTheme="minorHAnsi" w:hAnsiTheme="minorHAnsi"/>
          <w:b/>
          <w:i w:val="0"/>
          <w:sz w:val="24"/>
          <w:szCs w:val="24"/>
        </w:rPr>
        <w:t>1.</w:t>
      </w:r>
      <w:r w:rsidRPr="00603F59">
        <w:rPr>
          <w:rFonts w:asciiTheme="minorHAnsi" w:hAnsiTheme="minorHAnsi" w:cs="Times New Roman"/>
          <w:b/>
          <w:i w:val="0"/>
          <w:sz w:val="24"/>
          <w:szCs w:val="24"/>
        </w:rPr>
        <w:t xml:space="preserve"> </w:t>
      </w:r>
      <w:r w:rsidRPr="003E198D">
        <w:rPr>
          <w:rFonts w:asciiTheme="minorHAnsi" w:hAnsiTheme="minorHAnsi" w:cs="Times New Roman"/>
          <w:b/>
          <w:i w:val="0"/>
          <w:sz w:val="24"/>
          <w:szCs w:val="24"/>
        </w:rPr>
        <w:t xml:space="preserve">Subsidies dominate the ministry’s expenditures </w:t>
      </w:r>
      <w:r>
        <w:rPr>
          <w:rFonts w:asciiTheme="minorHAnsi" w:hAnsiTheme="minorHAnsi" w:cs="Times New Roman"/>
          <w:b/>
          <w:i w:val="0"/>
          <w:sz w:val="24"/>
          <w:szCs w:val="24"/>
        </w:rPr>
        <w:t xml:space="preserve">- </w:t>
      </w:r>
      <w:r w:rsidRPr="00F30961">
        <w:rPr>
          <w:rFonts w:asciiTheme="minorHAnsi" w:hAnsiTheme="minorHAnsi" w:cs="Times New Roman"/>
          <w:b/>
          <w:i w:val="0"/>
          <w:sz w:val="24"/>
          <w:szCs w:val="24"/>
        </w:rPr>
        <w:t>MoAEP Budget Expenditures for 2016</w:t>
      </w:r>
      <w:bookmarkEnd w:id="5"/>
    </w:p>
    <w:p w14:paraId="0A5ECFE1" w14:textId="4A69886F" w:rsidR="00941254" w:rsidRDefault="00941254" w:rsidP="007D1E13">
      <w:pPr>
        <w:spacing w:after="0"/>
        <w:rPr>
          <w:rFonts w:cstheme="minorHAnsi"/>
          <w:szCs w:val="24"/>
        </w:rPr>
      </w:pPr>
      <w:r w:rsidRPr="007C73F3">
        <w:rPr>
          <w:rFonts w:cstheme="minorHAnsi"/>
          <w:noProof/>
          <w:szCs w:val="24"/>
        </w:rPr>
        <w:drawing>
          <wp:inline distT="0" distB="0" distL="0" distR="0" wp14:anchorId="4D0423BF" wp14:editId="2CCFC35C">
            <wp:extent cx="5772150" cy="2371725"/>
            <wp:effectExtent l="0" t="0" r="0" b="0"/>
            <wp:docPr id="3" name="Chart 3">
              <a:extLst xmlns:a="http://schemas.openxmlformats.org/drawingml/2006/main">
                <a:ext uri="{FF2B5EF4-FFF2-40B4-BE49-F238E27FC236}">
                  <a16:creationId xmlns:a16="http://schemas.microsoft.com/office/drawing/2014/main" id="{E6EB8F3E-E64E-47C6-A6AE-D70CE16BB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598F27" w14:textId="77777777" w:rsidR="00941254" w:rsidRPr="00994373" w:rsidRDefault="00941254" w:rsidP="00941254">
      <w:pPr>
        <w:pStyle w:val="Heading3"/>
      </w:pPr>
      <w:r w:rsidRPr="00994373">
        <w:t xml:space="preserve">Policy Priorities </w:t>
      </w:r>
    </w:p>
    <w:p w14:paraId="70D5AFA5" w14:textId="5168D667" w:rsidR="00941254" w:rsidRDefault="00941254" w:rsidP="00941254">
      <w:pPr>
        <w:rPr>
          <w:rFonts w:cstheme="minorHAnsi"/>
          <w:szCs w:val="24"/>
        </w:rPr>
      </w:pPr>
      <w:r w:rsidRPr="007C73F3">
        <w:rPr>
          <w:rFonts w:cstheme="minorHAnsi"/>
          <w:szCs w:val="24"/>
        </w:rPr>
        <w:t>If agriculture has to take their share of cuts in government staffing and expenditure, then it is essential to have a clear idea of priorities so that the most critical areas get first call on limited resources and any cuts fall on areas where their impact will be least.  Redesigning the subsidy system to reduce administrative costs, increase efficiency and strengthen markets rather than distort them, will be a serious analytical and political challenge requiring a stronger and more integrated policy system.</w:t>
      </w:r>
    </w:p>
    <w:p w14:paraId="3DF61365" w14:textId="77777777" w:rsidR="00F5161C" w:rsidRPr="00F5161C" w:rsidRDefault="00F5161C" w:rsidP="00F5161C">
      <w:pPr>
        <w:spacing w:after="0"/>
        <w:rPr>
          <w:rFonts w:cstheme="minorHAnsi"/>
          <w:b/>
          <w:szCs w:val="24"/>
        </w:rPr>
      </w:pP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615"/>
        <w:gridCol w:w="7402"/>
      </w:tblGrid>
      <w:tr w:rsidR="00F30051" w14:paraId="535A5C60" w14:textId="77777777" w:rsidTr="00EF7E27">
        <w:tc>
          <w:tcPr>
            <w:tcW w:w="1615" w:type="dxa"/>
            <w:vAlign w:val="center"/>
          </w:tcPr>
          <w:p w14:paraId="704212A1" w14:textId="77777777" w:rsidR="00F30051" w:rsidRDefault="00F30051" w:rsidP="00EF7E27">
            <w:pPr>
              <w:pStyle w:val="ListParagraph"/>
              <w:spacing w:after="0"/>
              <w:ind w:left="0"/>
              <w:contextualSpacing w:val="0"/>
              <w:jc w:val="center"/>
              <w:rPr>
                <w:rFonts w:cs="Aparajita"/>
                <w:b/>
              </w:rPr>
            </w:pPr>
            <w:r>
              <w:rPr>
                <w:rFonts w:cs="Aparajita"/>
                <w:b/>
                <w:noProof/>
              </w:rPr>
              <w:drawing>
                <wp:inline distT="0" distB="0" distL="0" distR="0" wp14:anchorId="4C96ACAF" wp14:editId="4B6B9F4C">
                  <wp:extent cx="638722" cy="641267"/>
                  <wp:effectExtent l="0" t="0" r="0" b="6985"/>
                  <wp:docPr id="5" name="Picture 5" descr="C:\Users\kaioho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ohon\Desktop\Untitle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67" cy="650649"/>
                          </a:xfrm>
                          <a:prstGeom prst="rect">
                            <a:avLst/>
                          </a:prstGeom>
                          <a:noFill/>
                          <a:ln>
                            <a:noFill/>
                          </a:ln>
                        </pic:spPr>
                      </pic:pic>
                    </a:graphicData>
                  </a:graphic>
                </wp:inline>
              </w:drawing>
            </w:r>
          </w:p>
        </w:tc>
        <w:tc>
          <w:tcPr>
            <w:tcW w:w="7402" w:type="dxa"/>
            <w:vAlign w:val="center"/>
          </w:tcPr>
          <w:p w14:paraId="31D1A958" w14:textId="1A00BDF2" w:rsidR="00F30051" w:rsidRPr="006E463B" w:rsidRDefault="00F30051" w:rsidP="00EF7E27">
            <w:pPr>
              <w:widowControl w:val="0"/>
              <w:autoSpaceDE w:val="0"/>
              <w:autoSpaceDN w:val="0"/>
              <w:adjustRightInd w:val="0"/>
              <w:spacing w:after="0"/>
              <w:jc w:val="left"/>
              <w:rPr>
                <w:rFonts w:ascii="Andes" w:hAnsi="Andes"/>
                <w:b/>
                <w:bCs/>
                <w:color w:val="06366C"/>
                <w:sz w:val="28"/>
                <w:szCs w:val="28"/>
              </w:rPr>
            </w:pPr>
            <w:r w:rsidRPr="00F30051">
              <w:rPr>
                <w:rFonts w:ascii="Andes" w:hAnsi="Andes"/>
                <w:b/>
                <w:bCs/>
                <w:color w:val="06366C"/>
                <w:sz w:val="28"/>
                <w:szCs w:val="28"/>
              </w:rPr>
              <w:t>Fixing the broken policy cycle, positioning staff, and straightening the road to Europe</w:t>
            </w:r>
          </w:p>
        </w:tc>
      </w:tr>
    </w:tbl>
    <w:p w14:paraId="394A3E3A" w14:textId="77777777" w:rsidR="00F30051" w:rsidRPr="00F5161C" w:rsidRDefault="00F30051" w:rsidP="00F5161C">
      <w:pPr>
        <w:spacing w:after="0"/>
        <w:rPr>
          <w:rFonts w:cstheme="minorHAnsi"/>
          <w:b/>
          <w:szCs w:val="24"/>
        </w:rPr>
      </w:pPr>
    </w:p>
    <w:p w14:paraId="79F531DC" w14:textId="77777777" w:rsidR="00941254" w:rsidRPr="007C73F3" w:rsidRDefault="00941254" w:rsidP="00941254">
      <w:pPr>
        <w:rPr>
          <w:rFonts w:cstheme="minorHAnsi"/>
          <w:szCs w:val="24"/>
        </w:rPr>
      </w:pPr>
      <w:r w:rsidRPr="007C73F3">
        <w:rPr>
          <w:rFonts w:cstheme="minorHAnsi"/>
          <w:b/>
          <w:szCs w:val="24"/>
        </w:rPr>
        <w:t>Implementation and enforcement must form part of the policy cycle</w:t>
      </w:r>
      <w:r w:rsidRPr="007C73F3">
        <w:rPr>
          <w:rFonts w:cstheme="minorHAnsi"/>
          <w:szCs w:val="24"/>
        </w:rPr>
        <w:t>. Policy making is haphazard, policies are made by external advisors with little reference to permanent policy staff, and components of the ministry often operate in a vacuum. Inspection appears to be an external task and feedback is lacking improper staffing practices, especially those in legal, economic and information technology (IT) cadre also undermine effectiveness.</w:t>
      </w:r>
    </w:p>
    <w:p w14:paraId="4E86CB31" w14:textId="77777777" w:rsidR="00941254" w:rsidRPr="007C73F3" w:rsidRDefault="00941254" w:rsidP="00941254">
      <w:pPr>
        <w:rPr>
          <w:rFonts w:cstheme="minorHAnsi"/>
          <w:szCs w:val="24"/>
        </w:rPr>
      </w:pPr>
      <w:r w:rsidRPr="007C73F3">
        <w:rPr>
          <w:rFonts w:cstheme="minorHAnsi"/>
          <w:b/>
          <w:szCs w:val="24"/>
        </w:rPr>
        <w:t>The accession workload facing the ministry is as big as that of the entire rest of the government</w:t>
      </w:r>
      <w:r w:rsidRPr="007C73F3">
        <w:rPr>
          <w:rFonts w:cstheme="minorHAnsi"/>
          <w:szCs w:val="24"/>
        </w:rPr>
        <w:t xml:space="preserve">. Many offices and agencies oversee the process. The current arrangement has so many different units involved in EU integration that they risk getting into each other’s way. </w:t>
      </w:r>
    </w:p>
    <w:p w14:paraId="242E03D3" w14:textId="77777777" w:rsidR="00941254" w:rsidRPr="00994373" w:rsidRDefault="00941254" w:rsidP="00941254">
      <w:pPr>
        <w:pStyle w:val="Heading3"/>
      </w:pPr>
      <w:r w:rsidRPr="00994373">
        <w:lastRenderedPageBreak/>
        <w:t>Policy Priorities</w:t>
      </w:r>
    </w:p>
    <w:p w14:paraId="14557425" w14:textId="77777777" w:rsidR="00941254" w:rsidRPr="007C73F3" w:rsidRDefault="00941254" w:rsidP="00941254">
      <w:pPr>
        <w:rPr>
          <w:rFonts w:cstheme="minorHAnsi"/>
          <w:szCs w:val="24"/>
        </w:rPr>
      </w:pPr>
      <w:r w:rsidRPr="007C73F3">
        <w:rPr>
          <w:rFonts w:cstheme="minorHAnsi"/>
          <w:b/>
          <w:szCs w:val="24"/>
        </w:rPr>
        <w:t>There is need to create senior policy positions in lands, food-chain, and program evaluation sections of the ministry</w:t>
      </w:r>
      <w:r w:rsidRPr="007C73F3">
        <w:rPr>
          <w:rFonts w:cstheme="minorHAnsi"/>
          <w:szCs w:val="24"/>
        </w:rPr>
        <w:t xml:space="preserve">. Skills of staff in policy units need systematic strengthening to eliminate ad hoc approach to policy analysis, design, and monitoring. Proper policy procedures and a regular program of policy workshops should be established, and procedures for regular information flow from implementing and inspection unit to policy units should be created. </w:t>
      </w:r>
    </w:p>
    <w:p w14:paraId="2D5575A7" w14:textId="790160C3" w:rsidR="00941254" w:rsidRDefault="00941254" w:rsidP="00941254">
      <w:pPr>
        <w:rPr>
          <w:rFonts w:cstheme="minorHAnsi"/>
          <w:szCs w:val="24"/>
        </w:rPr>
      </w:pPr>
      <w:r w:rsidRPr="007C73F3">
        <w:rPr>
          <w:rFonts w:cstheme="minorHAnsi"/>
          <w:b/>
          <w:szCs w:val="24"/>
        </w:rPr>
        <w:t>Regarding staff positioning, professionals can be grouped in specialized units</w:t>
      </w:r>
      <w:r w:rsidRPr="007C73F3">
        <w:rPr>
          <w:rFonts w:cstheme="minorHAnsi"/>
          <w:szCs w:val="24"/>
        </w:rPr>
        <w:t xml:space="preserve"> -- legal, economics and IT – that support line departments on project and working group basis, instead of departments having their own specialists who tend to work in isolation. This would also address the practical problems of recruiting and retaining the specialists needed. At the same time, the ministry should build its EU expertise more rationally, in each relevant sector and agency, and reduce the role Sector for International Cooperation and review the role of the Serbian European Integration Office (SEIO).</w:t>
      </w:r>
    </w:p>
    <w:p w14:paraId="44EA2196" w14:textId="65173DFF" w:rsidR="00F30051" w:rsidRPr="00F5161C" w:rsidRDefault="00F30051" w:rsidP="00F5161C">
      <w:pPr>
        <w:spacing w:after="0"/>
        <w:rPr>
          <w:rFonts w:cstheme="minorHAnsi"/>
          <w:b/>
          <w:szCs w:val="24"/>
        </w:rPr>
      </w:pP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615"/>
        <w:gridCol w:w="7402"/>
      </w:tblGrid>
      <w:tr w:rsidR="00F30051" w14:paraId="291DDAE5" w14:textId="77777777" w:rsidTr="00EF7E27">
        <w:tc>
          <w:tcPr>
            <w:tcW w:w="1615" w:type="dxa"/>
            <w:vAlign w:val="center"/>
          </w:tcPr>
          <w:p w14:paraId="20A371D3" w14:textId="77777777" w:rsidR="00F30051" w:rsidRDefault="00F30051" w:rsidP="00EF7E27">
            <w:pPr>
              <w:pStyle w:val="ListParagraph"/>
              <w:spacing w:after="0"/>
              <w:ind w:left="0"/>
              <w:contextualSpacing w:val="0"/>
              <w:jc w:val="center"/>
              <w:rPr>
                <w:rFonts w:cs="Aparajita"/>
                <w:b/>
              </w:rPr>
            </w:pPr>
            <w:r>
              <w:rPr>
                <w:rFonts w:cs="Aparajita"/>
                <w:b/>
                <w:noProof/>
              </w:rPr>
              <w:drawing>
                <wp:inline distT="0" distB="0" distL="0" distR="0" wp14:anchorId="79633ED5" wp14:editId="6F6E61B2">
                  <wp:extent cx="638722" cy="641267"/>
                  <wp:effectExtent l="0" t="0" r="0" b="6985"/>
                  <wp:docPr id="6" name="Picture 6" descr="C:\Users\kaioho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ohon\Desktop\Untitle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67" cy="650649"/>
                          </a:xfrm>
                          <a:prstGeom prst="rect">
                            <a:avLst/>
                          </a:prstGeom>
                          <a:noFill/>
                          <a:ln>
                            <a:noFill/>
                          </a:ln>
                        </pic:spPr>
                      </pic:pic>
                    </a:graphicData>
                  </a:graphic>
                </wp:inline>
              </w:drawing>
            </w:r>
          </w:p>
        </w:tc>
        <w:tc>
          <w:tcPr>
            <w:tcW w:w="7402" w:type="dxa"/>
            <w:vAlign w:val="center"/>
          </w:tcPr>
          <w:p w14:paraId="395265F3" w14:textId="42E84C2A" w:rsidR="00F30051" w:rsidRPr="006E463B" w:rsidRDefault="00F30051" w:rsidP="00EF7E27">
            <w:pPr>
              <w:widowControl w:val="0"/>
              <w:autoSpaceDE w:val="0"/>
              <w:autoSpaceDN w:val="0"/>
              <w:adjustRightInd w:val="0"/>
              <w:spacing w:after="0"/>
              <w:jc w:val="left"/>
              <w:rPr>
                <w:rFonts w:ascii="Andes" w:hAnsi="Andes"/>
                <w:b/>
                <w:bCs/>
                <w:color w:val="06366C"/>
                <w:sz w:val="28"/>
                <w:szCs w:val="28"/>
              </w:rPr>
            </w:pPr>
            <w:r w:rsidRPr="00F30051">
              <w:rPr>
                <w:rFonts w:ascii="Andes" w:hAnsi="Andes"/>
                <w:b/>
                <w:bCs/>
                <w:color w:val="06366C"/>
                <w:sz w:val="28"/>
                <w:szCs w:val="28"/>
              </w:rPr>
              <w:t xml:space="preserve">Addressing Data Collection, Storage </w:t>
            </w:r>
            <w:r>
              <w:rPr>
                <w:rFonts w:ascii="Andes" w:hAnsi="Andes"/>
                <w:b/>
                <w:bCs/>
                <w:color w:val="06366C"/>
                <w:sz w:val="28"/>
                <w:szCs w:val="28"/>
              </w:rPr>
              <w:t>a</w:t>
            </w:r>
            <w:r w:rsidRPr="00F30051">
              <w:rPr>
                <w:rFonts w:ascii="Andes" w:hAnsi="Andes"/>
                <w:b/>
                <w:bCs/>
                <w:color w:val="06366C"/>
                <w:sz w:val="28"/>
                <w:szCs w:val="28"/>
              </w:rPr>
              <w:t xml:space="preserve">nd Use, </w:t>
            </w:r>
            <w:r>
              <w:rPr>
                <w:rFonts w:ascii="Andes" w:hAnsi="Andes"/>
                <w:b/>
                <w:bCs/>
                <w:color w:val="06366C"/>
                <w:sz w:val="28"/>
                <w:szCs w:val="28"/>
              </w:rPr>
              <w:t>a</w:t>
            </w:r>
            <w:r w:rsidRPr="00F30051">
              <w:rPr>
                <w:rFonts w:ascii="Andes" w:hAnsi="Andes"/>
                <w:b/>
                <w:bCs/>
                <w:color w:val="06366C"/>
                <w:sz w:val="28"/>
                <w:szCs w:val="28"/>
              </w:rPr>
              <w:t>nd Right Sizing Decentralization</w:t>
            </w:r>
          </w:p>
        </w:tc>
      </w:tr>
    </w:tbl>
    <w:p w14:paraId="47B25CEB" w14:textId="77777777" w:rsidR="00F30051" w:rsidRPr="00F5161C" w:rsidRDefault="00F30051" w:rsidP="00F5161C">
      <w:pPr>
        <w:spacing w:after="0"/>
        <w:rPr>
          <w:rFonts w:cstheme="minorHAnsi"/>
          <w:b/>
          <w:szCs w:val="24"/>
        </w:rPr>
      </w:pPr>
    </w:p>
    <w:p w14:paraId="0CFF1F0E" w14:textId="77777777" w:rsidR="00941254" w:rsidRPr="007C73F3" w:rsidRDefault="00941254" w:rsidP="00941254">
      <w:pPr>
        <w:rPr>
          <w:rFonts w:cstheme="minorHAnsi"/>
          <w:szCs w:val="24"/>
        </w:rPr>
      </w:pPr>
      <w:r w:rsidRPr="007C73F3">
        <w:rPr>
          <w:rFonts w:cstheme="minorHAnsi"/>
          <w:b/>
          <w:szCs w:val="24"/>
        </w:rPr>
        <w:t>The ministry handles a tremendous amount of data in many different systems but very little or no thought has gone into how the data might be used by whom or its value strengthened through analysis</w:t>
      </w:r>
      <w:r w:rsidRPr="007C73F3">
        <w:rPr>
          <w:rFonts w:cstheme="minorHAnsi"/>
          <w:szCs w:val="24"/>
        </w:rPr>
        <w:t xml:space="preserve">. Routine systems through which to obtain data are lacking and data can be accessed only after an official request even by different departments and sectors within the ministry. </w:t>
      </w:r>
    </w:p>
    <w:p w14:paraId="325714E2" w14:textId="77777777" w:rsidR="00941254" w:rsidRPr="007C73F3" w:rsidRDefault="00941254" w:rsidP="00941254">
      <w:pPr>
        <w:rPr>
          <w:rFonts w:cstheme="minorHAnsi"/>
          <w:szCs w:val="24"/>
        </w:rPr>
      </w:pPr>
      <w:r w:rsidRPr="007C73F3">
        <w:rPr>
          <w:rFonts w:cstheme="minorHAnsi"/>
          <w:b/>
          <w:szCs w:val="24"/>
        </w:rPr>
        <w:t>On decentralization, interaction between the ministry and local authorities is problematic</w:t>
      </w:r>
      <w:r w:rsidRPr="007C73F3">
        <w:rPr>
          <w:rFonts w:cstheme="minorHAnsi"/>
          <w:szCs w:val="24"/>
        </w:rPr>
        <w:t>. In some cases, such as rural land administration, the role of the Sector for Rural Development in approving local rural development plans, or the role of the Administration for Agricultural land in approving land lease contracts, is largely unnecessary.</w:t>
      </w:r>
    </w:p>
    <w:p w14:paraId="51C8EFCD" w14:textId="77777777" w:rsidR="00941254" w:rsidRPr="00994373" w:rsidRDefault="00941254" w:rsidP="00941254">
      <w:pPr>
        <w:pStyle w:val="Heading3"/>
      </w:pPr>
      <w:r w:rsidRPr="00994373">
        <w:t>Policy Priorities</w:t>
      </w:r>
    </w:p>
    <w:p w14:paraId="24A4732D" w14:textId="77777777" w:rsidR="00941254" w:rsidRPr="007C73F3" w:rsidRDefault="00941254" w:rsidP="00941254">
      <w:pPr>
        <w:rPr>
          <w:rFonts w:cstheme="minorHAnsi"/>
          <w:szCs w:val="24"/>
        </w:rPr>
      </w:pPr>
      <w:r w:rsidRPr="007C73F3">
        <w:rPr>
          <w:rFonts w:cstheme="minorHAnsi"/>
          <w:b/>
          <w:szCs w:val="24"/>
        </w:rPr>
        <w:t>A systematic review of data sources throughout the ministry, and identification of potential users, to make data available to anyone in the ministry who needs them, without any special request is suggested.</w:t>
      </w:r>
      <w:r w:rsidRPr="007C73F3">
        <w:rPr>
          <w:rFonts w:cstheme="minorHAnsi"/>
          <w:szCs w:val="24"/>
        </w:rPr>
        <w:t xml:space="preserve"> In the long term, an office dedicated to management of data in the ministry including access should be created.</w:t>
      </w:r>
    </w:p>
    <w:p w14:paraId="53E347CF" w14:textId="6B89A086" w:rsidR="00941254" w:rsidRDefault="00941254" w:rsidP="00941254">
      <w:pPr>
        <w:rPr>
          <w:rFonts w:cstheme="minorHAnsi"/>
          <w:szCs w:val="24"/>
        </w:rPr>
      </w:pPr>
      <w:r w:rsidRPr="007C73F3">
        <w:rPr>
          <w:rFonts w:cstheme="minorHAnsi"/>
          <w:b/>
          <w:szCs w:val="24"/>
        </w:rPr>
        <w:t>On decentralization, review of responsibilities to determine at which level they would be best handled, central or local, should be carried out.</w:t>
      </w:r>
      <w:r w:rsidRPr="007C73F3">
        <w:rPr>
          <w:rFonts w:cstheme="minorHAnsi"/>
          <w:szCs w:val="24"/>
        </w:rPr>
        <w:t xml:space="preserve"> In environment, for example, the usual </w:t>
      </w:r>
      <w:r w:rsidRPr="007C73F3">
        <w:rPr>
          <w:rFonts w:cstheme="minorHAnsi"/>
          <w:szCs w:val="24"/>
        </w:rPr>
        <w:lastRenderedPageBreak/>
        <w:t xml:space="preserve">problem is that municipalities have been delegated responsibilities without sufficient capacity to discharge them effectively. It is highly recommended that highly technical issues such as permitting of industrial insulations be done by ministry rather than local authorities. </w:t>
      </w:r>
    </w:p>
    <w:p w14:paraId="19E032C9" w14:textId="77777777" w:rsidR="000D0FE5" w:rsidRPr="007C73F3" w:rsidRDefault="000D0FE5" w:rsidP="000D0FE5">
      <w:pPr>
        <w:spacing w:after="0"/>
        <w:rPr>
          <w:rFonts w:cstheme="minorHAnsi"/>
          <w:szCs w:val="24"/>
        </w:rPr>
      </w:pPr>
    </w:p>
    <w:tbl>
      <w:tblPr>
        <w:tblStyle w:val="TableGrid"/>
        <w:tblW w:w="0" w:type="auto"/>
        <w:tblBorders>
          <w:top w:val="single" w:sz="36" w:space="0" w:color="06366C"/>
          <w:left w:val="none" w:sz="0" w:space="0" w:color="auto"/>
          <w:bottom w:val="single" w:sz="36" w:space="0" w:color="06366C"/>
          <w:right w:val="none" w:sz="0" w:space="0" w:color="auto"/>
          <w:insideH w:val="none" w:sz="0" w:space="0" w:color="auto"/>
          <w:insideV w:val="none" w:sz="0" w:space="0" w:color="auto"/>
        </w:tblBorders>
        <w:tblCellMar>
          <w:top w:w="115" w:type="dxa"/>
          <w:left w:w="115" w:type="dxa"/>
          <w:bottom w:w="115" w:type="dxa"/>
          <w:right w:w="115" w:type="dxa"/>
        </w:tblCellMar>
        <w:tblLook w:val="04A0" w:firstRow="1" w:lastRow="0" w:firstColumn="1" w:lastColumn="0" w:noHBand="0" w:noVBand="1"/>
      </w:tblPr>
      <w:tblGrid>
        <w:gridCol w:w="1615"/>
        <w:gridCol w:w="7402"/>
      </w:tblGrid>
      <w:tr w:rsidR="00F30051" w14:paraId="288DA804" w14:textId="77777777" w:rsidTr="00EF7E27">
        <w:tc>
          <w:tcPr>
            <w:tcW w:w="1615" w:type="dxa"/>
            <w:vAlign w:val="center"/>
          </w:tcPr>
          <w:p w14:paraId="68010D8D" w14:textId="77777777" w:rsidR="00F30051" w:rsidRDefault="00F30051" w:rsidP="00EF7E27">
            <w:pPr>
              <w:pStyle w:val="ListParagraph"/>
              <w:spacing w:after="0"/>
              <w:ind w:left="0"/>
              <w:contextualSpacing w:val="0"/>
              <w:jc w:val="center"/>
              <w:rPr>
                <w:rFonts w:cs="Aparajita"/>
                <w:b/>
              </w:rPr>
            </w:pPr>
            <w:r>
              <w:rPr>
                <w:rFonts w:cs="Aparajita"/>
                <w:b/>
                <w:noProof/>
              </w:rPr>
              <w:drawing>
                <wp:inline distT="0" distB="0" distL="0" distR="0" wp14:anchorId="5D735DEB" wp14:editId="2DE6F09D">
                  <wp:extent cx="638722" cy="641267"/>
                  <wp:effectExtent l="0" t="0" r="0" b="6985"/>
                  <wp:docPr id="9" name="Picture 9" descr="C:\Users\kaiohon\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iohon\Desktop\Untitled-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67" cy="650649"/>
                          </a:xfrm>
                          <a:prstGeom prst="rect">
                            <a:avLst/>
                          </a:prstGeom>
                          <a:noFill/>
                          <a:ln>
                            <a:noFill/>
                          </a:ln>
                        </pic:spPr>
                      </pic:pic>
                    </a:graphicData>
                  </a:graphic>
                </wp:inline>
              </w:drawing>
            </w:r>
          </w:p>
        </w:tc>
        <w:tc>
          <w:tcPr>
            <w:tcW w:w="7402" w:type="dxa"/>
            <w:vAlign w:val="center"/>
          </w:tcPr>
          <w:p w14:paraId="0B71D1E3" w14:textId="51E3374E" w:rsidR="00F30051" w:rsidRPr="006E463B" w:rsidRDefault="00F30051" w:rsidP="00EF7E27">
            <w:pPr>
              <w:widowControl w:val="0"/>
              <w:autoSpaceDE w:val="0"/>
              <w:autoSpaceDN w:val="0"/>
              <w:adjustRightInd w:val="0"/>
              <w:spacing w:after="0"/>
              <w:jc w:val="left"/>
              <w:rPr>
                <w:rFonts w:ascii="Andes" w:hAnsi="Andes"/>
                <w:b/>
                <w:bCs/>
                <w:color w:val="06366C"/>
                <w:sz w:val="28"/>
                <w:szCs w:val="28"/>
              </w:rPr>
            </w:pPr>
            <w:r w:rsidRPr="00F30051">
              <w:rPr>
                <w:rFonts w:ascii="Andes" w:hAnsi="Andes"/>
                <w:b/>
                <w:bCs/>
                <w:color w:val="06366C"/>
                <w:sz w:val="28"/>
                <w:szCs w:val="28"/>
              </w:rPr>
              <w:t xml:space="preserve">Solving </w:t>
            </w:r>
            <w:r>
              <w:rPr>
                <w:rFonts w:ascii="Andes" w:hAnsi="Andes"/>
                <w:b/>
                <w:bCs/>
                <w:color w:val="06366C"/>
                <w:sz w:val="28"/>
                <w:szCs w:val="28"/>
              </w:rPr>
              <w:t>t</w:t>
            </w:r>
            <w:r w:rsidRPr="00F30051">
              <w:rPr>
                <w:rFonts w:ascii="Andes" w:hAnsi="Andes"/>
                <w:b/>
                <w:bCs/>
                <w:color w:val="06366C"/>
                <w:sz w:val="28"/>
                <w:szCs w:val="28"/>
              </w:rPr>
              <w:t xml:space="preserve">he Staffing Problem, Getting </w:t>
            </w:r>
            <w:r>
              <w:rPr>
                <w:rFonts w:ascii="Andes" w:hAnsi="Andes"/>
                <w:b/>
                <w:bCs/>
                <w:color w:val="06366C"/>
                <w:sz w:val="28"/>
                <w:szCs w:val="28"/>
              </w:rPr>
              <w:t>t</w:t>
            </w:r>
            <w:r w:rsidRPr="00F30051">
              <w:rPr>
                <w:rFonts w:ascii="Andes" w:hAnsi="Andes"/>
                <w:b/>
                <w:bCs/>
                <w:color w:val="06366C"/>
                <w:sz w:val="28"/>
                <w:szCs w:val="28"/>
              </w:rPr>
              <w:t>he Inspection Process Right</w:t>
            </w:r>
          </w:p>
        </w:tc>
      </w:tr>
    </w:tbl>
    <w:p w14:paraId="5400BD54" w14:textId="77777777" w:rsidR="00F5161C" w:rsidRDefault="00F5161C" w:rsidP="00F5161C">
      <w:pPr>
        <w:spacing w:after="0"/>
        <w:rPr>
          <w:rFonts w:cstheme="minorHAnsi"/>
          <w:b/>
          <w:szCs w:val="24"/>
        </w:rPr>
      </w:pPr>
    </w:p>
    <w:p w14:paraId="1F9FABAD" w14:textId="6B591829" w:rsidR="00941254" w:rsidRPr="007C73F3" w:rsidRDefault="00941254" w:rsidP="00941254">
      <w:pPr>
        <w:rPr>
          <w:rFonts w:cstheme="minorHAnsi"/>
          <w:szCs w:val="24"/>
        </w:rPr>
      </w:pPr>
      <w:r w:rsidRPr="007C73F3">
        <w:rPr>
          <w:rFonts w:cstheme="minorHAnsi"/>
          <w:b/>
          <w:szCs w:val="24"/>
        </w:rPr>
        <w:t>The blanket ban on staff recruitment is seriously hampering the effectiveness of the ministry</w:t>
      </w:r>
      <w:r w:rsidRPr="007C73F3">
        <w:rPr>
          <w:rFonts w:cstheme="minorHAnsi"/>
          <w:szCs w:val="24"/>
        </w:rPr>
        <w:t xml:space="preserve"> </w:t>
      </w:r>
      <w:r w:rsidRPr="007C73F3">
        <w:rPr>
          <w:rFonts w:cstheme="minorHAnsi"/>
          <w:b/>
          <w:szCs w:val="24"/>
        </w:rPr>
        <w:t>and holding back its transition to a modern and efficient organization</w:t>
      </w:r>
      <w:r w:rsidRPr="007C73F3">
        <w:rPr>
          <w:rFonts w:cstheme="minorHAnsi"/>
          <w:szCs w:val="24"/>
        </w:rPr>
        <w:t>. Because of the ban, the ministry is increasingly reliant on short-term contract staff. Departments such as inspection services that prohibit use of contracted employees, and whose staff are aging, are even more affected. Of the ministry’s 1,358 staff, almost half (643) are inspectors. It follows that inspection processes should be among the top priorities for review.</w:t>
      </w:r>
    </w:p>
    <w:p w14:paraId="4B89D846" w14:textId="77777777" w:rsidR="00941254" w:rsidRPr="00941254" w:rsidRDefault="00941254" w:rsidP="00941254">
      <w:pPr>
        <w:pStyle w:val="Heading3"/>
      </w:pPr>
      <w:r w:rsidRPr="00941254">
        <w:t xml:space="preserve">Policy Priorities </w:t>
      </w:r>
    </w:p>
    <w:p w14:paraId="023AD9C3" w14:textId="77777777" w:rsidR="00941254" w:rsidRPr="007C73F3" w:rsidRDefault="00941254" w:rsidP="00941254">
      <w:pPr>
        <w:rPr>
          <w:rFonts w:cstheme="minorHAnsi"/>
          <w:szCs w:val="24"/>
        </w:rPr>
      </w:pPr>
      <w:r w:rsidRPr="007C73F3">
        <w:rPr>
          <w:rFonts w:cstheme="minorHAnsi"/>
          <w:b/>
          <w:szCs w:val="24"/>
        </w:rPr>
        <w:t>Managers should be provided a staff budget rather than rigid numbers of staff</w:t>
      </w:r>
      <w:r w:rsidRPr="007C73F3">
        <w:rPr>
          <w:rFonts w:cstheme="minorHAnsi"/>
          <w:szCs w:val="24"/>
        </w:rPr>
        <w:t xml:space="preserve">. Budgets might be set in terms of civil service pay scale pay points, rather than actual cash, to avoid yearly updates. Managers should also be granted leeway to recruit new staff with needed skills. A significant proportion of contacted staff should be employed permanently, within the overall staff budget. </w:t>
      </w:r>
    </w:p>
    <w:p w14:paraId="26C0C9A2" w14:textId="77777777" w:rsidR="00941254" w:rsidRPr="007C73F3" w:rsidRDefault="00941254" w:rsidP="00941254">
      <w:pPr>
        <w:rPr>
          <w:rFonts w:cstheme="minorHAnsi"/>
          <w:szCs w:val="24"/>
        </w:rPr>
      </w:pPr>
      <w:r w:rsidRPr="007C73F3">
        <w:rPr>
          <w:rFonts w:cstheme="minorHAnsi"/>
          <w:b/>
          <w:szCs w:val="24"/>
        </w:rPr>
        <w:t>Inspection is viewed as an isolated task and not part of the policy cycle.</w:t>
      </w:r>
      <w:r w:rsidRPr="007C73F3">
        <w:rPr>
          <w:rFonts w:cstheme="minorHAnsi"/>
          <w:szCs w:val="24"/>
        </w:rPr>
        <w:t xml:space="preserve"> The effectiveness of inspection should be judged, not by the number of inspection visits, but rather by the extent to which it increases compliance with policy goals. Part of the solution could be better cooperation with the Public Prosecutor’s office agreeing to more consistent use of inspectors’ reports. Better sentencing guidelines could be instituted so that judges use the entirety of the penalty scale laid down in law, according to the seriousness of violations and the level of financial advantage gained in cases of farmers applying for more subsidy they are entitled or using state land that has not been leased to them. The recommendations have implications beyond the ministry, and so this issue should be discussed at government level. </w:t>
      </w:r>
    </w:p>
    <w:p w14:paraId="2D0639B8" w14:textId="1AAF99DC" w:rsidR="00941254" w:rsidRDefault="00941254" w:rsidP="000222AA">
      <w:pPr>
        <w:spacing w:after="100"/>
        <w:rPr>
          <w:rFonts w:cstheme="minorHAnsi"/>
          <w:szCs w:val="24"/>
        </w:rPr>
      </w:pPr>
    </w:p>
    <w:p w14:paraId="5DAE5095" w14:textId="03563ECC" w:rsidR="00941254" w:rsidRDefault="00941254">
      <w:pPr>
        <w:spacing w:after="0" w:line="240" w:lineRule="auto"/>
        <w:jc w:val="left"/>
        <w:rPr>
          <w:rFonts w:cstheme="minorHAnsi"/>
          <w:szCs w:val="24"/>
        </w:rPr>
      </w:pPr>
      <w:r>
        <w:rPr>
          <w:rFonts w:cstheme="minorHAnsi"/>
          <w:szCs w:val="24"/>
        </w:rPr>
        <w:br w:type="page"/>
      </w:r>
    </w:p>
    <w:p w14:paraId="1EB3C358" w14:textId="77777777" w:rsidR="00941254" w:rsidRDefault="00941254" w:rsidP="000222AA">
      <w:pPr>
        <w:spacing w:after="100"/>
        <w:rPr>
          <w:rFonts w:cstheme="minorHAnsi"/>
          <w:szCs w:val="24"/>
        </w:rPr>
      </w:pPr>
    </w:p>
    <w:p w14:paraId="595CC14B" w14:textId="5670440B" w:rsidR="00A940BA" w:rsidRDefault="00A940BA" w:rsidP="00B7381F">
      <w:pPr>
        <w:rPr>
          <w:rFonts w:cstheme="minorHAnsi"/>
          <w:szCs w:val="24"/>
        </w:rPr>
      </w:pPr>
    </w:p>
    <w:p w14:paraId="2BEF461F" w14:textId="1561CADD" w:rsidR="00A940BA" w:rsidRDefault="00A940BA" w:rsidP="00B7381F">
      <w:pPr>
        <w:rPr>
          <w:rFonts w:cstheme="minorHAnsi"/>
          <w:szCs w:val="24"/>
        </w:rPr>
      </w:pPr>
    </w:p>
    <w:p w14:paraId="3D5B265A" w14:textId="4A3CFFD8" w:rsidR="00B7381F" w:rsidRPr="00F71CDE" w:rsidRDefault="00B7381F" w:rsidP="00B7381F">
      <w:pPr>
        <w:rPr>
          <w:rFonts w:cstheme="minorHAnsi"/>
        </w:rPr>
      </w:pPr>
    </w:p>
    <w:p w14:paraId="527DA3A6" w14:textId="77777777" w:rsidR="00B7381F" w:rsidRDefault="00B7381F" w:rsidP="00DE3ECF">
      <w:pPr>
        <w:pStyle w:val="Heading2"/>
      </w:pPr>
    </w:p>
    <w:p w14:paraId="37362965" w14:textId="77777777" w:rsidR="00B7381F" w:rsidRDefault="00B7381F" w:rsidP="00DE3ECF">
      <w:pPr>
        <w:pStyle w:val="Heading2"/>
      </w:pPr>
    </w:p>
    <w:p w14:paraId="07681CA0" w14:textId="77777777" w:rsidR="00B7381F" w:rsidRDefault="00B7381F" w:rsidP="00DE3ECF">
      <w:pPr>
        <w:pStyle w:val="Heading2"/>
      </w:pPr>
    </w:p>
    <w:bookmarkEnd w:id="4"/>
    <w:p w14:paraId="52F62261" w14:textId="7271B676" w:rsidR="005D5492" w:rsidRDefault="005D5492" w:rsidP="00B8323C">
      <w:pPr>
        <w:rPr>
          <w:rFonts w:cs="Times New Roman"/>
          <w:sz w:val="22"/>
        </w:rPr>
      </w:pPr>
    </w:p>
    <w:p w14:paraId="0F71D038" w14:textId="1C4DB7DB" w:rsidR="005D5492" w:rsidRDefault="005D5492" w:rsidP="00B8323C">
      <w:pPr>
        <w:rPr>
          <w:rFonts w:cs="Times New Roman"/>
          <w:sz w:val="22"/>
        </w:rPr>
      </w:pPr>
    </w:p>
    <w:p w14:paraId="6C931948" w14:textId="77777777" w:rsidR="005D5492" w:rsidRPr="00857328" w:rsidRDefault="005D5492" w:rsidP="00B8323C">
      <w:pPr>
        <w:rPr>
          <w:rFonts w:cs="Times New Roman"/>
          <w:sz w:val="22"/>
        </w:rPr>
      </w:pPr>
    </w:p>
    <w:p w14:paraId="7375A96E" w14:textId="77777777" w:rsidR="005D5492" w:rsidRDefault="005D5492" w:rsidP="00B8323C">
      <w:pPr>
        <w:spacing w:after="0"/>
        <w:jc w:val="left"/>
        <w:rPr>
          <w:rFonts w:cs="Times New Roman"/>
          <w:szCs w:val="24"/>
        </w:rPr>
        <w:sectPr w:rsidR="005D5492" w:rsidSect="00483246">
          <w:footerReference w:type="first" r:id="rId12"/>
          <w:type w:val="continuous"/>
          <w:pgSz w:w="11906" w:h="16838" w:code="9"/>
          <w:pgMar w:top="1440" w:right="1440" w:bottom="1440" w:left="1440" w:header="720" w:footer="720" w:gutter="0"/>
          <w:cols w:space="720"/>
          <w:docGrid w:linePitch="360"/>
        </w:sectPr>
      </w:pPr>
    </w:p>
    <w:p w14:paraId="0AA760AF" w14:textId="0295989A" w:rsidR="00AF23CF" w:rsidRDefault="007B7D0E" w:rsidP="00E13764">
      <w:pPr>
        <w:spacing w:after="0"/>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97152" behindDoc="0" locked="0" layoutInCell="1" allowOverlap="1" wp14:anchorId="04F6E3F4" wp14:editId="3FB6187D">
            <wp:simplePos x="0" y="0"/>
            <wp:positionH relativeFrom="margin">
              <wp:align>center</wp:align>
            </wp:positionH>
            <wp:positionV relativeFrom="margin">
              <wp:align>center</wp:align>
            </wp:positionV>
            <wp:extent cx="7543597" cy="10670539"/>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sk_back_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597" cy="10670539"/>
                    </a:xfrm>
                    <a:prstGeom prst="rect">
                      <a:avLst/>
                    </a:prstGeom>
                  </pic:spPr>
                </pic:pic>
              </a:graphicData>
            </a:graphic>
            <wp14:sizeRelH relativeFrom="page">
              <wp14:pctWidth>0</wp14:pctWidth>
            </wp14:sizeRelH>
            <wp14:sizeRelV relativeFrom="page">
              <wp14:pctHeight>0</wp14:pctHeight>
            </wp14:sizeRelV>
          </wp:anchor>
        </w:drawing>
      </w:r>
    </w:p>
    <w:sectPr w:rsidR="00AF23CF" w:rsidSect="005D5492">
      <w:footerReference w:type="default" r:id="rId1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EA564" w14:textId="77777777" w:rsidR="00433610" w:rsidRDefault="00433610" w:rsidP="00B35A40">
      <w:r>
        <w:separator/>
      </w:r>
    </w:p>
  </w:endnote>
  <w:endnote w:type="continuationSeparator" w:id="0">
    <w:p w14:paraId="6EB47DBD" w14:textId="77777777" w:rsidR="00433610" w:rsidRDefault="00433610" w:rsidP="00B35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des">
    <w:panose1 w:val="02000000000000000000"/>
    <w:charset w:val="00"/>
    <w:family w:val="modern"/>
    <w:notTrueType/>
    <w:pitch w:val="variable"/>
    <w:sig w:usb0="A000002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parajita">
    <w:charset w:val="00"/>
    <w:family w:val="swiss"/>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286A" w14:textId="77777777" w:rsidR="005F4CA7" w:rsidRDefault="005F4CA7">
    <w:pPr>
      <w:pStyle w:val="Footer"/>
      <w:jc w:val="center"/>
    </w:pPr>
  </w:p>
  <w:p w14:paraId="4F985B59" w14:textId="77777777" w:rsidR="005F4CA7" w:rsidRDefault="005F4C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B86C" w14:textId="3B26B458" w:rsidR="005F4CA7" w:rsidRPr="005D5492" w:rsidRDefault="005F4CA7" w:rsidP="005D5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A2004" w14:textId="77777777" w:rsidR="00433610" w:rsidRDefault="00433610" w:rsidP="00623391">
      <w:pPr>
        <w:spacing w:after="0"/>
      </w:pPr>
      <w:r>
        <w:separator/>
      </w:r>
    </w:p>
  </w:footnote>
  <w:footnote w:type="continuationSeparator" w:id="0">
    <w:p w14:paraId="2484A819" w14:textId="77777777" w:rsidR="00433610" w:rsidRDefault="00433610" w:rsidP="006233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6FF6"/>
    <w:multiLevelType w:val="hybridMultilevel"/>
    <w:tmpl w:val="0174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973FD0"/>
    <w:multiLevelType w:val="hybridMultilevel"/>
    <w:tmpl w:val="C8ECA4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6F6C95"/>
    <w:multiLevelType w:val="hybridMultilevel"/>
    <w:tmpl w:val="A932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96244"/>
    <w:multiLevelType w:val="hybridMultilevel"/>
    <w:tmpl w:val="44C2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49404C"/>
    <w:multiLevelType w:val="hybridMultilevel"/>
    <w:tmpl w:val="13946FD6"/>
    <w:lvl w:ilvl="0" w:tplc="04090001">
      <w:start w:val="1"/>
      <w:numFmt w:val="bullet"/>
      <w:lvlText w:val=""/>
      <w:lvlJc w:val="left"/>
      <w:pPr>
        <w:ind w:left="720" w:hanging="360"/>
      </w:pPr>
      <w:rPr>
        <w:rFonts w:ascii="Symbol" w:hAnsi="Symbol" w:hint="default"/>
      </w:rPr>
    </w:lvl>
    <w:lvl w:ilvl="1" w:tplc="C254C83E">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67225"/>
    <w:multiLevelType w:val="hybridMultilevel"/>
    <w:tmpl w:val="9EA21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C112B34"/>
    <w:multiLevelType w:val="hybridMultilevel"/>
    <w:tmpl w:val="27F0A3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1312B"/>
    <w:multiLevelType w:val="hybridMultilevel"/>
    <w:tmpl w:val="B6EE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2346A"/>
    <w:multiLevelType w:val="hybridMultilevel"/>
    <w:tmpl w:val="ED6A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E0BDD"/>
    <w:multiLevelType w:val="hybridMultilevel"/>
    <w:tmpl w:val="19123DCC"/>
    <w:lvl w:ilvl="0" w:tplc="435A5116">
      <w:numFmt w:val="bullet"/>
      <w:lvlText w:val="•"/>
      <w:lvlJc w:val="left"/>
      <w:pPr>
        <w:ind w:left="1080" w:hanging="72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30C01"/>
    <w:multiLevelType w:val="multilevel"/>
    <w:tmpl w:val="05E699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44546A" w:themeColor="text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3F557E3"/>
    <w:multiLevelType w:val="hybridMultilevel"/>
    <w:tmpl w:val="BC824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B27748"/>
    <w:multiLevelType w:val="hybridMultilevel"/>
    <w:tmpl w:val="9086FF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A3054BB"/>
    <w:multiLevelType w:val="hybridMultilevel"/>
    <w:tmpl w:val="BC28F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32134D"/>
    <w:multiLevelType w:val="hybridMultilevel"/>
    <w:tmpl w:val="8E70C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C0062"/>
    <w:multiLevelType w:val="hybridMultilevel"/>
    <w:tmpl w:val="CD5018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DFD3BCF"/>
    <w:multiLevelType w:val="hybridMultilevel"/>
    <w:tmpl w:val="7D7EDE6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FC44FE9"/>
    <w:multiLevelType w:val="hybridMultilevel"/>
    <w:tmpl w:val="B172E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01C1553"/>
    <w:multiLevelType w:val="hybridMultilevel"/>
    <w:tmpl w:val="6B16ABD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52371BD"/>
    <w:multiLevelType w:val="hybridMultilevel"/>
    <w:tmpl w:val="6928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53DDF"/>
    <w:multiLevelType w:val="hybridMultilevel"/>
    <w:tmpl w:val="B86C8E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B2B07"/>
    <w:multiLevelType w:val="hybridMultilevel"/>
    <w:tmpl w:val="67989CD2"/>
    <w:lvl w:ilvl="0" w:tplc="0409000F">
      <w:start w:val="1"/>
      <w:numFmt w:val="decimal"/>
      <w:lvlText w:val="%1."/>
      <w:lvlJc w:val="left"/>
      <w:pPr>
        <w:ind w:left="720" w:hanging="360"/>
      </w:pPr>
      <w:rPr>
        <w:rFonts w:hint="default"/>
      </w:rPr>
    </w:lvl>
    <w:lvl w:ilvl="1" w:tplc="CE66CD2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754E4A"/>
    <w:multiLevelType w:val="hybridMultilevel"/>
    <w:tmpl w:val="612426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29124C5C"/>
    <w:multiLevelType w:val="hybridMultilevel"/>
    <w:tmpl w:val="75F22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E4136"/>
    <w:multiLevelType w:val="hybridMultilevel"/>
    <w:tmpl w:val="DDDC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E648F2"/>
    <w:multiLevelType w:val="hybridMultilevel"/>
    <w:tmpl w:val="790E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7A117A"/>
    <w:multiLevelType w:val="hybridMultilevel"/>
    <w:tmpl w:val="5246D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DE72DE3"/>
    <w:multiLevelType w:val="hybridMultilevel"/>
    <w:tmpl w:val="575CE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1D5468"/>
    <w:multiLevelType w:val="hybridMultilevel"/>
    <w:tmpl w:val="D2A0ED30"/>
    <w:lvl w:ilvl="0" w:tplc="3768F87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32616078"/>
    <w:multiLevelType w:val="hybridMultilevel"/>
    <w:tmpl w:val="38C0AA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33EE761A"/>
    <w:multiLevelType w:val="hybridMultilevel"/>
    <w:tmpl w:val="562EA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6B33B3C"/>
    <w:multiLevelType w:val="hybridMultilevel"/>
    <w:tmpl w:val="78D05C10"/>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7844B1"/>
    <w:multiLevelType w:val="hybridMultilevel"/>
    <w:tmpl w:val="0528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9A6EF1"/>
    <w:multiLevelType w:val="hybridMultilevel"/>
    <w:tmpl w:val="A9F0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9B2AFA"/>
    <w:multiLevelType w:val="hybridMultilevel"/>
    <w:tmpl w:val="D5B651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434388"/>
    <w:multiLevelType w:val="hybridMultilevel"/>
    <w:tmpl w:val="C78242AC"/>
    <w:lvl w:ilvl="0" w:tplc="3DE60584">
      <w:start w:val="1"/>
      <w:numFmt w:val="bullet"/>
      <w:pStyle w:val="ListBullet1"/>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3667A4"/>
    <w:multiLevelType w:val="hybridMultilevel"/>
    <w:tmpl w:val="BBC03FF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654C84"/>
    <w:multiLevelType w:val="hybridMultilevel"/>
    <w:tmpl w:val="5454B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4FE07AA"/>
    <w:multiLevelType w:val="hybridMultilevel"/>
    <w:tmpl w:val="8D44D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7A53A16"/>
    <w:multiLevelType w:val="hybridMultilevel"/>
    <w:tmpl w:val="2306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C97F97"/>
    <w:multiLevelType w:val="hybridMultilevel"/>
    <w:tmpl w:val="41C23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0E73ED"/>
    <w:multiLevelType w:val="hybridMultilevel"/>
    <w:tmpl w:val="3BE8B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0256ACC"/>
    <w:multiLevelType w:val="hybridMultilevel"/>
    <w:tmpl w:val="CEE4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75E30"/>
    <w:multiLevelType w:val="hybridMultilevel"/>
    <w:tmpl w:val="3C9CA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2C45FD9"/>
    <w:multiLevelType w:val="multilevel"/>
    <w:tmpl w:val="48B23FB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53424FE5"/>
    <w:multiLevelType w:val="hybridMultilevel"/>
    <w:tmpl w:val="92D4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34236A"/>
    <w:multiLevelType w:val="hybridMultilevel"/>
    <w:tmpl w:val="FAA4F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9654C6A"/>
    <w:multiLevelType w:val="hybridMultilevel"/>
    <w:tmpl w:val="958A6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2F4939"/>
    <w:multiLevelType w:val="hybridMultilevel"/>
    <w:tmpl w:val="D4EE2D3E"/>
    <w:lvl w:ilvl="0" w:tplc="A7F84E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023E45"/>
    <w:multiLevelType w:val="hybridMultilevel"/>
    <w:tmpl w:val="5DC6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F43416"/>
    <w:multiLevelType w:val="hybridMultilevel"/>
    <w:tmpl w:val="F02E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CE7837"/>
    <w:multiLevelType w:val="hybridMultilevel"/>
    <w:tmpl w:val="62E21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134620"/>
    <w:multiLevelType w:val="hybridMultilevel"/>
    <w:tmpl w:val="129A0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D76F36"/>
    <w:multiLevelType w:val="hybridMultilevel"/>
    <w:tmpl w:val="57AE1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5AD3D94"/>
    <w:multiLevelType w:val="hybridMultilevel"/>
    <w:tmpl w:val="3298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4C0153"/>
    <w:multiLevelType w:val="hybridMultilevel"/>
    <w:tmpl w:val="D3DA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F91F2B"/>
    <w:multiLevelType w:val="hybridMultilevel"/>
    <w:tmpl w:val="C5D06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AA1519E"/>
    <w:multiLevelType w:val="hybridMultilevel"/>
    <w:tmpl w:val="AFD4E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240E4E"/>
    <w:multiLevelType w:val="hybridMultilevel"/>
    <w:tmpl w:val="F852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47"/>
  </w:num>
  <w:num w:numId="3">
    <w:abstractNumId w:val="14"/>
  </w:num>
  <w:num w:numId="4">
    <w:abstractNumId w:val="27"/>
  </w:num>
  <w:num w:numId="5">
    <w:abstractNumId w:val="49"/>
  </w:num>
  <w:num w:numId="6">
    <w:abstractNumId w:val="35"/>
  </w:num>
  <w:num w:numId="7">
    <w:abstractNumId w:val="42"/>
  </w:num>
  <w:num w:numId="8">
    <w:abstractNumId w:val="40"/>
  </w:num>
  <w:num w:numId="9">
    <w:abstractNumId w:val="13"/>
  </w:num>
  <w:num w:numId="10">
    <w:abstractNumId w:val="33"/>
  </w:num>
  <w:num w:numId="11">
    <w:abstractNumId w:val="26"/>
  </w:num>
  <w:num w:numId="12">
    <w:abstractNumId w:val="23"/>
  </w:num>
  <w:num w:numId="13">
    <w:abstractNumId w:val="36"/>
  </w:num>
  <w:num w:numId="14">
    <w:abstractNumId w:val="21"/>
  </w:num>
  <w:num w:numId="15">
    <w:abstractNumId w:val="31"/>
  </w:num>
  <w:num w:numId="16">
    <w:abstractNumId w:val="6"/>
  </w:num>
  <w:num w:numId="17">
    <w:abstractNumId w:val="45"/>
  </w:num>
  <w:num w:numId="18">
    <w:abstractNumId w:val="2"/>
  </w:num>
  <w:num w:numId="19">
    <w:abstractNumId w:val="11"/>
  </w:num>
  <w:num w:numId="20">
    <w:abstractNumId w:val="46"/>
  </w:num>
  <w:num w:numId="21">
    <w:abstractNumId w:val="7"/>
  </w:num>
  <w:num w:numId="22">
    <w:abstractNumId w:val="50"/>
  </w:num>
  <w:num w:numId="23">
    <w:abstractNumId w:val="44"/>
  </w:num>
  <w:num w:numId="24">
    <w:abstractNumId w:val="18"/>
  </w:num>
  <w:num w:numId="25">
    <w:abstractNumId w:val="10"/>
  </w:num>
  <w:num w:numId="26">
    <w:abstractNumId w:val="16"/>
  </w:num>
  <w:num w:numId="27">
    <w:abstractNumId w:val="1"/>
  </w:num>
  <w:num w:numId="28">
    <w:abstractNumId w:val="53"/>
  </w:num>
  <w:num w:numId="29">
    <w:abstractNumId w:val="17"/>
  </w:num>
  <w:num w:numId="30">
    <w:abstractNumId w:val="0"/>
  </w:num>
  <w:num w:numId="31">
    <w:abstractNumId w:val="43"/>
  </w:num>
  <w:num w:numId="32">
    <w:abstractNumId w:val="5"/>
  </w:num>
  <w:num w:numId="33">
    <w:abstractNumId w:val="56"/>
  </w:num>
  <w:num w:numId="34">
    <w:abstractNumId w:val="52"/>
  </w:num>
  <w:num w:numId="35">
    <w:abstractNumId w:val="30"/>
  </w:num>
  <w:num w:numId="36">
    <w:abstractNumId w:val="25"/>
  </w:num>
  <w:num w:numId="37">
    <w:abstractNumId w:val="38"/>
  </w:num>
  <w:num w:numId="38">
    <w:abstractNumId w:val="15"/>
  </w:num>
  <w:num w:numId="39">
    <w:abstractNumId w:val="12"/>
  </w:num>
  <w:num w:numId="40">
    <w:abstractNumId w:val="29"/>
  </w:num>
  <w:num w:numId="41">
    <w:abstractNumId w:val="4"/>
  </w:num>
  <w:num w:numId="42">
    <w:abstractNumId w:val="19"/>
  </w:num>
  <w:num w:numId="43">
    <w:abstractNumId w:val="39"/>
  </w:num>
  <w:num w:numId="44">
    <w:abstractNumId w:val="58"/>
  </w:num>
  <w:num w:numId="45">
    <w:abstractNumId w:val="57"/>
  </w:num>
  <w:num w:numId="46">
    <w:abstractNumId w:val="24"/>
  </w:num>
  <w:num w:numId="47">
    <w:abstractNumId w:val="3"/>
  </w:num>
  <w:num w:numId="48">
    <w:abstractNumId w:val="54"/>
  </w:num>
  <w:num w:numId="49">
    <w:abstractNumId w:val="20"/>
  </w:num>
  <w:num w:numId="50">
    <w:abstractNumId w:val="34"/>
  </w:num>
  <w:num w:numId="51">
    <w:abstractNumId w:val="8"/>
  </w:num>
  <w:num w:numId="52">
    <w:abstractNumId w:val="51"/>
  </w:num>
  <w:num w:numId="53">
    <w:abstractNumId w:val="55"/>
  </w:num>
  <w:num w:numId="54">
    <w:abstractNumId w:val="37"/>
  </w:num>
  <w:num w:numId="55">
    <w:abstractNumId w:val="22"/>
  </w:num>
  <w:num w:numId="56">
    <w:abstractNumId w:val="41"/>
  </w:num>
  <w:num w:numId="57">
    <w:abstractNumId w:val="9"/>
  </w:num>
  <w:num w:numId="58">
    <w:abstractNumId w:val="28"/>
  </w:num>
  <w:num w:numId="59">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9A0"/>
    <w:rsid w:val="00005230"/>
    <w:rsid w:val="00005F0B"/>
    <w:rsid w:val="00006103"/>
    <w:rsid w:val="00017748"/>
    <w:rsid w:val="00017BFF"/>
    <w:rsid w:val="000222AA"/>
    <w:rsid w:val="0002365D"/>
    <w:rsid w:val="00031BD1"/>
    <w:rsid w:val="00033E9B"/>
    <w:rsid w:val="00037D6B"/>
    <w:rsid w:val="000467A1"/>
    <w:rsid w:val="00055865"/>
    <w:rsid w:val="00077DDD"/>
    <w:rsid w:val="000861BB"/>
    <w:rsid w:val="00093FD7"/>
    <w:rsid w:val="000A7697"/>
    <w:rsid w:val="000B1137"/>
    <w:rsid w:val="000B7CB5"/>
    <w:rsid w:val="000C02BA"/>
    <w:rsid w:val="000C2B60"/>
    <w:rsid w:val="000C2B71"/>
    <w:rsid w:val="000C4DB6"/>
    <w:rsid w:val="000C7625"/>
    <w:rsid w:val="000D0A1C"/>
    <w:rsid w:val="000D0FE5"/>
    <w:rsid w:val="000D3B59"/>
    <w:rsid w:val="000D7503"/>
    <w:rsid w:val="000D7C0A"/>
    <w:rsid w:val="000D7F2D"/>
    <w:rsid w:val="000E0DF6"/>
    <w:rsid w:val="000E1B6F"/>
    <w:rsid w:val="000E221B"/>
    <w:rsid w:val="000F46D6"/>
    <w:rsid w:val="00103128"/>
    <w:rsid w:val="001053A9"/>
    <w:rsid w:val="00110021"/>
    <w:rsid w:val="00111788"/>
    <w:rsid w:val="00112477"/>
    <w:rsid w:val="001126D3"/>
    <w:rsid w:val="00121D3F"/>
    <w:rsid w:val="0012262C"/>
    <w:rsid w:val="0012543C"/>
    <w:rsid w:val="001269D5"/>
    <w:rsid w:val="0016752B"/>
    <w:rsid w:val="00174740"/>
    <w:rsid w:val="00175627"/>
    <w:rsid w:val="00180217"/>
    <w:rsid w:val="00193DEE"/>
    <w:rsid w:val="00195D5B"/>
    <w:rsid w:val="001B4E39"/>
    <w:rsid w:val="001B713A"/>
    <w:rsid w:val="001C1BBA"/>
    <w:rsid w:val="001E08CE"/>
    <w:rsid w:val="001E11CE"/>
    <w:rsid w:val="001E3F18"/>
    <w:rsid w:val="001E5885"/>
    <w:rsid w:val="001F2FD1"/>
    <w:rsid w:val="002028F9"/>
    <w:rsid w:val="00203248"/>
    <w:rsid w:val="00211629"/>
    <w:rsid w:val="0021500C"/>
    <w:rsid w:val="0022165D"/>
    <w:rsid w:val="002373AA"/>
    <w:rsid w:val="00247638"/>
    <w:rsid w:val="00262D03"/>
    <w:rsid w:val="002670C3"/>
    <w:rsid w:val="00267985"/>
    <w:rsid w:val="00272383"/>
    <w:rsid w:val="00283251"/>
    <w:rsid w:val="002860D0"/>
    <w:rsid w:val="00290699"/>
    <w:rsid w:val="002A3BF3"/>
    <w:rsid w:val="002B0AC6"/>
    <w:rsid w:val="002B1177"/>
    <w:rsid w:val="002B3E06"/>
    <w:rsid w:val="002B44E2"/>
    <w:rsid w:val="002B5EB6"/>
    <w:rsid w:val="002C06A4"/>
    <w:rsid w:val="002C5DBD"/>
    <w:rsid w:val="002D4B7D"/>
    <w:rsid w:val="002E0F5D"/>
    <w:rsid w:val="002E194E"/>
    <w:rsid w:val="002E53E2"/>
    <w:rsid w:val="002E54A4"/>
    <w:rsid w:val="002F6874"/>
    <w:rsid w:val="003016B6"/>
    <w:rsid w:val="00316462"/>
    <w:rsid w:val="00316604"/>
    <w:rsid w:val="003258D6"/>
    <w:rsid w:val="00326CD4"/>
    <w:rsid w:val="003307FC"/>
    <w:rsid w:val="00330BE6"/>
    <w:rsid w:val="00337AB6"/>
    <w:rsid w:val="00341C7D"/>
    <w:rsid w:val="003479C5"/>
    <w:rsid w:val="00350349"/>
    <w:rsid w:val="00353F56"/>
    <w:rsid w:val="00361FC1"/>
    <w:rsid w:val="003741BD"/>
    <w:rsid w:val="00374FD6"/>
    <w:rsid w:val="0038408E"/>
    <w:rsid w:val="00392FA7"/>
    <w:rsid w:val="003A1805"/>
    <w:rsid w:val="003A4716"/>
    <w:rsid w:val="003A5EBE"/>
    <w:rsid w:val="003B2115"/>
    <w:rsid w:val="003B4D3E"/>
    <w:rsid w:val="003B67D2"/>
    <w:rsid w:val="003B6A1A"/>
    <w:rsid w:val="003B7502"/>
    <w:rsid w:val="003C4279"/>
    <w:rsid w:val="003C799F"/>
    <w:rsid w:val="003C7F92"/>
    <w:rsid w:val="003D0D86"/>
    <w:rsid w:val="003D728A"/>
    <w:rsid w:val="003E0E36"/>
    <w:rsid w:val="003E198D"/>
    <w:rsid w:val="003E2D95"/>
    <w:rsid w:val="003E4820"/>
    <w:rsid w:val="003F69D7"/>
    <w:rsid w:val="00401799"/>
    <w:rsid w:val="00425C5D"/>
    <w:rsid w:val="0042619D"/>
    <w:rsid w:val="004303DF"/>
    <w:rsid w:val="00430FCF"/>
    <w:rsid w:val="00433610"/>
    <w:rsid w:val="004422DD"/>
    <w:rsid w:val="004465B5"/>
    <w:rsid w:val="00447AFE"/>
    <w:rsid w:val="00451D09"/>
    <w:rsid w:val="004610DD"/>
    <w:rsid w:val="00462CD7"/>
    <w:rsid w:val="004729C7"/>
    <w:rsid w:val="00477458"/>
    <w:rsid w:val="00483246"/>
    <w:rsid w:val="00483A2F"/>
    <w:rsid w:val="00484EC7"/>
    <w:rsid w:val="00490271"/>
    <w:rsid w:val="004A772B"/>
    <w:rsid w:val="004B3260"/>
    <w:rsid w:val="004C00C3"/>
    <w:rsid w:val="004C4B60"/>
    <w:rsid w:val="004D2374"/>
    <w:rsid w:val="004D2FF2"/>
    <w:rsid w:val="004D7CA8"/>
    <w:rsid w:val="004E193F"/>
    <w:rsid w:val="004F0515"/>
    <w:rsid w:val="004F315F"/>
    <w:rsid w:val="004F7624"/>
    <w:rsid w:val="00500CA5"/>
    <w:rsid w:val="005059EE"/>
    <w:rsid w:val="005061BA"/>
    <w:rsid w:val="00515796"/>
    <w:rsid w:val="005173F9"/>
    <w:rsid w:val="00517BE6"/>
    <w:rsid w:val="0052191C"/>
    <w:rsid w:val="00526465"/>
    <w:rsid w:val="00530748"/>
    <w:rsid w:val="005312E1"/>
    <w:rsid w:val="00532D0E"/>
    <w:rsid w:val="00537EB2"/>
    <w:rsid w:val="005408BE"/>
    <w:rsid w:val="00541CBA"/>
    <w:rsid w:val="005473B0"/>
    <w:rsid w:val="005516CB"/>
    <w:rsid w:val="00551A70"/>
    <w:rsid w:val="00551EB8"/>
    <w:rsid w:val="005556E5"/>
    <w:rsid w:val="00557488"/>
    <w:rsid w:val="0056291F"/>
    <w:rsid w:val="0057078B"/>
    <w:rsid w:val="00570BEA"/>
    <w:rsid w:val="0057683F"/>
    <w:rsid w:val="005801FF"/>
    <w:rsid w:val="00582B4B"/>
    <w:rsid w:val="005839F8"/>
    <w:rsid w:val="00583AA5"/>
    <w:rsid w:val="0058503C"/>
    <w:rsid w:val="00591A71"/>
    <w:rsid w:val="00595A34"/>
    <w:rsid w:val="005A1146"/>
    <w:rsid w:val="005A74E2"/>
    <w:rsid w:val="005B0237"/>
    <w:rsid w:val="005B099C"/>
    <w:rsid w:val="005B7CCD"/>
    <w:rsid w:val="005C13FF"/>
    <w:rsid w:val="005C370C"/>
    <w:rsid w:val="005C4343"/>
    <w:rsid w:val="005C6A45"/>
    <w:rsid w:val="005D5342"/>
    <w:rsid w:val="005D5492"/>
    <w:rsid w:val="005E1E37"/>
    <w:rsid w:val="005E6BEE"/>
    <w:rsid w:val="005F35B7"/>
    <w:rsid w:val="005F4CA7"/>
    <w:rsid w:val="005F6CCA"/>
    <w:rsid w:val="00603F59"/>
    <w:rsid w:val="006045D7"/>
    <w:rsid w:val="00605A20"/>
    <w:rsid w:val="006117AA"/>
    <w:rsid w:val="006138BD"/>
    <w:rsid w:val="006177BA"/>
    <w:rsid w:val="006207E0"/>
    <w:rsid w:val="0062172A"/>
    <w:rsid w:val="00622810"/>
    <w:rsid w:val="00623391"/>
    <w:rsid w:val="00624967"/>
    <w:rsid w:val="00633AC2"/>
    <w:rsid w:val="00637D6A"/>
    <w:rsid w:val="0064111A"/>
    <w:rsid w:val="006461B4"/>
    <w:rsid w:val="00647B7D"/>
    <w:rsid w:val="00653107"/>
    <w:rsid w:val="006559F9"/>
    <w:rsid w:val="00656131"/>
    <w:rsid w:val="00665788"/>
    <w:rsid w:val="00671376"/>
    <w:rsid w:val="0067287C"/>
    <w:rsid w:val="00683539"/>
    <w:rsid w:val="0068717C"/>
    <w:rsid w:val="006970F3"/>
    <w:rsid w:val="006A0450"/>
    <w:rsid w:val="006A3E35"/>
    <w:rsid w:val="006A46B9"/>
    <w:rsid w:val="006A5112"/>
    <w:rsid w:val="006B2AF5"/>
    <w:rsid w:val="006B50F5"/>
    <w:rsid w:val="006B6A79"/>
    <w:rsid w:val="006C00C0"/>
    <w:rsid w:val="006C0BA1"/>
    <w:rsid w:val="006C316E"/>
    <w:rsid w:val="006D4C1F"/>
    <w:rsid w:val="006D65FE"/>
    <w:rsid w:val="006E6B6D"/>
    <w:rsid w:val="006E75D1"/>
    <w:rsid w:val="006E7855"/>
    <w:rsid w:val="006F1279"/>
    <w:rsid w:val="006F2F70"/>
    <w:rsid w:val="006F67E3"/>
    <w:rsid w:val="006F76D9"/>
    <w:rsid w:val="006F792A"/>
    <w:rsid w:val="007027DC"/>
    <w:rsid w:val="00711995"/>
    <w:rsid w:val="007144EE"/>
    <w:rsid w:val="00714FCE"/>
    <w:rsid w:val="007274EA"/>
    <w:rsid w:val="00730CEF"/>
    <w:rsid w:val="00730E8F"/>
    <w:rsid w:val="00732937"/>
    <w:rsid w:val="00740E83"/>
    <w:rsid w:val="0074577F"/>
    <w:rsid w:val="00752213"/>
    <w:rsid w:val="00760C1D"/>
    <w:rsid w:val="0078191A"/>
    <w:rsid w:val="00781B5C"/>
    <w:rsid w:val="007938A2"/>
    <w:rsid w:val="007A05B8"/>
    <w:rsid w:val="007A2ADD"/>
    <w:rsid w:val="007A32C3"/>
    <w:rsid w:val="007A3D25"/>
    <w:rsid w:val="007A6225"/>
    <w:rsid w:val="007B5057"/>
    <w:rsid w:val="007B7651"/>
    <w:rsid w:val="007B7D0E"/>
    <w:rsid w:val="007C0EBC"/>
    <w:rsid w:val="007C4FB7"/>
    <w:rsid w:val="007C61F6"/>
    <w:rsid w:val="007C7166"/>
    <w:rsid w:val="007D0B87"/>
    <w:rsid w:val="007D1E13"/>
    <w:rsid w:val="007D38A2"/>
    <w:rsid w:val="007E3FC5"/>
    <w:rsid w:val="007E4B05"/>
    <w:rsid w:val="007F08BA"/>
    <w:rsid w:val="008005C6"/>
    <w:rsid w:val="008079F9"/>
    <w:rsid w:val="00817178"/>
    <w:rsid w:val="00820886"/>
    <w:rsid w:val="00823D1A"/>
    <w:rsid w:val="00826F6F"/>
    <w:rsid w:val="00827385"/>
    <w:rsid w:val="00830772"/>
    <w:rsid w:val="0083252F"/>
    <w:rsid w:val="00837375"/>
    <w:rsid w:val="0084588B"/>
    <w:rsid w:val="008505DA"/>
    <w:rsid w:val="0085651B"/>
    <w:rsid w:val="00857328"/>
    <w:rsid w:val="00860FF0"/>
    <w:rsid w:val="008622C6"/>
    <w:rsid w:val="00862C5B"/>
    <w:rsid w:val="008634C3"/>
    <w:rsid w:val="00863B24"/>
    <w:rsid w:val="00871EEF"/>
    <w:rsid w:val="0088192A"/>
    <w:rsid w:val="0089025B"/>
    <w:rsid w:val="00893502"/>
    <w:rsid w:val="00896D2D"/>
    <w:rsid w:val="008A3082"/>
    <w:rsid w:val="008B3D66"/>
    <w:rsid w:val="008B7505"/>
    <w:rsid w:val="008C408B"/>
    <w:rsid w:val="008D04BD"/>
    <w:rsid w:val="008D062C"/>
    <w:rsid w:val="008D2610"/>
    <w:rsid w:val="008E5FB6"/>
    <w:rsid w:val="008F4E0F"/>
    <w:rsid w:val="009056FF"/>
    <w:rsid w:val="009127C3"/>
    <w:rsid w:val="00914B01"/>
    <w:rsid w:val="00916A4E"/>
    <w:rsid w:val="009259A0"/>
    <w:rsid w:val="00930E6A"/>
    <w:rsid w:val="00934E9F"/>
    <w:rsid w:val="00934EF9"/>
    <w:rsid w:val="00940EBC"/>
    <w:rsid w:val="00941254"/>
    <w:rsid w:val="009432D5"/>
    <w:rsid w:val="00943A2C"/>
    <w:rsid w:val="00945DA4"/>
    <w:rsid w:val="00946184"/>
    <w:rsid w:val="00950D41"/>
    <w:rsid w:val="00953A5C"/>
    <w:rsid w:val="00954FC5"/>
    <w:rsid w:val="00961B3B"/>
    <w:rsid w:val="00971081"/>
    <w:rsid w:val="0097247B"/>
    <w:rsid w:val="00985C33"/>
    <w:rsid w:val="009879FD"/>
    <w:rsid w:val="009928E9"/>
    <w:rsid w:val="009A0FCF"/>
    <w:rsid w:val="009B0F5C"/>
    <w:rsid w:val="009B460A"/>
    <w:rsid w:val="009B77D3"/>
    <w:rsid w:val="009D10A0"/>
    <w:rsid w:val="009D562F"/>
    <w:rsid w:val="009E2387"/>
    <w:rsid w:val="009E28FB"/>
    <w:rsid w:val="009E7D91"/>
    <w:rsid w:val="009E7EAC"/>
    <w:rsid w:val="009F09F0"/>
    <w:rsid w:val="009F62D4"/>
    <w:rsid w:val="009F71BD"/>
    <w:rsid w:val="00A005AD"/>
    <w:rsid w:val="00A0758B"/>
    <w:rsid w:val="00A120E6"/>
    <w:rsid w:val="00A26109"/>
    <w:rsid w:val="00A30737"/>
    <w:rsid w:val="00A30F2F"/>
    <w:rsid w:val="00A31678"/>
    <w:rsid w:val="00A3224F"/>
    <w:rsid w:val="00A343B5"/>
    <w:rsid w:val="00A35DCB"/>
    <w:rsid w:val="00A3752B"/>
    <w:rsid w:val="00A41D0B"/>
    <w:rsid w:val="00A45C92"/>
    <w:rsid w:val="00A469B1"/>
    <w:rsid w:val="00A60C8A"/>
    <w:rsid w:val="00A63D1A"/>
    <w:rsid w:val="00A65028"/>
    <w:rsid w:val="00A6563E"/>
    <w:rsid w:val="00A864CE"/>
    <w:rsid w:val="00A86C66"/>
    <w:rsid w:val="00A92D76"/>
    <w:rsid w:val="00A940BA"/>
    <w:rsid w:val="00A95EC7"/>
    <w:rsid w:val="00AA7CDC"/>
    <w:rsid w:val="00AB0F77"/>
    <w:rsid w:val="00AB1916"/>
    <w:rsid w:val="00AB3BFD"/>
    <w:rsid w:val="00AC1819"/>
    <w:rsid w:val="00AC75DD"/>
    <w:rsid w:val="00AD1135"/>
    <w:rsid w:val="00AD2530"/>
    <w:rsid w:val="00AE2868"/>
    <w:rsid w:val="00AE3D89"/>
    <w:rsid w:val="00AF1BB3"/>
    <w:rsid w:val="00AF23CF"/>
    <w:rsid w:val="00AF3FBA"/>
    <w:rsid w:val="00AF4F86"/>
    <w:rsid w:val="00B00000"/>
    <w:rsid w:val="00B01D9B"/>
    <w:rsid w:val="00B038F2"/>
    <w:rsid w:val="00B169D1"/>
    <w:rsid w:val="00B27179"/>
    <w:rsid w:val="00B34C9F"/>
    <w:rsid w:val="00B35A40"/>
    <w:rsid w:val="00B553CB"/>
    <w:rsid w:val="00B57D2F"/>
    <w:rsid w:val="00B65DEA"/>
    <w:rsid w:val="00B676B7"/>
    <w:rsid w:val="00B7381F"/>
    <w:rsid w:val="00B761C1"/>
    <w:rsid w:val="00B8323C"/>
    <w:rsid w:val="00B869D8"/>
    <w:rsid w:val="00B87A3A"/>
    <w:rsid w:val="00B90561"/>
    <w:rsid w:val="00B90946"/>
    <w:rsid w:val="00B938C4"/>
    <w:rsid w:val="00B93F9B"/>
    <w:rsid w:val="00B95080"/>
    <w:rsid w:val="00BB2870"/>
    <w:rsid w:val="00BB5F4A"/>
    <w:rsid w:val="00BC716B"/>
    <w:rsid w:val="00BD3371"/>
    <w:rsid w:val="00BD3D57"/>
    <w:rsid w:val="00BE2B3D"/>
    <w:rsid w:val="00BE3AE6"/>
    <w:rsid w:val="00BE6F57"/>
    <w:rsid w:val="00BF2557"/>
    <w:rsid w:val="00BF4342"/>
    <w:rsid w:val="00C019A9"/>
    <w:rsid w:val="00C104F3"/>
    <w:rsid w:val="00C12FCF"/>
    <w:rsid w:val="00C17EEC"/>
    <w:rsid w:val="00C223BE"/>
    <w:rsid w:val="00C232A0"/>
    <w:rsid w:val="00C321D7"/>
    <w:rsid w:val="00C3327F"/>
    <w:rsid w:val="00C33CAA"/>
    <w:rsid w:val="00C33D27"/>
    <w:rsid w:val="00C35F51"/>
    <w:rsid w:val="00C5208B"/>
    <w:rsid w:val="00C60040"/>
    <w:rsid w:val="00C6058D"/>
    <w:rsid w:val="00C63F52"/>
    <w:rsid w:val="00C656C3"/>
    <w:rsid w:val="00C67C67"/>
    <w:rsid w:val="00C70001"/>
    <w:rsid w:val="00C74288"/>
    <w:rsid w:val="00C75728"/>
    <w:rsid w:val="00C7701F"/>
    <w:rsid w:val="00C776ED"/>
    <w:rsid w:val="00C81D6D"/>
    <w:rsid w:val="00C83225"/>
    <w:rsid w:val="00C9105E"/>
    <w:rsid w:val="00C937AF"/>
    <w:rsid w:val="00C939A3"/>
    <w:rsid w:val="00CA7C4D"/>
    <w:rsid w:val="00CB0FA1"/>
    <w:rsid w:val="00CB1DEB"/>
    <w:rsid w:val="00CB7679"/>
    <w:rsid w:val="00CC785D"/>
    <w:rsid w:val="00CD0238"/>
    <w:rsid w:val="00CD0E80"/>
    <w:rsid w:val="00CD38EC"/>
    <w:rsid w:val="00CD399C"/>
    <w:rsid w:val="00CE1FD0"/>
    <w:rsid w:val="00CE2162"/>
    <w:rsid w:val="00CE6168"/>
    <w:rsid w:val="00CE6D31"/>
    <w:rsid w:val="00CF7805"/>
    <w:rsid w:val="00D0698D"/>
    <w:rsid w:val="00D11BFC"/>
    <w:rsid w:val="00D13607"/>
    <w:rsid w:val="00D23ED1"/>
    <w:rsid w:val="00D460FA"/>
    <w:rsid w:val="00D523C2"/>
    <w:rsid w:val="00D62E92"/>
    <w:rsid w:val="00D70144"/>
    <w:rsid w:val="00DA59AA"/>
    <w:rsid w:val="00DA5B69"/>
    <w:rsid w:val="00DB011C"/>
    <w:rsid w:val="00DB1B04"/>
    <w:rsid w:val="00DB5EE8"/>
    <w:rsid w:val="00DB7512"/>
    <w:rsid w:val="00DC0E97"/>
    <w:rsid w:val="00DC1B15"/>
    <w:rsid w:val="00DC52A3"/>
    <w:rsid w:val="00DC6BF9"/>
    <w:rsid w:val="00DC6FC4"/>
    <w:rsid w:val="00DC76B0"/>
    <w:rsid w:val="00DD175E"/>
    <w:rsid w:val="00DD43C8"/>
    <w:rsid w:val="00DE256F"/>
    <w:rsid w:val="00DE3ECF"/>
    <w:rsid w:val="00DE5190"/>
    <w:rsid w:val="00DE759D"/>
    <w:rsid w:val="00DF13C1"/>
    <w:rsid w:val="00DF5119"/>
    <w:rsid w:val="00DF6529"/>
    <w:rsid w:val="00DF752A"/>
    <w:rsid w:val="00E027F1"/>
    <w:rsid w:val="00E04259"/>
    <w:rsid w:val="00E046AE"/>
    <w:rsid w:val="00E13764"/>
    <w:rsid w:val="00E13EBC"/>
    <w:rsid w:val="00E140D3"/>
    <w:rsid w:val="00E177AC"/>
    <w:rsid w:val="00E216DA"/>
    <w:rsid w:val="00E233F2"/>
    <w:rsid w:val="00E27F38"/>
    <w:rsid w:val="00E3280E"/>
    <w:rsid w:val="00E50894"/>
    <w:rsid w:val="00E50D9F"/>
    <w:rsid w:val="00E51254"/>
    <w:rsid w:val="00E51842"/>
    <w:rsid w:val="00E53A40"/>
    <w:rsid w:val="00E62043"/>
    <w:rsid w:val="00E63B19"/>
    <w:rsid w:val="00E80EF1"/>
    <w:rsid w:val="00E91ED6"/>
    <w:rsid w:val="00EA36BF"/>
    <w:rsid w:val="00EA7530"/>
    <w:rsid w:val="00EB1E81"/>
    <w:rsid w:val="00EB52C2"/>
    <w:rsid w:val="00EB616C"/>
    <w:rsid w:val="00EC3D7B"/>
    <w:rsid w:val="00EC64AF"/>
    <w:rsid w:val="00ED1DC3"/>
    <w:rsid w:val="00ED2381"/>
    <w:rsid w:val="00ED418E"/>
    <w:rsid w:val="00ED4B6E"/>
    <w:rsid w:val="00ED7E20"/>
    <w:rsid w:val="00EE0384"/>
    <w:rsid w:val="00EE0A40"/>
    <w:rsid w:val="00EF0A61"/>
    <w:rsid w:val="00EF34CD"/>
    <w:rsid w:val="00F035D9"/>
    <w:rsid w:val="00F03830"/>
    <w:rsid w:val="00F046A1"/>
    <w:rsid w:val="00F07572"/>
    <w:rsid w:val="00F13ED4"/>
    <w:rsid w:val="00F14099"/>
    <w:rsid w:val="00F16884"/>
    <w:rsid w:val="00F2000D"/>
    <w:rsid w:val="00F240F9"/>
    <w:rsid w:val="00F30051"/>
    <w:rsid w:val="00F30484"/>
    <w:rsid w:val="00F30961"/>
    <w:rsid w:val="00F32D98"/>
    <w:rsid w:val="00F446E1"/>
    <w:rsid w:val="00F46208"/>
    <w:rsid w:val="00F51056"/>
    <w:rsid w:val="00F5161C"/>
    <w:rsid w:val="00F52631"/>
    <w:rsid w:val="00F55ECE"/>
    <w:rsid w:val="00F61268"/>
    <w:rsid w:val="00F65E81"/>
    <w:rsid w:val="00F67D1E"/>
    <w:rsid w:val="00F96DF6"/>
    <w:rsid w:val="00FA621F"/>
    <w:rsid w:val="00FB04FF"/>
    <w:rsid w:val="00FB3108"/>
    <w:rsid w:val="00FB792B"/>
    <w:rsid w:val="00FC1AF1"/>
    <w:rsid w:val="00FC3E7D"/>
    <w:rsid w:val="00FC7287"/>
    <w:rsid w:val="00FD4778"/>
    <w:rsid w:val="00FE11BE"/>
    <w:rsid w:val="00FE2247"/>
    <w:rsid w:val="00FE67A5"/>
    <w:rsid w:val="00FF3960"/>
    <w:rsid w:val="00FF4ACF"/>
    <w:rsid w:val="00FF4FE7"/>
    <w:rsid w:val="00FF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5BB518"/>
  <w15:chartTrackingRefBased/>
  <w15:docId w15:val="{2B562E7C-1111-49B0-BC53-716309EC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ED1"/>
    <w:pPr>
      <w:spacing w:after="200" w:line="276" w:lineRule="auto"/>
      <w:jc w:val="both"/>
    </w:pPr>
    <w:rPr>
      <w:sz w:val="24"/>
    </w:rPr>
  </w:style>
  <w:style w:type="paragraph" w:styleId="Heading1">
    <w:name w:val="heading 1"/>
    <w:basedOn w:val="Normal"/>
    <w:next w:val="Normal"/>
    <w:link w:val="Heading1Char"/>
    <w:uiPriority w:val="9"/>
    <w:qFormat/>
    <w:rsid w:val="001E08CE"/>
    <w:pPr>
      <w:spacing w:after="500"/>
      <w:jc w:val="left"/>
      <w:outlineLvl w:val="0"/>
    </w:pPr>
    <w:rPr>
      <w:rFonts w:ascii="Andes" w:eastAsia="Calibri" w:hAnsi="Andes" w:cs="Arial"/>
      <w:caps/>
      <w:noProof/>
      <w:color w:val="BF454A"/>
      <w:sz w:val="40"/>
      <w:szCs w:val="40"/>
    </w:rPr>
  </w:style>
  <w:style w:type="paragraph" w:styleId="Heading2">
    <w:name w:val="heading 2"/>
    <w:basedOn w:val="Normal"/>
    <w:next w:val="Normal"/>
    <w:link w:val="Heading2Char"/>
    <w:unhideWhenUsed/>
    <w:qFormat/>
    <w:rsid w:val="00DE3ECF"/>
    <w:pPr>
      <w:keepNext/>
      <w:keepLines/>
      <w:spacing w:before="600" w:after="300"/>
      <w:outlineLvl w:val="1"/>
    </w:pPr>
    <w:rPr>
      <w:rFonts w:ascii="Andes" w:eastAsia="Times New Roman" w:hAnsi="Andes" w:cstheme="majorBidi"/>
      <w:bCs/>
      <w:color w:val="BF454A"/>
      <w:sz w:val="32"/>
      <w:szCs w:val="28"/>
      <w:lang w:val="en-GB" w:eastAsia="en-GB"/>
    </w:rPr>
  </w:style>
  <w:style w:type="paragraph" w:styleId="Heading3">
    <w:name w:val="heading 3"/>
    <w:basedOn w:val="Normal"/>
    <w:next w:val="Normal"/>
    <w:link w:val="Heading3Char"/>
    <w:uiPriority w:val="9"/>
    <w:unhideWhenUsed/>
    <w:qFormat/>
    <w:rsid w:val="00940EBC"/>
    <w:pPr>
      <w:keepNext/>
      <w:keepLines/>
      <w:spacing w:before="500"/>
      <w:outlineLvl w:val="2"/>
    </w:pPr>
    <w:rPr>
      <w:rFonts w:ascii="Andes" w:eastAsia="Times New Roman" w:hAnsi="Andes" w:cs="Times New Roman"/>
      <w:bCs/>
      <w:color w:val="06366C"/>
      <w:szCs w:val="24"/>
      <w:lang w:val="en-GB" w:eastAsia="en-GB"/>
    </w:rPr>
  </w:style>
  <w:style w:type="paragraph" w:styleId="Heading4">
    <w:name w:val="heading 4"/>
    <w:basedOn w:val="Normal"/>
    <w:next w:val="Normal"/>
    <w:link w:val="Heading4Char"/>
    <w:uiPriority w:val="9"/>
    <w:unhideWhenUsed/>
    <w:qFormat/>
    <w:rsid w:val="0021500C"/>
    <w:pPr>
      <w:spacing w:before="300"/>
      <w:jc w:val="center"/>
      <w:outlineLvl w:val="3"/>
    </w:pPr>
    <w:rPr>
      <w:rFonts w:cs="Times New Roman"/>
      <w:b/>
      <w:color w:val="BF454A"/>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74EA"/>
    <w:rPr>
      <w:sz w:val="16"/>
      <w:szCs w:val="16"/>
    </w:rPr>
  </w:style>
  <w:style w:type="paragraph" w:styleId="CommentText">
    <w:name w:val="annotation text"/>
    <w:basedOn w:val="Normal"/>
    <w:link w:val="CommentTextChar"/>
    <w:uiPriority w:val="99"/>
    <w:semiHidden/>
    <w:unhideWhenUsed/>
    <w:rsid w:val="007274EA"/>
    <w:rPr>
      <w:sz w:val="20"/>
      <w:szCs w:val="20"/>
    </w:rPr>
  </w:style>
  <w:style w:type="character" w:customStyle="1" w:styleId="CommentTextChar">
    <w:name w:val="Comment Text Char"/>
    <w:basedOn w:val="DefaultParagraphFont"/>
    <w:link w:val="CommentText"/>
    <w:uiPriority w:val="99"/>
    <w:semiHidden/>
    <w:rsid w:val="007274EA"/>
    <w:rPr>
      <w:sz w:val="20"/>
      <w:szCs w:val="20"/>
    </w:rPr>
  </w:style>
  <w:style w:type="paragraph" w:styleId="CommentSubject">
    <w:name w:val="annotation subject"/>
    <w:basedOn w:val="CommentText"/>
    <w:next w:val="CommentText"/>
    <w:link w:val="CommentSubjectChar"/>
    <w:uiPriority w:val="99"/>
    <w:semiHidden/>
    <w:unhideWhenUsed/>
    <w:rsid w:val="007274EA"/>
    <w:rPr>
      <w:b/>
      <w:bCs/>
    </w:rPr>
  </w:style>
  <w:style w:type="character" w:customStyle="1" w:styleId="CommentSubjectChar">
    <w:name w:val="Comment Subject Char"/>
    <w:basedOn w:val="CommentTextChar"/>
    <w:link w:val="CommentSubject"/>
    <w:uiPriority w:val="99"/>
    <w:semiHidden/>
    <w:rsid w:val="007274EA"/>
    <w:rPr>
      <w:b/>
      <w:bCs/>
      <w:sz w:val="20"/>
      <w:szCs w:val="20"/>
    </w:rPr>
  </w:style>
  <w:style w:type="paragraph" w:styleId="BalloonText">
    <w:name w:val="Balloon Text"/>
    <w:basedOn w:val="Normal"/>
    <w:link w:val="BalloonTextChar"/>
    <w:uiPriority w:val="99"/>
    <w:semiHidden/>
    <w:unhideWhenUsed/>
    <w:rsid w:val="007274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4EA"/>
    <w:rPr>
      <w:rFonts w:ascii="Segoe UI" w:hAnsi="Segoe UI" w:cs="Segoe UI"/>
      <w:sz w:val="18"/>
      <w:szCs w:val="18"/>
    </w:rPr>
  </w:style>
  <w:style w:type="paragraph" w:styleId="ListParagraph">
    <w:name w:val="List Paragraph"/>
    <w:aliases w:val="References,Citation List,Numbered List Paragraph,Numbered Paragraph,Main numbered paragraph,Colorful List - Accent 11,List_Paragraph,Multilevel para_II,List Paragraph1,Bullets,123 List Paragraph,List Paragraph nowy,Liste 1,Bullet paras,Ha"/>
    <w:basedOn w:val="Normal"/>
    <w:link w:val="ListParagraphChar"/>
    <w:uiPriority w:val="34"/>
    <w:qFormat/>
    <w:rsid w:val="004E193F"/>
    <w:pPr>
      <w:ind w:left="720"/>
      <w:contextualSpacing/>
    </w:pPr>
  </w:style>
  <w:style w:type="paragraph" w:styleId="Header">
    <w:name w:val="header"/>
    <w:basedOn w:val="Normal"/>
    <w:link w:val="HeaderChar"/>
    <w:uiPriority w:val="99"/>
    <w:unhideWhenUsed/>
    <w:rsid w:val="00B35A40"/>
    <w:pPr>
      <w:tabs>
        <w:tab w:val="center" w:pos="4680"/>
        <w:tab w:val="right" w:pos="9360"/>
      </w:tabs>
    </w:pPr>
  </w:style>
  <w:style w:type="character" w:customStyle="1" w:styleId="HeaderChar">
    <w:name w:val="Header Char"/>
    <w:basedOn w:val="DefaultParagraphFont"/>
    <w:link w:val="Header"/>
    <w:uiPriority w:val="99"/>
    <w:rsid w:val="00B35A40"/>
  </w:style>
  <w:style w:type="paragraph" w:styleId="Footer">
    <w:name w:val="footer"/>
    <w:basedOn w:val="Normal"/>
    <w:link w:val="FooterChar"/>
    <w:uiPriority w:val="99"/>
    <w:unhideWhenUsed/>
    <w:rsid w:val="00B35A40"/>
    <w:pPr>
      <w:tabs>
        <w:tab w:val="center" w:pos="4680"/>
        <w:tab w:val="right" w:pos="9360"/>
      </w:tabs>
    </w:pPr>
  </w:style>
  <w:style w:type="character" w:customStyle="1" w:styleId="FooterChar">
    <w:name w:val="Footer Char"/>
    <w:basedOn w:val="DefaultParagraphFont"/>
    <w:link w:val="Footer"/>
    <w:uiPriority w:val="99"/>
    <w:rsid w:val="00B35A40"/>
  </w:style>
  <w:style w:type="paragraph" w:styleId="EndnoteText">
    <w:name w:val="endnote text"/>
    <w:basedOn w:val="Normal"/>
    <w:link w:val="EndnoteTextChar"/>
    <w:uiPriority w:val="99"/>
    <w:unhideWhenUsed/>
    <w:rsid w:val="0016752B"/>
    <w:rPr>
      <w:sz w:val="20"/>
      <w:szCs w:val="20"/>
    </w:rPr>
  </w:style>
  <w:style w:type="character" w:customStyle="1" w:styleId="EndnoteTextChar">
    <w:name w:val="Endnote Text Char"/>
    <w:basedOn w:val="DefaultParagraphFont"/>
    <w:link w:val="EndnoteText"/>
    <w:uiPriority w:val="99"/>
    <w:rsid w:val="0016752B"/>
    <w:rPr>
      <w:sz w:val="20"/>
      <w:szCs w:val="20"/>
    </w:rPr>
  </w:style>
  <w:style w:type="character" w:styleId="EndnoteReference">
    <w:name w:val="endnote reference"/>
    <w:basedOn w:val="DefaultParagraphFont"/>
    <w:uiPriority w:val="99"/>
    <w:semiHidden/>
    <w:unhideWhenUsed/>
    <w:rsid w:val="0016752B"/>
    <w:rPr>
      <w:vertAlign w:val="superscript"/>
    </w:rPr>
  </w:style>
  <w:style w:type="paragraph" w:styleId="FootnoteText">
    <w:name w:val="footnote text"/>
    <w:aliases w:val="single space,footnote text,FOOTNOTES,fn,Footnote Text Char1,Footnote Text Char Char,Footnote Text Char1 Char Char,Footnote Text Char Char Char Char,Footnote Text Char Char1,ADB,footnote text Char,fn Char,ADB Char Char,ft Char,ft,Fußnote,f"/>
    <w:basedOn w:val="Normal"/>
    <w:link w:val="FootnoteTextChar"/>
    <w:uiPriority w:val="99"/>
    <w:unhideWhenUsed/>
    <w:qFormat/>
    <w:rsid w:val="00D23ED1"/>
    <w:rPr>
      <w:sz w:val="20"/>
      <w:szCs w:val="20"/>
    </w:rPr>
  </w:style>
  <w:style w:type="character" w:customStyle="1" w:styleId="FootnoteTextChar">
    <w:name w:val="Footnote Text Char"/>
    <w:aliases w:val="single space Char,footnote text Char1,FOOTNOTES Char,fn Char1,Footnote Text Char1 Char,Footnote Text Char Char Char,Footnote Text Char1 Char Char Char,Footnote Text Char Char Char Char Char,Footnote Text Char Char1 Char,ADB Char"/>
    <w:basedOn w:val="DefaultParagraphFont"/>
    <w:link w:val="FootnoteText"/>
    <w:uiPriority w:val="99"/>
    <w:qFormat/>
    <w:rsid w:val="00D23ED1"/>
    <w:rPr>
      <w:sz w:val="20"/>
      <w:szCs w:val="20"/>
    </w:rPr>
  </w:style>
  <w:style w:type="character" w:styleId="FootnoteReference">
    <w:name w:val="footnote reference"/>
    <w:aliases w:val="BVI fnr Char1 Char,Footnotes refss Char1 Char,ftref Char1 Char,16 Point Char1 Char,Superscript 6 Point Char1 Char,Footnote Reference Number Char1 Char,nota pié di pagina Char1 Char,Times 10 Point Char1 Char, Exposant 3 Point Char1 Cha"/>
    <w:basedOn w:val="DefaultParagraphFont"/>
    <w:link w:val="CarattereCarattereCharCharCharCharCharCharZchn"/>
    <w:uiPriority w:val="99"/>
    <w:unhideWhenUsed/>
    <w:qFormat/>
    <w:rsid w:val="00D23ED1"/>
    <w:rPr>
      <w:vertAlign w:val="superscript"/>
    </w:rPr>
  </w:style>
  <w:style w:type="character" w:customStyle="1" w:styleId="Heading1Char">
    <w:name w:val="Heading 1 Char"/>
    <w:basedOn w:val="DefaultParagraphFont"/>
    <w:link w:val="Heading1"/>
    <w:uiPriority w:val="9"/>
    <w:qFormat/>
    <w:rsid w:val="001E08CE"/>
    <w:rPr>
      <w:rFonts w:ascii="Andes" w:eastAsia="Calibri" w:hAnsi="Andes" w:cs="Arial"/>
      <w:caps/>
      <w:noProof/>
      <w:color w:val="BF454A"/>
      <w:sz w:val="40"/>
      <w:szCs w:val="40"/>
    </w:rPr>
  </w:style>
  <w:style w:type="character" w:customStyle="1" w:styleId="Heading2Char">
    <w:name w:val="Heading 2 Char"/>
    <w:basedOn w:val="DefaultParagraphFont"/>
    <w:link w:val="Heading2"/>
    <w:rsid w:val="00DE3ECF"/>
    <w:rPr>
      <w:rFonts w:ascii="Andes" w:eastAsia="Times New Roman" w:hAnsi="Andes" w:cstheme="majorBidi"/>
      <w:bCs/>
      <w:color w:val="BF454A"/>
      <w:sz w:val="32"/>
      <w:szCs w:val="28"/>
      <w:lang w:val="en-GB" w:eastAsia="en-GB"/>
    </w:rPr>
  </w:style>
  <w:style w:type="character" w:customStyle="1" w:styleId="ListParagraphChar">
    <w:name w:val="List Paragraph Char"/>
    <w:aliases w:val="References Char,Citation List Char,Numbered List Paragraph Char,Numbered Paragraph Char,Main numbered paragraph Char,Colorful List - Accent 11 Char,List_Paragraph Char,Multilevel para_II Char,List Paragraph1 Char,Bullets Char,Ha Char"/>
    <w:basedOn w:val="DefaultParagraphFont"/>
    <w:link w:val="ListParagraph"/>
    <w:uiPriority w:val="34"/>
    <w:qFormat/>
    <w:rsid w:val="00940EBC"/>
    <w:rPr>
      <w:sz w:val="24"/>
    </w:rPr>
  </w:style>
  <w:style w:type="paragraph" w:styleId="Caption">
    <w:name w:val="caption"/>
    <w:aliases w:val="Caption Char Char Char,Caption1 Char,Caption1,Table title,Figure Head,Figure Head Znak Znak,Figure Head Znak,Table legend,Tab_Überschrift,Figure reference,Tab_†berschrift,Beschriftung Char2,Beschriftung Char1 Char1,Beschriftung Char Char Char1"/>
    <w:basedOn w:val="Normal"/>
    <w:next w:val="Normal"/>
    <w:link w:val="CaptionChar"/>
    <w:uiPriority w:val="35"/>
    <w:qFormat/>
    <w:rsid w:val="00940EBC"/>
    <w:pPr>
      <w:spacing w:before="120" w:after="240" w:line="240" w:lineRule="auto"/>
      <w:ind w:left="806"/>
      <w:jc w:val="center"/>
    </w:pPr>
    <w:rPr>
      <w:rFonts w:ascii="Garamond" w:eastAsia="Times New Roman" w:hAnsi="Garamond" w:cs="Garamond"/>
      <w:i/>
      <w:iCs/>
      <w:sz w:val="22"/>
    </w:rPr>
  </w:style>
  <w:style w:type="character" w:customStyle="1" w:styleId="Heading3Char">
    <w:name w:val="Heading 3 Char"/>
    <w:basedOn w:val="DefaultParagraphFont"/>
    <w:link w:val="Heading3"/>
    <w:uiPriority w:val="9"/>
    <w:rsid w:val="00940EBC"/>
    <w:rPr>
      <w:rFonts w:ascii="Andes" w:eastAsia="Times New Roman" w:hAnsi="Andes" w:cs="Times New Roman"/>
      <w:bCs/>
      <w:color w:val="06366C"/>
      <w:sz w:val="24"/>
      <w:szCs w:val="24"/>
      <w:lang w:val="en-GB" w:eastAsia="en-GB"/>
    </w:rPr>
  </w:style>
  <w:style w:type="character" w:customStyle="1" w:styleId="Heading4Char">
    <w:name w:val="Heading 4 Char"/>
    <w:basedOn w:val="DefaultParagraphFont"/>
    <w:link w:val="Heading4"/>
    <w:uiPriority w:val="9"/>
    <w:rsid w:val="0021500C"/>
    <w:rPr>
      <w:rFonts w:cs="Times New Roman"/>
      <w:b/>
      <w:color w:val="BF454A"/>
      <w:sz w:val="24"/>
      <w:szCs w:val="20"/>
      <w:lang w:val="en-GB" w:eastAsia="en-GB"/>
    </w:rPr>
  </w:style>
  <w:style w:type="paragraph" w:customStyle="1" w:styleId="ListBullet1">
    <w:name w:val="List Bullet1"/>
    <w:basedOn w:val="Normal"/>
    <w:qFormat/>
    <w:rsid w:val="00DF13C1"/>
    <w:pPr>
      <w:numPr>
        <w:numId w:val="6"/>
      </w:numPr>
      <w:tabs>
        <w:tab w:val="left" w:pos="900"/>
      </w:tabs>
      <w:autoSpaceDE w:val="0"/>
      <w:autoSpaceDN w:val="0"/>
      <w:adjustRightInd w:val="0"/>
      <w:spacing w:before="120" w:after="0" w:line="240" w:lineRule="auto"/>
    </w:pPr>
    <w:rPr>
      <w:rFonts w:ascii="Times New Roman" w:hAnsi="Times New Roman"/>
      <w:bCs/>
      <w:color w:val="000000"/>
      <w:szCs w:val="24"/>
    </w:rPr>
  </w:style>
  <w:style w:type="table" w:styleId="TableGrid">
    <w:name w:val="Table Grid"/>
    <w:basedOn w:val="TableNormal"/>
    <w:uiPriority w:val="59"/>
    <w:rsid w:val="00DF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CarattereCharCharCharCharCharCharZchn">
    <w:name w:val="Carattere Carattere Char Char Char Char Char Char Zchn"/>
    <w:basedOn w:val="Normal"/>
    <w:next w:val="Normal"/>
    <w:link w:val="FootnoteReference"/>
    <w:uiPriority w:val="99"/>
    <w:qFormat/>
    <w:rsid w:val="00FB04FF"/>
    <w:pPr>
      <w:spacing w:after="160" w:line="240" w:lineRule="exact"/>
      <w:jc w:val="left"/>
    </w:pPr>
    <w:rPr>
      <w:sz w:val="22"/>
      <w:vertAlign w:val="superscript"/>
    </w:rPr>
  </w:style>
  <w:style w:type="paragraph" w:styleId="NormalWeb">
    <w:name w:val="Normal (Web)"/>
    <w:basedOn w:val="Normal"/>
    <w:uiPriority w:val="99"/>
    <w:unhideWhenUsed/>
    <w:qFormat/>
    <w:rsid w:val="00FB04FF"/>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NoSpacing1">
    <w:name w:val="No Spacing1"/>
    <w:uiPriority w:val="1"/>
    <w:qFormat/>
    <w:rsid w:val="00FB04FF"/>
    <w:rPr>
      <w:rFonts w:ascii="Calibri" w:eastAsia="Times New Roman" w:hAnsi="Calibri" w:cs="Times New Roman"/>
    </w:rPr>
  </w:style>
  <w:style w:type="table" w:customStyle="1" w:styleId="TableGrid1">
    <w:name w:val="Table Grid1"/>
    <w:basedOn w:val="TableNormal"/>
    <w:next w:val="TableGrid"/>
    <w:uiPriority w:val="59"/>
    <w:rsid w:val="00FB0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B04FF"/>
  </w:style>
  <w:style w:type="character" w:styleId="Hyperlink">
    <w:name w:val="Hyperlink"/>
    <w:basedOn w:val="DefaultParagraphFont"/>
    <w:uiPriority w:val="99"/>
    <w:unhideWhenUsed/>
    <w:rsid w:val="00FB04FF"/>
    <w:rPr>
      <w:color w:val="0563C1" w:themeColor="hyperlink"/>
      <w:u w:val="single"/>
    </w:rPr>
  </w:style>
  <w:style w:type="character" w:styleId="Mention">
    <w:name w:val="Mention"/>
    <w:basedOn w:val="DefaultParagraphFont"/>
    <w:uiPriority w:val="99"/>
    <w:semiHidden/>
    <w:unhideWhenUsed/>
    <w:rsid w:val="00FB04FF"/>
    <w:rPr>
      <w:color w:val="2B579A"/>
      <w:shd w:val="clear" w:color="auto" w:fill="E6E6E6"/>
    </w:rPr>
  </w:style>
  <w:style w:type="character" w:customStyle="1" w:styleId="CaptionChar">
    <w:name w:val="Caption Char"/>
    <w:aliases w:val="Caption Char Char Char Char,Caption1 Char Char,Caption1 Char1,Table title Char,Figure Head Char,Figure Head Znak Znak Char,Figure Head Znak Char,Table legend Char,Tab_Überschrift Char,Figure reference Char,Tab_†berschrift Char"/>
    <w:basedOn w:val="DefaultParagraphFont"/>
    <w:link w:val="Caption"/>
    <w:uiPriority w:val="35"/>
    <w:rsid w:val="007F08BA"/>
    <w:rPr>
      <w:rFonts w:ascii="Garamond" w:eastAsia="Times New Roman" w:hAnsi="Garamond" w:cs="Garamond"/>
      <w:i/>
      <w:iCs/>
    </w:rPr>
  </w:style>
  <w:style w:type="paragraph" w:customStyle="1" w:styleId="BVIfnrChar1">
    <w:name w:val="BVI fnr Char1"/>
    <w:aliases w:val="Footnotes refss Char1,ftref Char1,16 Point Char1,Superscript 6 Point Char1,Footnote Reference Number Char1,nota pié di pagina Char1,Times 10 Point Char1, Exposant 3 Point Char1,Footnote symbol Char1"/>
    <w:basedOn w:val="Normal"/>
    <w:uiPriority w:val="99"/>
    <w:rsid w:val="0064111A"/>
    <w:pPr>
      <w:spacing w:after="160" w:line="240" w:lineRule="exact"/>
      <w:jc w:val="left"/>
    </w:pPr>
    <w:rPr>
      <w:szCs w:val="24"/>
      <w:vertAlign w:val="superscript"/>
    </w:rPr>
  </w:style>
  <w:style w:type="paragraph" w:customStyle="1" w:styleId="footnotedescription">
    <w:name w:val="footnote description"/>
    <w:next w:val="Normal"/>
    <w:link w:val="footnotedescriptionChar"/>
    <w:hidden/>
    <w:rsid w:val="0064111A"/>
    <w:pPr>
      <w:spacing w:line="276" w:lineRule="auto"/>
    </w:pPr>
    <w:rPr>
      <w:rFonts w:ascii="Times New Roman" w:eastAsia="Times New Roman" w:hAnsi="Times New Roman" w:cs="Times New Roman"/>
      <w:color w:val="000000"/>
      <w:sz w:val="18"/>
      <w:szCs w:val="21"/>
      <w:lang w:val="en-CA" w:eastAsia="en-CA"/>
    </w:rPr>
  </w:style>
  <w:style w:type="character" w:customStyle="1" w:styleId="footnotedescriptionChar">
    <w:name w:val="footnote description Char"/>
    <w:link w:val="footnotedescription"/>
    <w:rsid w:val="0064111A"/>
    <w:rPr>
      <w:rFonts w:ascii="Times New Roman" w:eastAsia="Times New Roman" w:hAnsi="Times New Roman" w:cs="Times New Roman"/>
      <w:color w:val="000000"/>
      <w:sz w:val="18"/>
      <w:szCs w:val="21"/>
      <w:lang w:val="en-CA" w:eastAsia="en-CA"/>
    </w:rPr>
  </w:style>
  <w:style w:type="character" w:customStyle="1" w:styleId="footnotemark">
    <w:name w:val="footnote mark"/>
    <w:hidden/>
    <w:rsid w:val="0064111A"/>
    <w:rPr>
      <w:rFonts w:ascii="Times New Roman" w:eastAsia="Times New Roman" w:hAnsi="Times New Roman" w:cs="Times New Roman"/>
      <w:color w:val="000000"/>
      <w:sz w:val="18"/>
      <w:vertAlign w:val="superscript"/>
    </w:rPr>
  </w:style>
  <w:style w:type="paragraph" w:styleId="Title">
    <w:name w:val="Title"/>
    <w:basedOn w:val="Normal"/>
    <w:link w:val="TitleChar"/>
    <w:uiPriority w:val="10"/>
    <w:qFormat/>
    <w:rsid w:val="0064111A"/>
    <w:pPr>
      <w:spacing w:after="0" w:line="240" w:lineRule="auto"/>
      <w:jc w:val="center"/>
    </w:pPr>
    <w:rPr>
      <w:rFonts w:ascii="Times New Roman" w:eastAsia="Times New Roman" w:hAnsi="Times New Roman" w:cs="Times New Roman"/>
      <w:b/>
      <w:bCs/>
      <w:smallCaps/>
      <w:szCs w:val="24"/>
    </w:rPr>
  </w:style>
  <w:style w:type="character" w:customStyle="1" w:styleId="TitleChar">
    <w:name w:val="Title Char"/>
    <w:basedOn w:val="DefaultParagraphFont"/>
    <w:link w:val="Title"/>
    <w:uiPriority w:val="10"/>
    <w:rsid w:val="0064111A"/>
    <w:rPr>
      <w:rFonts w:ascii="Times New Roman" w:eastAsia="Times New Roman" w:hAnsi="Times New Roman" w:cs="Times New Roman"/>
      <w:b/>
      <w:bCs/>
      <w:smallCaps/>
      <w:sz w:val="24"/>
      <w:szCs w:val="24"/>
    </w:rPr>
  </w:style>
  <w:style w:type="paragraph" w:styleId="TOCHeading">
    <w:name w:val="TOC Heading"/>
    <w:basedOn w:val="Heading1"/>
    <w:next w:val="Normal"/>
    <w:uiPriority w:val="39"/>
    <w:unhideWhenUsed/>
    <w:qFormat/>
    <w:rsid w:val="0064111A"/>
    <w:pPr>
      <w:keepNext/>
      <w:keepLines/>
      <w:spacing w:before="240" w:after="0" w:line="259" w:lineRule="auto"/>
      <w:outlineLvl w:val="9"/>
    </w:pPr>
    <w:rPr>
      <w:rFonts w:asciiTheme="majorHAnsi" w:eastAsiaTheme="majorEastAsia" w:hAnsiTheme="majorHAnsi" w:cstheme="majorBidi"/>
      <w:caps w:val="0"/>
      <w:noProof w:val="0"/>
      <w:color w:val="2F5496" w:themeColor="accent1" w:themeShade="BF"/>
      <w:sz w:val="32"/>
      <w:szCs w:val="32"/>
    </w:rPr>
  </w:style>
  <w:style w:type="paragraph" w:styleId="TOC1">
    <w:name w:val="toc 1"/>
    <w:basedOn w:val="Normal"/>
    <w:next w:val="Normal"/>
    <w:autoRedefine/>
    <w:uiPriority w:val="39"/>
    <w:unhideWhenUsed/>
    <w:rsid w:val="008D2610"/>
    <w:pPr>
      <w:tabs>
        <w:tab w:val="right" w:leader="dot" w:pos="9016"/>
      </w:tabs>
      <w:spacing w:after="100" w:line="240" w:lineRule="auto"/>
      <w:jc w:val="left"/>
    </w:pPr>
    <w:rPr>
      <w:b/>
      <w:caps/>
      <w:noProof/>
      <w:color w:val="06366C"/>
      <w:szCs w:val="24"/>
    </w:rPr>
  </w:style>
  <w:style w:type="paragraph" w:styleId="TOC2">
    <w:name w:val="toc 2"/>
    <w:basedOn w:val="Normal"/>
    <w:next w:val="Normal"/>
    <w:autoRedefine/>
    <w:uiPriority w:val="39"/>
    <w:unhideWhenUsed/>
    <w:rsid w:val="0064111A"/>
    <w:pPr>
      <w:spacing w:after="100" w:line="240" w:lineRule="auto"/>
      <w:ind w:left="240"/>
      <w:jc w:val="left"/>
    </w:pPr>
    <w:rPr>
      <w:szCs w:val="24"/>
    </w:rPr>
  </w:style>
  <w:style w:type="paragraph" w:styleId="TOC3">
    <w:name w:val="toc 3"/>
    <w:basedOn w:val="Normal"/>
    <w:next w:val="Normal"/>
    <w:autoRedefine/>
    <w:uiPriority w:val="39"/>
    <w:unhideWhenUsed/>
    <w:rsid w:val="0064111A"/>
    <w:pPr>
      <w:spacing w:after="100" w:line="240" w:lineRule="auto"/>
      <w:ind w:left="480"/>
      <w:jc w:val="left"/>
    </w:pPr>
    <w:rPr>
      <w:szCs w:val="24"/>
    </w:rPr>
  </w:style>
  <w:style w:type="paragraph" w:styleId="HTMLPreformatted">
    <w:name w:val="HTML Preformatted"/>
    <w:basedOn w:val="Normal"/>
    <w:link w:val="HTMLPreformattedChar"/>
    <w:uiPriority w:val="99"/>
    <w:unhideWhenUsed/>
    <w:rsid w:val="00641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64111A"/>
    <w:rPr>
      <w:rFonts w:ascii="Courier New" w:eastAsia="Times New Roman" w:hAnsi="Courier New" w:cs="Courier New"/>
      <w:sz w:val="20"/>
      <w:szCs w:val="20"/>
      <w:lang w:val="en-CA" w:eastAsia="en-CA"/>
    </w:rPr>
  </w:style>
  <w:style w:type="paragraph" w:styleId="NoSpacing">
    <w:name w:val="No Spacing"/>
    <w:link w:val="NoSpacingChar"/>
    <w:uiPriority w:val="1"/>
    <w:qFormat/>
    <w:rsid w:val="0064111A"/>
    <w:pPr>
      <w:spacing w:after="240"/>
    </w:pPr>
    <w:rPr>
      <w:rFonts w:ascii="Calibri" w:eastAsia="Times New Roman" w:hAnsi="Calibri" w:cs="Times New Roman"/>
    </w:rPr>
  </w:style>
  <w:style w:type="character" w:customStyle="1" w:styleId="NoSpacingChar">
    <w:name w:val="No Spacing Char"/>
    <w:link w:val="NoSpacing"/>
    <w:uiPriority w:val="1"/>
    <w:rsid w:val="0064111A"/>
    <w:rPr>
      <w:rFonts w:ascii="Calibri" w:eastAsia="Times New Roman" w:hAnsi="Calibri" w:cs="Times New Roman"/>
    </w:rPr>
  </w:style>
  <w:style w:type="paragraph" w:styleId="BodyText">
    <w:name w:val="Body Text"/>
    <w:basedOn w:val="Normal"/>
    <w:link w:val="BodyTextChar"/>
    <w:rsid w:val="0064111A"/>
    <w:pPr>
      <w:spacing w:after="0" w:line="240" w:lineRule="auto"/>
      <w:jc w:val="left"/>
    </w:pPr>
    <w:rPr>
      <w:rFonts w:ascii="Times New Roman" w:eastAsia="Times New Roman" w:hAnsi="Times New Roman" w:cs="Arial"/>
      <w:szCs w:val="24"/>
      <w:lang w:val="tr-TR" w:bidi="he-IL"/>
    </w:rPr>
  </w:style>
  <w:style w:type="character" w:customStyle="1" w:styleId="BodyTextChar">
    <w:name w:val="Body Text Char"/>
    <w:basedOn w:val="DefaultParagraphFont"/>
    <w:link w:val="BodyText"/>
    <w:rsid w:val="0064111A"/>
    <w:rPr>
      <w:rFonts w:ascii="Times New Roman" w:eastAsia="Times New Roman" w:hAnsi="Times New Roman" w:cs="Arial"/>
      <w:sz w:val="24"/>
      <w:szCs w:val="24"/>
      <w:lang w:val="tr-TR" w:bidi="he-IL"/>
    </w:rPr>
  </w:style>
  <w:style w:type="table" w:customStyle="1" w:styleId="TableGrid11">
    <w:name w:val="Table Grid11"/>
    <w:basedOn w:val="TableNormal"/>
    <w:next w:val="TableGrid"/>
    <w:uiPriority w:val="39"/>
    <w:rsid w:val="00AF23CF"/>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A32C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6366C"/>
              </a:solidFill>
              <a:ln>
                <a:noFill/>
              </a:ln>
              <a:effectLst/>
            </c:spPr>
            <c:extLst>
              <c:ext xmlns:c16="http://schemas.microsoft.com/office/drawing/2014/chart" uri="{C3380CC4-5D6E-409C-BE32-E72D297353CC}">
                <c16:uniqueId val="{00000001-60CF-4E7B-BDD1-C406AF2C87D5}"/>
              </c:ext>
            </c:extLst>
          </c:dPt>
          <c:dPt>
            <c:idx val="1"/>
            <c:bubble3D val="0"/>
            <c:spPr>
              <a:solidFill>
                <a:srgbClr val="8C8D90"/>
              </a:solidFill>
              <a:ln>
                <a:noFill/>
              </a:ln>
              <a:effectLst/>
            </c:spPr>
            <c:extLst>
              <c:ext xmlns:c16="http://schemas.microsoft.com/office/drawing/2014/chart" uri="{C3380CC4-5D6E-409C-BE32-E72D297353CC}">
                <c16:uniqueId val="{00000002-60CF-4E7B-BDD1-C406AF2C87D5}"/>
              </c:ext>
            </c:extLst>
          </c:dPt>
          <c:dPt>
            <c:idx val="2"/>
            <c:bubble3D val="0"/>
            <c:spPr>
              <a:solidFill>
                <a:srgbClr val="BF454A"/>
              </a:solidFill>
              <a:ln>
                <a:noFill/>
              </a:ln>
              <a:effectLst/>
            </c:spPr>
            <c:extLst>
              <c:ext xmlns:c16="http://schemas.microsoft.com/office/drawing/2014/chart" uri="{C3380CC4-5D6E-409C-BE32-E72D297353CC}">
                <c16:uniqueId val="{00000003-60CF-4E7B-BDD1-C406AF2C87D5}"/>
              </c:ext>
            </c:extLst>
          </c:dPt>
          <c:dLbls>
            <c:dLbl>
              <c:idx val="0"/>
              <c:layout>
                <c:manualLayout>
                  <c:x val="7.8468681513820679E-2"/>
                  <c:y val="-0.13892926034848055"/>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6366C"/>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CF-4E7B-BDD1-C406AF2C87D5}"/>
                </c:ext>
              </c:extLst>
            </c:dLbl>
            <c:dLbl>
              <c:idx val="1"/>
              <c:layout>
                <c:manualLayout>
                  <c:x val="-1.8817944786604646E-3"/>
                  <c:y val="1.3718285214348206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8C8D9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0CF-4E7B-BDD1-C406AF2C87D5}"/>
                </c:ext>
              </c:extLst>
            </c:dLbl>
            <c:dLbl>
              <c:idx val="2"/>
              <c:layout>
                <c:manualLayout>
                  <c:x val="-1.9600841973961176E-2"/>
                  <c:y val="4.3556904784492298E-2"/>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BF454A"/>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0CF-4E7B-BDD1-C406AF2C87D5}"/>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Sheet1!$E$24:$E$26</c:f>
              <c:strCache>
                <c:ptCount val="3"/>
                <c:pt idx="0">
                  <c:v>Subsidies</c:v>
                </c:pt>
                <c:pt idx="1">
                  <c:v>Staff costs</c:v>
                </c:pt>
                <c:pt idx="2">
                  <c:v>Non-staff costs</c:v>
                </c:pt>
              </c:strCache>
            </c:strRef>
          </c:cat>
          <c:val>
            <c:numRef>
              <c:f>Sheet1!$F$24:$F$26</c:f>
              <c:numCache>
                <c:formatCode>General</c:formatCode>
                <c:ptCount val="3"/>
                <c:pt idx="0">
                  <c:v>75.2</c:v>
                </c:pt>
                <c:pt idx="1">
                  <c:v>3.7</c:v>
                </c:pt>
                <c:pt idx="2">
                  <c:v>21.1</c:v>
                </c:pt>
              </c:numCache>
            </c:numRef>
          </c:val>
          <c:extLst>
            <c:ext xmlns:c16="http://schemas.microsoft.com/office/drawing/2014/chart" uri="{C3380CC4-5D6E-409C-BE32-E72D297353CC}">
              <c16:uniqueId val="{00000000-60CF-4E7B-BDD1-C406AF2C87D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B380B-5D84-49CC-8DC0-A04F65F1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1331</Words>
  <Characters>7588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 editor</dc:creator>
  <cp:keywords/>
  <dc:description/>
  <cp:lastModifiedBy>Bobbie Sauer</cp:lastModifiedBy>
  <cp:revision>2</cp:revision>
  <dcterms:created xsi:type="dcterms:W3CDTF">2018-07-09T16:17:00Z</dcterms:created>
  <dcterms:modified xsi:type="dcterms:W3CDTF">2018-07-09T16:17:00Z</dcterms:modified>
</cp:coreProperties>
</file>