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F78" w:rsidRDefault="002E5F78" w:rsidP="00852755">
      <w:pPr>
        <w:pStyle w:val="Heading1"/>
      </w:pPr>
      <w:r>
        <w:rPr>
          <w:noProof/>
        </w:rPr>
        <w:drawing>
          <wp:inline distT="0" distB="0" distL="0" distR="0" wp14:anchorId="512E7D76" wp14:editId="7F8FF693">
            <wp:extent cx="3905250" cy="38100"/>
            <wp:effectExtent l="0" t="0" r="0" b="0"/>
            <wp:docPr id="12" name="Picture 12"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worldbank.org/shared/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5250" cy="38100"/>
                    </a:xfrm>
                    <a:prstGeom prst="rect">
                      <a:avLst/>
                    </a:prstGeom>
                    <a:noFill/>
                    <a:ln>
                      <a:noFill/>
                    </a:ln>
                  </pic:spPr>
                </pic:pic>
              </a:graphicData>
            </a:graphic>
          </wp:inline>
        </w:drawing>
      </w:r>
      <w:bookmarkStart w:id="0" w:name="mainContent"/>
      <w:bookmarkEnd w:id="0"/>
      <w:r w:rsidR="00852755">
        <w:t>94900</w:t>
      </w:r>
    </w:p>
    <w:p w:rsidR="00852755" w:rsidRPr="002E5F78" w:rsidRDefault="00852755" w:rsidP="00852755">
      <w:pPr>
        <w:pStyle w:val="Heading1"/>
      </w:pPr>
      <w:r>
        <w:t xml:space="preserve">                                                                                  </w:t>
      </w:r>
      <w:bookmarkStart w:id="1" w:name="_GoBack"/>
      <w:bookmarkEnd w:id="1"/>
      <w:r>
        <w:t>October 31, 2008</w:t>
      </w:r>
    </w:p>
    <w:tbl>
      <w:tblPr>
        <w:tblW w:w="5000" w:type="pct"/>
        <w:tblCellSpacing w:w="0" w:type="dxa"/>
        <w:tblCellMar>
          <w:left w:w="0" w:type="dxa"/>
          <w:right w:w="0" w:type="dxa"/>
        </w:tblCellMar>
        <w:tblLook w:val="04A0" w:firstRow="1" w:lastRow="0" w:firstColumn="1" w:lastColumn="0" w:noHBand="0" w:noVBand="1"/>
        <w:tblDescription w:val=""/>
      </w:tblPr>
      <w:tblGrid>
        <w:gridCol w:w="300"/>
        <w:gridCol w:w="9060"/>
      </w:tblGrid>
      <w:tr w:rsidR="002E5F78" w:rsidRPr="002E5F78">
        <w:trPr>
          <w:tblCellSpacing w:w="0" w:type="dxa"/>
        </w:trPr>
        <w:tc>
          <w:tcPr>
            <w:tcW w:w="300" w:type="dxa"/>
            <w:hideMark/>
          </w:tcPr>
          <w:p w:rsidR="002E5F78" w:rsidRPr="002E5F78" w:rsidRDefault="002E5F78" w:rsidP="002E5F78">
            <w:pPr>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190500" cy="190500"/>
                  <wp:effectExtent l="0" t="0" r="0" b="0"/>
                  <wp:docPr id="11" name="Picture 11"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worldbank.org/shared/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Description w:val="The Details about مصر: بناء البنية التحتية ورأس المال الاجتماعي في صعيد مصر displayed below"/>
            </w:tblPr>
            <w:tblGrid>
              <w:gridCol w:w="8384"/>
              <w:gridCol w:w="338"/>
              <w:gridCol w:w="338"/>
            </w:tblGrid>
            <w:tr w:rsidR="002E5F78" w:rsidRPr="002E5F78">
              <w:trPr>
                <w:tblCellSpacing w:w="0" w:type="dxa"/>
              </w:trPr>
              <w:tc>
                <w:tcPr>
                  <w:tcW w:w="0" w:type="auto"/>
                  <w:gridSpan w:val="3"/>
                  <w:hideMark/>
                </w:tcPr>
                <w:p w:rsidR="002E5F78" w:rsidRPr="002E5F78" w:rsidRDefault="002E5F78" w:rsidP="002E5F78">
                  <w:pPr>
                    <w:spacing w:after="0" w:line="240" w:lineRule="auto"/>
                    <w:outlineLvl w:val="0"/>
                    <w:rPr>
                      <w:rFonts w:ascii="Arial" w:eastAsia="Times New Roman" w:hAnsi="Arial" w:cs="Arial"/>
                      <w:b/>
                      <w:bCs/>
                      <w:color w:val="000000"/>
                      <w:kern w:val="36"/>
                      <w:sz w:val="27"/>
                      <w:szCs w:val="27"/>
                    </w:rPr>
                  </w:pPr>
                  <w:r w:rsidRPr="002E5F78">
                    <w:rPr>
                      <w:rFonts w:ascii="Arial" w:eastAsia="Times New Roman" w:hAnsi="Arial" w:cs="Arial"/>
                      <w:b/>
                      <w:bCs/>
                      <w:color w:val="000000"/>
                      <w:kern w:val="36"/>
                      <w:sz w:val="27"/>
                      <w:szCs w:val="27"/>
                    </w:rPr>
                    <w:t>مصر: بناء البنية التحتية ورأس المال الاجتماعي في صعيد مصر</w:t>
                  </w:r>
                </w:p>
              </w:tc>
            </w:tr>
            <w:tr w:rsidR="002E5F78" w:rsidRPr="002E5F78">
              <w:trPr>
                <w:tblCellSpacing w:w="0" w:type="dxa"/>
              </w:trPr>
              <w:tc>
                <w:tcPr>
                  <w:tcW w:w="0" w:type="auto"/>
                  <w:gridSpan w:val="3"/>
                  <w:shd w:val="clear" w:color="auto" w:fill="6699CC"/>
                  <w:hideMark/>
                </w:tcPr>
                <w:p w:rsidR="002E5F78" w:rsidRPr="002E5F78" w:rsidRDefault="002E5F78" w:rsidP="002E5F78">
                  <w:pPr>
                    <w:spacing w:after="0" w:line="15" w:lineRule="atLeast"/>
                    <w:rPr>
                      <w:rFonts w:ascii="Arial" w:eastAsia="Times New Roman" w:hAnsi="Arial" w:cs="Arial"/>
                      <w:color w:val="000000"/>
                      <w:sz w:val="2"/>
                      <w:szCs w:val="2"/>
                    </w:rPr>
                  </w:pPr>
                  <w:r>
                    <w:rPr>
                      <w:rFonts w:ascii="Arial" w:eastAsia="Times New Roman" w:hAnsi="Arial" w:cs="Arial"/>
                      <w:noProof/>
                      <w:color w:val="000000"/>
                      <w:sz w:val="2"/>
                      <w:szCs w:val="2"/>
                    </w:rPr>
                    <w:drawing>
                      <wp:inline distT="0" distB="0" distL="0" distR="0">
                        <wp:extent cx="95250" cy="9525"/>
                        <wp:effectExtent l="0" t="0" r="0" b="0"/>
                        <wp:docPr id="10" name="Picture 10"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worldbank.org/shared/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r w:rsidR="002E5F78" w:rsidRPr="002E5F78">
              <w:trPr>
                <w:tblCellSpacing w:w="0" w:type="dxa"/>
              </w:trPr>
              <w:tc>
                <w:tcPr>
                  <w:tcW w:w="0" w:type="auto"/>
                  <w:hideMark/>
                </w:tcPr>
                <w:p w:rsidR="002E5F78" w:rsidRPr="002E5F78" w:rsidRDefault="002E5F78" w:rsidP="002E5F78">
                  <w:pPr>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0" cy="66675"/>
                        <wp:effectExtent l="0" t="0" r="0" b="0"/>
                        <wp:docPr id="9" name="Picture 9"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worldbank.org/shared/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p>
              </w:tc>
              <w:tc>
                <w:tcPr>
                  <w:tcW w:w="0" w:type="auto"/>
                  <w:vAlign w:val="center"/>
                  <w:hideMark/>
                </w:tcPr>
                <w:p w:rsidR="002E5F78" w:rsidRPr="002E5F78" w:rsidRDefault="002E5F78" w:rsidP="002E5F78">
                  <w:pPr>
                    <w:spacing w:after="0" w:line="240" w:lineRule="auto"/>
                    <w:rPr>
                      <w:rFonts w:ascii="Times New Roman" w:eastAsia="Times New Roman" w:hAnsi="Times New Roman" w:cs="Times New Roman"/>
                      <w:sz w:val="20"/>
                      <w:szCs w:val="20"/>
                    </w:rPr>
                  </w:pPr>
                </w:p>
              </w:tc>
              <w:tc>
                <w:tcPr>
                  <w:tcW w:w="0" w:type="auto"/>
                  <w:vAlign w:val="center"/>
                  <w:hideMark/>
                </w:tcPr>
                <w:p w:rsidR="002E5F78" w:rsidRPr="002E5F78" w:rsidRDefault="002E5F78" w:rsidP="002E5F78">
                  <w:pPr>
                    <w:spacing w:after="0" w:line="240" w:lineRule="auto"/>
                    <w:rPr>
                      <w:rFonts w:ascii="Times New Roman" w:eastAsia="Times New Roman" w:hAnsi="Times New Roman" w:cs="Times New Roman"/>
                      <w:sz w:val="20"/>
                      <w:szCs w:val="20"/>
                    </w:rPr>
                  </w:pPr>
                </w:p>
              </w:tc>
            </w:tr>
            <w:tr w:rsidR="002E5F78" w:rsidRPr="002E5F78">
              <w:trPr>
                <w:tblCellSpacing w:w="0" w:type="dxa"/>
              </w:trPr>
              <w:tc>
                <w:tcPr>
                  <w:tcW w:w="0" w:type="auto"/>
                  <w:gridSpan w:val="3"/>
                  <w:hideMark/>
                </w:tcPr>
                <w:p w:rsidR="002E5F78" w:rsidRPr="002E5F78" w:rsidRDefault="002E5F78" w:rsidP="002E5F78">
                  <w:pPr>
                    <w:shd w:val="clear" w:color="auto" w:fill="FFFFFF"/>
                    <w:spacing w:after="0" w:line="240" w:lineRule="auto"/>
                    <w:rPr>
                      <w:rFonts w:ascii="Arial" w:eastAsia="Times New Roman" w:hAnsi="Arial" w:cs="Arial"/>
                      <w:color w:val="889933"/>
                      <w:sz w:val="15"/>
                      <w:szCs w:val="15"/>
                    </w:rPr>
                  </w:pPr>
                  <w:r w:rsidRPr="002E5F78">
                    <w:rPr>
                      <w:rFonts w:ascii="Arial" w:eastAsia="Times New Roman" w:hAnsi="Arial" w:cs="Arial"/>
                      <w:color w:val="889933"/>
                      <w:sz w:val="15"/>
                      <w:szCs w:val="15"/>
                    </w:rPr>
                    <w:t>تاريخ آخر تحديث: سبتمبر/أيلول 2008</w:t>
                  </w:r>
                </w:p>
                <w:p w:rsidR="002E5F78" w:rsidRPr="002E5F78" w:rsidRDefault="002E5F78" w:rsidP="002E5F78">
                  <w:pPr>
                    <w:shd w:val="clear" w:color="auto" w:fill="BF7C21"/>
                    <w:spacing w:after="0" w:line="240" w:lineRule="auto"/>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5334000" cy="714375"/>
                        <wp:effectExtent l="0" t="0" r="0" b="9525"/>
                        <wp:docPr id="8" name="Picture 8" descr="Egy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yp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714375"/>
                                </a:xfrm>
                                <a:prstGeom prst="rect">
                                  <a:avLst/>
                                </a:prstGeom>
                                <a:noFill/>
                                <a:ln>
                                  <a:noFill/>
                                </a:ln>
                              </pic:spPr>
                            </pic:pic>
                          </a:graphicData>
                        </a:graphic>
                      </wp:inline>
                    </w:drawing>
                  </w:r>
                </w:p>
                <w:p w:rsidR="002E5F78" w:rsidRPr="002E5F78" w:rsidRDefault="002E5F78" w:rsidP="002E5F78">
                  <w:pPr>
                    <w:shd w:val="clear" w:color="auto" w:fill="F0DA6A"/>
                    <w:spacing w:after="0" w:line="240" w:lineRule="auto"/>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3257550" cy="1990725"/>
                        <wp:effectExtent l="0" t="0" r="0" b="9525"/>
                        <wp:docPr id="7" name="Picture 7" descr="http://siteresources.worldbank.org/IDA/Images/egypt-rural_dev-p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teresources.worldbank.org/IDA/Images/egypt-rural_dev-ph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7550" cy="1990725"/>
                                </a:xfrm>
                                <a:prstGeom prst="rect">
                                  <a:avLst/>
                                </a:prstGeom>
                                <a:noFill/>
                                <a:ln>
                                  <a:noFill/>
                                </a:ln>
                              </pic:spPr>
                            </pic:pic>
                          </a:graphicData>
                        </a:graphic>
                      </wp:inline>
                    </w:drawing>
                  </w:r>
                </w:p>
                <w:p w:rsidR="002E5F78" w:rsidRPr="002E5F78" w:rsidRDefault="002E5F78" w:rsidP="002E5F78">
                  <w:pPr>
                    <w:shd w:val="clear" w:color="auto" w:fill="F0DA6A"/>
                    <w:spacing w:after="0" w:line="255" w:lineRule="atLeast"/>
                    <w:rPr>
                      <w:rFonts w:ascii="Arial" w:eastAsia="Times New Roman" w:hAnsi="Arial" w:cs="Arial"/>
                      <w:color w:val="333333"/>
                      <w:sz w:val="17"/>
                      <w:szCs w:val="17"/>
                    </w:rPr>
                  </w:pPr>
                  <w:r w:rsidRPr="002E5F78">
                    <w:rPr>
                      <w:rFonts w:ascii="Arial" w:eastAsia="Times New Roman" w:hAnsi="Arial" w:cs="Arial"/>
                      <w:b/>
                      <w:bCs/>
                      <w:color w:val="333333"/>
                      <w:sz w:val="24"/>
                      <w:szCs w:val="24"/>
                    </w:rPr>
                    <w:t>روابط:</w:t>
                  </w:r>
                  <w:r w:rsidRPr="002E5F78">
                    <w:rPr>
                      <w:rFonts w:ascii="Arial" w:eastAsia="Times New Roman" w:hAnsi="Arial" w:cs="Arial"/>
                      <w:b/>
                      <w:bCs/>
                      <w:color w:val="333333"/>
                      <w:sz w:val="24"/>
                      <w:szCs w:val="24"/>
                    </w:rPr>
                    <w:br/>
                    <w:t>-</w:t>
                  </w:r>
                  <w:r w:rsidRPr="002E5F78">
                    <w:rPr>
                      <w:rFonts w:ascii="Arial" w:eastAsia="Times New Roman" w:hAnsi="Arial" w:cs="Arial"/>
                      <w:color w:val="333333"/>
                      <w:sz w:val="17"/>
                      <w:szCs w:val="17"/>
                    </w:rPr>
                    <w:t xml:space="preserve"> </w:t>
                  </w:r>
                  <w:hyperlink r:id="rId7" w:history="1">
                    <w:r w:rsidRPr="002E5F78">
                      <w:rPr>
                        <w:rFonts w:ascii="Arial" w:eastAsia="Times New Roman" w:hAnsi="Arial" w:cs="Arial"/>
                        <w:b/>
                        <w:bCs/>
                        <w:color w:val="A35F05"/>
                        <w:sz w:val="24"/>
                        <w:szCs w:val="24"/>
                        <w:u w:val="single"/>
                      </w:rPr>
                      <w:t>ما هي المؤسسة الدولية للتنمية؟</w:t>
                    </w:r>
                  </w:hyperlink>
                  <w:r w:rsidRPr="002E5F78">
                    <w:rPr>
                      <w:rFonts w:ascii="Arial" w:eastAsia="Times New Roman" w:hAnsi="Arial" w:cs="Arial"/>
                      <w:color w:val="333333"/>
                      <w:sz w:val="17"/>
                      <w:szCs w:val="17"/>
                    </w:rPr>
                    <w:br/>
                  </w:r>
                  <w:r w:rsidRPr="002E5F78">
                    <w:rPr>
                      <w:rFonts w:ascii="Arial" w:eastAsia="Times New Roman" w:hAnsi="Arial" w:cs="Arial"/>
                      <w:b/>
                      <w:bCs/>
                      <w:color w:val="333333"/>
                      <w:sz w:val="24"/>
                      <w:szCs w:val="24"/>
                    </w:rPr>
                    <w:t xml:space="preserve">- </w:t>
                  </w:r>
                  <w:hyperlink r:id="rId8" w:history="1">
                    <w:r w:rsidRPr="002E5F78">
                      <w:rPr>
                        <w:rFonts w:ascii="Arial" w:eastAsia="Times New Roman" w:hAnsi="Arial" w:cs="Arial"/>
                        <w:b/>
                        <w:bCs/>
                        <w:color w:val="A35F05"/>
                        <w:sz w:val="24"/>
                        <w:szCs w:val="24"/>
                        <w:u w:val="single"/>
                      </w:rPr>
                      <w:t>عمل المؤسسة الدولية للتنمية</w:t>
                    </w:r>
                    <w:r w:rsidRPr="002E5F78">
                      <w:rPr>
                        <w:rFonts w:ascii="Arial" w:eastAsia="Times New Roman" w:hAnsi="Arial" w:cs="Arial"/>
                        <w:b/>
                        <w:bCs/>
                        <w:color w:val="A35F05"/>
                        <w:sz w:val="24"/>
                        <w:szCs w:val="24"/>
                        <w:u w:val="single"/>
                      </w:rPr>
                      <w:br/>
                      <w:t>في مصر</w:t>
                    </w:r>
                  </w:hyperlink>
                  <w:r w:rsidRPr="002E5F78">
                    <w:rPr>
                      <w:rFonts w:ascii="Arial" w:eastAsia="Times New Roman" w:hAnsi="Arial" w:cs="Arial"/>
                      <w:color w:val="333333"/>
                      <w:sz w:val="17"/>
                      <w:szCs w:val="17"/>
                    </w:rPr>
                    <w:br/>
                  </w:r>
                  <w:r w:rsidRPr="002E5F78">
                    <w:rPr>
                      <w:rFonts w:ascii="Arial" w:eastAsia="Times New Roman" w:hAnsi="Arial" w:cs="Arial"/>
                      <w:color w:val="333333"/>
                      <w:sz w:val="17"/>
                      <w:szCs w:val="17"/>
                    </w:rPr>
                    <w:br/>
                  </w:r>
                  <w:r w:rsidRPr="002E5F78">
                    <w:rPr>
                      <w:rFonts w:ascii="Arial" w:eastAsia="Times New Roman" w:hAnsi="Arial" w:cs="Arial"/>
                      <w:b/>
                      <w:bCs/>
                      <w:color w:val="333333"/>
                      <w:sz w:val="24"/>
                      <w:szCs w:val="24"/>
                    </w:rPr>
                    <w:t>مزيد من المعلومات عن مصر:</w:t>
                  </w:r>
                  <w:r w:rsidRPr="002E5F78">
                    <w:rPr>
                      <w:rFonts w:ascii="Arial" w:eastAsia="Times New Roman" w:hAnsi="Arial" w:cs="Arial"/>
                      <w:b/>
                      <w:bCs/>
                      <w:color w:val="333333"/>
                      <w:sz w:val="24"/>
                      <w:szCs w:val="24"/>
                    </w:rPr>
                    <w:br/>
                    <w:t>-</w:t>
                  </w:r>
                  <w:r w:rsidRPr="002E5F78">
                    <w:rPr>
                      <w:rFonts w:ascii="Arial" w:eastAsia="Times New Roman" w:hAnsi="Arial" w:cs="Arial"/>
                      <w:color w:val="333333"/>
                      <w:sz w:val="17"/>
                      <w:szCs w:val="17"/>
                    </w:rPr>
                    <w:t xml:space="preserve"> </w:t>
                  </w:r>
                  <w:hyperlink r:id="rId9" w:history="1">
                    <w:r w:rsidRPr="002E5F78">
                      <w:rPr>
                        <w:rFonts w:ascii="Arial" w:eastAsia="Times New Roman" w:hAnsi="Arial" w:cs="Arial"/>
                        <w:b/>
                        <w:bCs/>
                        <w:color w:val="A35F05"/>
                        <w:sz w:val="24"/>
                        <w:szCs w:val="24"/>
                        <w:u w:val="single"/>
                      </w:rPr>
                      <w:t>تاريخ الاقتراض</w:t>
                    </w:r>
                  </w:hyperlink>
                  <w:r w:rsidRPr="002E5F78">
                    <w:rPr>
                      <w:rFonts w:ascii="Arial" w:eastAsia="Times New Roman" w:hAnsi="Arial" w:cs="Arial"/>
                      <w:color w:val="333333"/>
                      <w:sz w:val="17"/>
                      <w:szCs w:val="17"/>
                    </w:rPr>
                    <w:br/>
                  </w:r>
                  <w:r w:rsidRPr="002E5F78">
                    <w:rPr>
                      <w:rFonts w:ascii="Arial" w:eastAsia="Times New Roman" w:hAnsi="Arial" w:cs="Arial"/>
                      <w:b/>
                      <w:bCs/>
                      <w:color w:val="333333"/>
                      <w:sz w:val="24"/>
                      <w:szCs w:val="24"/>
                    </w:rPr>
                    <w:t xml:space="preserve">- </w:t>
                  </w:r>
                  <w:hyperlink r:id="rId10" w:history="1">
                    <w:r w:rsidRPr="002E5F78">
                      <w:rPr>
                        <w:rFonts w:ascii="Arial" w:eastAsia="Times New Roman" w:hAnsi="Arial" w:cs="Arial"/>
                        <w:b/>
                        <w:bCs/>
                        <w:color w:val="A35F05"/>
                        <w:sz w:val="24"/>
                        <w:szCs w:val="24"/>
                        <w:u w:val="single"/>
                      </w:rPr>
                      <w:t>بيانات وإحصاءات</w:t>
                    </w:r>
                  </w:hyperlink>
                  <w:r w:rsidRPr="002E5F78">
                    <w:rPr>
                      <w:rFonts w:ascii="Arial" w:eastAsia="Times New Roman" w:hAnsi="Arial" w:cs="Arial"/>
                      <w:color w:val="333333"/>
                      <w:sz w:val="17"/>
                      <w:szCs w:val="17"/>
                    </w:rPr>
                    <w:br/>
                  </w:r>
                  <w:r w:rsidRPr="002E5F78">
                    <w:rPr>
                      <w:rFonts w:ascii="Arial" w:eastAsia="Times New Roman" w:hAnsi="Arial" w:cs="Arial"/>
                      <w:b/>
                      <w:bCs/>
                      <w:color w:val="333333"/>
                      <w:sz w:val="24"/>
                      <w:szCs w:val="24"/>
                    </w:rPr>
                    <w:t xml:space="preserve">- </w:t>
                  </w:r>
                  <w:hyperlink r:id="rId11" w:history="1">
                    <w:r w:rsidRPr="002E5F78">
                      <w:rPr>
                        <w:rFonts w:ascii="Arial" w:eastAsia="Times New Roman" w:hAnsi="Arial" w:cs="Arial"/>
                        <w:b/>
                        <w:bCs/>
                        <w:color w:val="A35F05"/>
                        <w:sz w:val="24"/>
                        <w:szCs w:val="24"/>
                        <w:u w:val="single"/>
                      </w:rPr>
                      <w:t>بحوث</w:t>
                    </w:r>
                  </w:hyperlink>
                  <w:r w:rsidRPr="002E5F78">
                    <w:rPr>
                      <w:rFonts w:ascii="Arial" w:eastAsia="Times New Roman" w:hAnsi="Arial" w:cs="Arial"/>
                      <w:color w:val="333333"/>
                      <w:sz w:val="17"/>
                      <w:szCs w:val="17"/>
                    </w:rPr>
                    <w:br/>
                  </w:r>
                  <w:r w:rsidRPr="002E5F78">
                    <w:rPr>
                      <w:rFonts w:ascii="Arial" w:eastAsia="Times New Roman" w:hAnsi="Arial" w:cs="Arial"/>
                      <w:b/>
                      <w:bCs/>
                      <w:color w:val="333333"/>
                      <w:sz w:val="24"/>
                      <w:szCs w:val="24"/>
                    </w:rPr>
                    <w:t>-</w:t>
                  </w:r>
                  <w:r w:rsidRPr="002E5F78">
                    <w:rPr>
                      <w:rFonts w:ascii="Arial" w:eastAsia="Times New Roman" w:hAnsi="Arial" w:cs="Arial"/>
                      <w:color w:val="333333"/>
                      <w:sz w:val="17"/>
                      <w:szCs w:val="17"/>
                    </w:rPr>
                    <w:t xml:space="preserve"> </w:t>
                  </w:r>
                  <w:hyperlink r:id="rId12" w:history="1">
                    <w:r w:rsidRPr="002E5F78">
                      <w:rPr>
                        <w:rFonts w:ascii="Arial" w:eastAsia="Times New Roman" w:hAnsi="Arial" w:cs="Arial"/>
                        <w:b/>
                        <w:bCs/>
                        <w:color w:val="A35F05"/>
                        <w:sz w:val="24"/>
                        <w:szCs w:val="24"/>
                        <w:u w:val="single"/>
                      </w:rPr>
                      <w:t>للاتصال بنا</w:t>
                    </w:r>
                  </w:hyperlink>
                </w:p>
                <w:p w:rsidR="002E5F78" w:rsidRPr="002E5F78" w:rsidRDefault="002E5F78" w:rsidP="002E5F78">
                  <w:pPr>
                    <w:shd w:val="clear" w:color="auto" w:fill="EFF5D6"/>
                    <w:spacing w:after="150" w:line="270" w:lineRule="atLeast"/>
                    <w:outlineLvl w:val="1"/>
                    <w:rPr>
                      <w:rFonts w:ascii="Arial" w:eastAsia="Times New Roman" w:hAnsi="Arial" w:cs="Arial"/>
                      <w:b/>
                      <w:bCs/>
                      <w:color w:val="000000"/>
                      <w:kern w:val="36"/>
                      <w:sz w:val="27"/>
                      <w:szCs w:val="27"/>
                    </w:rPr>
                  </w:pPr>
                  <w:r>
                    <w:rPr>
                      <w:rFonts w:ascii="Arial" w:eastAsia="Times New Roman" w:hAnsi="Arial" w:cs="Arial"/>
                      <w:b/>
                      <w:bCs/>
                      <w:noProof/>
                      <w:color w:val="000000"/>
                      <w:kern w:val="36"/>
                      <w:sz w:val="27"/>
                      <w:szCs w:val="27"/>
                    </w:rPr>
                    <w:drawing>
                      <wp:inline distT="0" distB="0" distL="0" distR="0">
                        <wp:extent cx="809625" cy="238125"/>
                        <wp:effectExtent l="0" t="0" r="9525" b="9525"/>
                        <wp:docPr id="6" name="Picture 6" descr="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llen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p>
                <w:p w:rsidR="002E5F78" w:rsidRPr="002E5F78" w:rsidRDefault="002E5F78" w:rsidP="002E5F78">
                  <w:pPr>
                    <w:shd w:val="clear" w:color="auto" w:fill="EFF5D6"/>
                    <w:spacing w:after="0" w:line="270" w:lineRule="atLeast"/>
                    <w:rPr>
                      <w:rFonts w:ascii="Arial" w:eastAsia="Times New Roman" w:hAnsi="Arial" w:cs="Arial"/>
                      <w:color w:val="333333"/>
                      <w:sz w:val="18"/>
                      <w:szCs w:val="18"/>
                    </w:rPr>
                  </w:pPr>
                  <w:r w:rsidRPr="002E5F78">
                    <w:rPr>
                      <w:rFonts w:ascii="Arial" w:eastAsia="Times New Roman" w:hAnsi="Arial" w:cs="Arial"/>
                      <w:b/>
                      <w:bCs/>
                      <w:color w:val="333333"/>
                      <w:sz w:val="24"/>
                      <w:szCs w:val="24"/>
                    </w:rPr>
                    <w:t>تشهد محافظة سوهاج التي تقع في صعيد مصر، وهو أفقر مناطق البلاد، بعضا من أسوأ مؤشرات التنمية البشرية في مصر. فمنذ عقد، كان 77 في المائة من سكانها البالغ عددهم 3.2 مليون نسمة يعيشون في مناطق ريفية، ومعدل نمو سكانها 2.8 في المائة على الرغم من ارتفاع مستويات الهجرة إلى خارج المحافظة. وشهدت المحافظة واحدا من أعلى معدلات الكثافة السكانية على وجه الأرض، إذ يعيش فيها نحو 1900 شخص في الكيلومتر المربع. وكانت نسبة الأمية في سوهاج نحو 70 في المائة من السكان البالغين وحوالي 84 في المائة من النساء. وكان 90 في المائة من القرى في المناطق الريفية يفتقد إلى خدمات الصرف الصحي. وكان تقديم الخدمات والبنية التحتية في المناطق الريفية يتسم بقدر شديد من المركزية في صنع القرار، والإجراءات البيروقراطية المطوّلة، وبطء عمليات الصرف.</w:t>
                  </w:r>
                </w:p>
                <w:p w:rsidR="002E5F78" w:rsidRPr="002E5F78" w:rsidRDefault="002E5F78" w:rsidP="002E5F78">
                  <w:pPr>
                    <w:shd w:val="clear" w:color="auto" w:fill="FCFFF0"/>
                    <w:spacing w:after="150" w:line="270" w:lineRule="atLeast"/>
                    <w:outlineLvl w:val="1"/>
                    <w:rPr>
                      <w:rFonts w:ascii="Arial" w:eastAsia="Times New Roman" w:hAnsi="Arial" w:cs="Arial"/>
                      <w:b/>
                      <w:bCs/>
                      <w:color w:val="000000"/>
                      <w:kern w:val="36"/>
                      <w:sz w:val="27"/>
                      <w:szCs w:val="27"/>
                    </w:rPr>
                  </w:pPr>
                  <w:r>
                    <w:rPr>
                      <w:rFonts w:ascii="Arial" w:eastAsia="Times New Roman" w:hAnsi="Arial" w:cs="Arial"/>
                      <w:b/>
                      <w:bCs/>
                      <w:noProof/>
                      <w:color w:val="000000"/>
                      <w:kern w:val="36"/>
                      <w:sz w:val="27"/>
                      <w:szCs w:val="27"/>
                    </w:rPr>
                    <w:drawing>
                      <wp:inline distT="0" distB="0" distL="0" distR="0">
                        <wp:extent cx="1143000" cy="190500"/>
                        <wp:effectExtent l="0" t="0" r="0" b="0"/>
                        <wp:docPr id="5" name="Picture 5" descr="Appr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pproac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90500"/>
                                </a:xfrm>
                                <a:prstGeom prst="rect">
                                  <a:avLst/>
                                </a:prstGeom>
                                <a:noFill/>
                                <a:ln>
                                  <a:noFill/>
                                </a:ln>
                              </pic:spPr>
                            </pic:pic>
                          </a:graphicData>
                        </a:graphic>
                      </wp:inline>
                    </w:drawing>
                  </w:r>
                </w:p>
                <w:p w:rsidR="002E5F78" w:rsidRPr="002E5F78" w:rsidRDefault="002E5F78" w:rsidP="002E5F78">
                  <w:pPr>
                    <w:shd w:val="clear" w:color="auto" w:fill="FCFFF0"/>
                    <w:spacing w:after="0" w:line="270" w:lineRule="atLeast"/>
                    <w:rPr>
                      <w:rFonts w:ascii="Arial" w:eastAsia="Times New Roman" w:hAnsi="Arial" w:cs="Arial"/>
                      <w:color w:val="333333"/>
                      <w:sz w:val="18"/>
                      <w:szCs w:val="18"/>
                    </w:rPr>
                  </w:pPr>
                  <w:r w:rsidRPr="002E5F78">
                    <w:rPr>
                      <w:rFonts w:ascii="Arial" w:eastAsia="Times New Roman" w:hAnsi="Arial" w:cs="Arial"/>
                      <w:b/>
                      <w:bCs/>
                      <w:color w:val="333333"/>
                      <w:sz w:val="24"/>
                      <w:szCs w:val="24"/>
                    </w:rPr>
                    <w:t xml:space="preserve">يهدف مشروع التنمية الريفية في محافظة سوهاج الذي تم تدشينه عام 2000 إلى مساندة التنمية المستدامة لقرى سوهاج من خلال تحسين الدخول ونوعية الحياة في المجتمعات الريفية. وتميز هذا النهج بمشاركة المجتمعات المحلية التي دشنها البرنامج القومي للتنمية الريفية المتكاملة، وتضمَن زيادة تكافؤ الفرص في الحصول على الائتمان أمام الفقراء والنساء والعاطلين من الشباب في المناطق الريفية. وبالإضافة إلى ذلك، </w:t>
                  </w:r>
                  <w:r w:rsidRPr="002E5F78">
                    <w:rPr>
                      <w:rFonts w:ascii="Arial" w:eastAsia="Times New Roman" w:hAnsi="Arial" w:cs="Arial"/>
                      <w:b/>
                      <w:bCs/>
                      <w:color w:val="333333"/>
                      <w:sz w:val="24"/>
                      <w:szCs w:val="24"/>
                    </w:rPr>
                    <w:lastRenderedPageBreak/>
                    <w:t>فإن المشروع استهدف تعزيز قدرة المجتمعات المحلية ومؤسسات الحكم المحلي على مستوى القرى على تخطيط مشروعات وخدمات البنية التحتية في المناطق الريفية وتقييمها وتنفيذها وإدارتها والمشاركة في تمويلها.</w:t>
                  </w:r>
                </w:p>
                <w:p w:rsidR="002E5F78" w:rsidRPr="002E5F78" w:rsidRDefault="002E5F78" w:rsidP="002E5F78">
                  <w:pPr>
                    <w:shd w:val="clear" w:color="auto" w:fill="EFF5D6"/>
                    <w:spacing w:after="150" w:line="270" w:lineRule="atLeast"/>
                    <w:outlineLvl w:val="1"/>
                    <w:rPr>
                      <w:rFonts w:ascii="Arial" w:eastAsia="Times New Roman" w:hAnsi="Arial" w:cs="Arial"/>
                      <w:b/>
                      <w:bCs/>
                      <w:color w:val="000000"/>
                      <w:kern w:val="36"/>
                      <w:sz w:val="27"/>
                      <w:szCs w:val="27"/>
                    </w:rPr>
                  </w:pPr>
                  <w:r>
                    <w:rPr>
                      <w:rFonts w:ascii="Arial" w:eastAsia="Times New Roman" w:hAnsi="Arial" w:cs="Arial"/>
                      <w:b/>
                      <w:bCs/>
                      <w:noProof/>
                      <w:color w:val="000000"/>
                      <w:kern w:val="36"/>
                      <w:sz w:val="27"/>
                      <w:szCs w:val="27"/>
                    </w:rPr>
                    <w:drawing>
                      <wp:inline distT="0" distB="0" distL="0" distR="0">
                        <wp:extent cx="1609725" cy="333375"/>
                        <wp:effectExtent l="0" t="0" r="9525" b="9525"/>
                        <wp:docPr id="4" name="Picture 4"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9725" cy="333375"/>
                                </a:xfrm>
                                <a:prstGeom prst="rect">
                                  <a:avLst/>
                                </a:prstGeom>
                                <a:noFill/>
                                <a:ln>
                                  <a:noFill/>
                                </a:ln>
                              </pic:spPr>
                            </pic:pic>
                          </a:graphicData>
                        </a:graphic>
                      </wp:inline>
                    </w:drawing>
                  </w:r>
                </w:p>
                <w:p w:rsidR="002E5F78" w:rsidRPr="002E5F78" w:rsidRDefault="002E5F78" w:rsidP="002E5F78">
                  <w:pPr>
                    <w:shd w:val="clear" w:color="auto" w:fill="EFF5D6"/>
                    <w:spacing w:after="0" w:line="270" w:lineRule="atLeast"/>
                    <w:rPr>
                      <w:rFonts w:ascii="Arial" w:eastAsia="Times New Roman" w:hAnsi="Arial" w:cs="Arial"/>
                      <w:color w:val="333333"/>
                      <w:sz w:val="18"/>
                      <w:szCs w:val="18"/>
                    </w:rPr>
                  </w:pPr>
                  <w:r w:rsidRPr="002E5F78">
                    <w:rPr>
                      <w:rFonts w:ascii="Arial" w:eastAsia="Times New Roman" w:hAnsi="Arial" w:cs="Arial"/>
                      <w:b/>
                      <w:bCs/>
                      <w:color w:val="333333"/>
                      <w:sz w:val="24"/>
                      <w:szCs w:val="24"/>
                    </w:rPr>
                    <w:t>شمل المشروع قرابة مليوني منتفع في 650 قرية، إذ ساهم في تمويل أكثر من 440 مشروعا فرعيا تغطي عشرة قطاعات في شتى أنحاء محافظة سوهاج. وحقق المشروع مساهمات ملحوظة من حيث زيادة إمكانية الحصول على خدمات المرافق العامة للبنية التحتية ونوعية هذه الخدمات في المناطق الريفية، وذلك من خلال تعزيز هياكل وآليات المشاركة على المستوى المحلي.</w:t>
                  </w:r>
                  <w:r w:rsidRPr="002E5F78">
                    <w:rPr>
                      <w:rFonts w:ascii="Arial" w:eastAsia="Times New Roman" w:hAnsi="Arial" w:cs="Arial"/>
                      <w:color w:val="333333"/>
                      <w:sz w:val="24"/>
                      <w:szCs w:val="24"/>
                    </w:rPr>
                    <w:br/>
                  </w:r>
                  <w:r w:rsidRPr="002E5F78">
                    <w:rPr>
                      <w:rFonts w:ascii="Arial" w:eastAsia="Times New Roman" w:hAnsi="Arial" w:cs="Arial"/>
                      <w:color w:val="333333"/>
                      <w:sz w:val="18"/>
                      <w:szCs w:val="18"/>
                    </w:rPr>
                    <w:br/>
                  </w:r>
                  <w:r w:rsidRPr="002E5F78">
                    <w:rPr>
                      <w:rFonts w:ascii="Arial" w:eastAsia="Times New Roman" w:hAnsi="Arial" w:cs="Arial"/>
                      <w:b/>
                      <w:bCs/>
                      <w:color w:val="333333"/>
                      <w:sz w:val="24"/>
                      <w:szCs w:val="24"/>
                    </w:rPr>
                    <w:t>أبرز الملامح:</w:t>
                  </w:r>
                  <w:r w:rsidRPr="002E5F78">
                    <w:rPr>
                      <w:rFonts w:ascii="Arial" w:eastAsia="Times New Roman" w:hAnsi="Arial" w:cs="Arial"/>
                      <w:color w:val="333333"/>
                      <w:sz w:val="24"/>
                      <w:szCs w:val="24"/>
                    </w:rPr>
                    <w:br/>
                  </w:r>
                  <w:r w:rsidRPr="002E5F78">
                    <w:rPr>
                      <w:rFonts w:ascii="Arial" w:eastAsia="Times New Roman" w:hAnsi="Arial" w:cs="Arial"/>
                      <w:b/>
                      <w:bCs/>
                      <w:color w:val="333333"/>
                      <w:sz w:val="24"/>
                      <w:szCs w:val="24"/>
                    </w:rPr>
                    <w:t>- في دراسة لتصورات المنتفعين، أبلغ 67 في المائة عن منافع اقتصادية للمشروع، و71 في المائة عن منافع اجتماعية، و66 في المائة عن منافع بيئية، و61 في المائة عن منافع صحية.</w:t>
                  </w:r>
                  <w:r w:rsidRPr="002E5F78">
                    <w:rPr>
                      <w:rFonts w:ascii="Arial" w:eastAsia="Times New Roman" w:hAnsi="Arial" w:cs="Arial"/>
                      <w:b/>
                      <w:bCs/>
                      <w:color w:val="333333"/>
                      <w:sz w:val="24"/>
                      <w:szCs w:val="24"/>
                    </w:rPr>
                    <w:br/>
                    <w:t>- أبرز الملامح. تضمنت مشروعات البنية التحتية مشروعات المياه والصرف الصحي والري، وكذلك أكثر من 470 كيلومترا من الطرق و13 مركزا بيطريا و27 مكتب بريد و56 مدرسة و27 مركز شباب و15 مركزا اجتماعيا وستة مراكز صحية. وعاد أكثر من 84 في المائة من مشروعات البنية التحتية وخدماتها بالنفع على القرى النائية متجاوزا الأهداف الأولية.</w:t>
                  </w:r>
                  <w:r w:rsidRPr="002E5F78">
                    <w:rPr>
                      <w:rFonts w:ascii="Arial" w:eastAsia="Times New Roman" w:hAnsi="Arial" w:cs="Arial"/>
                      <w:b/>
                      <w:bCs/>
                      <w:color w:val="333333"/>
                      <w:sz w:val="24"/>
                      <w:szCs w:val="24"/>
                    </w:rPr>
                    <w:br/>
                    <w:t>- المشاركة. أشرك المشروع بشكل فعال المجتمعات المحلية وكذلك المنظمات غير الحكومية وممثلين منتخبين على المستوى المحلي في تحديد أولويات المجتمعات، وبُذلت جهود لإشراك النساء في عملية صنع القرار.</w:t>
                  </w:r>
                  <w:r w:rsidRPr="002E5F78">
                    <w:rPr>
                      <w:rFonts w:ascii="Arial" w:eastAsia="Times New Roman" w:hAnsi="Arial" w:cs="Arial"/>
                      <w:b/>
                      <w:bCs/>
                      <w:color w:val="333333"/>
                      <w:sz w:val="24"/>
                      <w:szCs w:val="24"/>
                    </w:rPr>
                    <w:br/>
                    <w:t>- التقدم في المساواة بين الجنسين. بنهاية المشروع، زادت مشاركة النساء في صنع القرار المحلي من صفر إلى 25 في المائة، وهو إنجاز كبير في بيئة تغلب عليها التقاليد المحافظة.</w:t>
                  </w:r>
                  <w:r w:rsidRPr="002E5F78">
                    <w:rPr>
                      <w:rFonts w:ascii="Arial" w:eastAsia="Times New Roman" w:hAnsi="Arial" w:cs="Arial"/>
                      <w:b/>
                      <w:bCs/>
                      <w:color w:val="333333"/>
                      <w:sz w:val="24"/>
                      <w:szCs w:val="24"/>
                    </w:rPr>
                    <w:br/>
                    <w:t>- الائتمان البالغ الصغر. شجع المشروع أيضا على تيسير الائتمان من خلال جهد منسق استهدف النساء وأشد الناس فقرا.</w:t>
                  </w:r>
                </w:p>
                <w:p w:rsidR="002E5F78" w:rsidRPr="002E5F78" w:rsidRDefault="002E5F78" w:rsidP="002E5F78">
                  <w:pPr>
                    <w:shd w:val="clear" w:color="auto" w:fill="FCFFF0"/>
                    <w:spacing w:after="150" w:line="270" w:lineRule="atLeast"/>
                    <w:outlineLvl w:val="1"/>
                    <w:rPr>
                      <w:rFonts w:ascii="Arial" w:eastAsia="Times New Roman" w:hAnsi="Arial" w:cs="Arial"/>
                      <w:b/>
                      <w:bCs/>
                      <w:color w:val="000000"/>
                      <w:kern w:val="36"/>
                      <w:sz w:val="27"/>
                      <w:szCs w:val="27"/>
                    </w:rPr>
                  </w:pPr>
                  <w:r>
                    <w:rPr>
                      <w:rFonts w:ascii="Arial" w:eastAsia="Times New Roman" w:hAnsi="Arial" w:cs="Arial"/>
                      <w:b/>
                      <w:bCs/>
                      <w:noProof/>
                      <w:color w:val="000000"/>
                      <w:kern w:val="36"/>
                      <w:sz w:val="27"/>
                      <w:szCs w:val="27"/>
                    </w:rPr>
                    <w:drawing>
                      <wp:inline distT="0" distB="0" distL="0" distR="0">
                        <wp:extent cx="1905000" cy="285750"/>
                        <wp:effectExtent l="0" t="0" r="0" b="0"/>
                        <wp:docPr id="3" name="Picture 3" descr="con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ntribu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285750"/>
                                </a:xfrm>
                                <a:prstGeom prst="rect">
                                  <a:avLst/>
                                </a:prstGeom>
                                <a:noFill/>
                                <a:ln>
                                  <a:noFill/>
                                </a:ln>
                              </pic:spPr>
                            </pic:pic>
                          </a:graphicData>
                        </a:graphic>
                      </wp:inline>
                    </w:drawing>
                  </w:r>
                </w:p>
                <w:p w:rsidR="002E5F78" w:rsidRPr="002E5F78" w:rsidRDefault="002E5F78" w:rsidP="002E5F78">
                  <w:pPr>
                    <w:shd w:val="clear" w:color="auto" w:fill="FCFFF0"/>
                    <w:spacing w:after="0" w:line="270" w:lineRule="atLeast"/>
                    <w:rPr>
                      <w:rFonts w:ascii="Arial" w:eastAsia="Times New Roman" w:hAnsi="Arial" w:cs="Arial"/>
                      <w:color w:val="333333"/>
                      <w:sz w:val="18"/>
                      <w:szCs w:val="18"/>
                    </w:rPr>
                  </w:pPr>
                  <w:r w:rsidRPr="002E5F78">
                    <w:rPr>
                      <w:rFonts w:ascii="Arial" w:eastAsia="Times New Roman" w:hAnsi="Arial" w:cs="Arial"/>
                      <w:b/>
                      <w:bCs/>
                      <w:color w:val="333333"/>
                      <w:sz w:val="24"/>
                      <w:szCs w:val="24"/>
                    </w:rPr>
                    <w:t>بدأ سريان اعتماد المؤسسة الدولية للتنمية بمبلغ 25 مليون دولار أمريكي في عام 2000. وكانت التكلفة الكلية المخطط لها للمشروع 93.8 مليون دولار ساهم الصندوق الدولي للتنمية الزراعية فيها بتمويل قدره 25 مليون دولار والحكومة المصرية بمبلغ 23.6 مليون دولار. وكان تاريخ إقفال المشروع 30 أبريل/نيسان عام 2008.</w:t>
                  </w:r>
                </w:p>
                <w:p w:rsidR="002E5F78" w:rsidRPr="002E5F78" w:rsidRDefault="002E5F78" w:rsidP="002E5F78">
                  <w:pPr>
                    <w:shd w:val="clear" w:color="auto" w:fill="EFF5D6"/>
                    <w:spacing w:after="150" w:line="270" w:lineRule="atLeast"/>
                    <w:outlineLvl w:val="1"/>
                    <w:rPr>
                      <w:rFonts w:ascii="Arial" w:eastAsia="Times New Roman" w:hAnsi="Arial" w:cs="Arial"/>
                      <w:b/>
                      <w:bCs/>
                      <w:color w:val="000000"/>
                      <w:kern w:val="36"/>
                      <w:sz w:val="27"/>
                      <w:szCs w:val="27"/>
                    </w:rPr>
                  </w:pPr>
                  <w:r>
                    <w:rPr>
                      <w:rFonts w:ascii="Arial" w:eastAsia="Times New Roman" w:hAnsi="Arial" w:cs="Arial"/>
                      <w:b/>
                      <w:bCs/>
                      <w:noProof/>
                      <w:color w:val="000000"/>
                      <w:kern w:val="36"/>
                      <w:sz w:val="27"/>
                      <w:szCs w:val="27"/>
                    </w:rPr>
                    <w:drawing>
                      <wp:inline distT="0" distB="0" distL="0" distR="0">
                        <wp:extent cx="1609725" cy="133350"/>
                        <wp:effectExtent l="0" t="0" r="9525" b="0"/>
                        <wp:docPr id="2" name="Picture 2" descr="next 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xt step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9725" cy="133350"/>
                                </a:xfrm>
                                <a:prstGeom prst="rect">
                                  <a:avLst/>
                                </a:prstGeom>
                                <a:noFill/>
                                <a:ln>
                                  <a:noFill/>
                                </a:ln>
                              </pic:spPr>
                            </pic:pic>
                          </a:graphicData>
                        </a:graphic>
                      </wp:inline>
                    </w:drawing>
                  </w:r>
                </w:p>
                <w:p w:rsidR="002E5F78" w:rsidRPr="002E5F78" w:rsidRDefault="002E5F78" w:rsidP="002E5F78">
                  <w:pPr>
                    <w:shd w:val="clear" w:color="auto" w:fill="EFF5D6"/>
                    <w:spacing w:after="0" w:line="270" w:lineRule="atLeast"/>
                    <w:rPr>
                      <w:rFonts w:ascii="Arial" w:eastAsia="Times New Roman" w:hAnsi="Arial" w:cs="Arial"/>
                      <w:color w:val="333333"/>
                      <w:sz w:val="18"/>
                      <w:szCs w:val="18"/>
                    </w:rPr>
                  </w:pPr>
                  <w:r w:rsidRPr="002E5F78">
                    <w:rPr>
                      <w:rFonts w:ascii="Arial" w:eastAsia="Times New Roman" w:hAnsi="Arial" w:cs="Arial"/>
                      <w:b/>
                      <w:bCs/>
                      <w:color w:val="333333"/>
                      <w:sz w:val="24"/>
                      <w:szCs w:val="24"/>
                    </w:rPr>
                    <w:t>يجري إعداد "تقرير إنجاز تنفيذ التعلم المكثف" الذي يتضمن تقييم المنتفعين لتنفيذ المشروع وآثاره. ولأن المشروع يقدم نموذجا جيدا يستند إلى احتياجات المجتمع المحلي لتقديم الخدمات في إطار من اللامركزية في صعيد مصر، فإن الدروس المستفادة منه يجري تجميعها وإدماجها في عملية استثمار جديدة محتملة في صعيد مصر، وهي مشروع التنمية المتكاملة لمحافظات الصعيد الذي يجري إعداده حاليا.</w:t>
                  </w:r>
                </w:p>
                <w:p w:rsidR="002E5F78" w:rsidRPr="002E5F78" w:rsidRDefault="002E5F78" w:rsidP="002E5F78">
                  <w:pPr>
                    <w:shd w:val="clear" w:color="auto" w:fill="FFF1AD"/>
                    <w:spacing w:after="150" w:line="255" w:lineRule="atLeast"/>
                    <w:outlineLvl w:val="1"/>
                    <w:rPr>
                      <w:rFonts w:ascii="Arial" w:eastAsia="Times New Roman" w:hAnsi="Arial" w:cs="Arial"/>
                      <w:b/>
                      <w:bCs/>
                      <w:color w:val="000000"/>
                      <w:kern w:val="36"/>
                      <w:sz w:val="27"/>
                      <w:szCs w:val="27"/>
                    </w:rPr>
                  </w:pPr>
                  <w:r>
                    <w:rPr>
                      <w:rFonts w:ascii="Arial" w:eastAsia="Times New Roman" w:hAnsi="Arial" w:cs="Arial"/>
                      <w:b/>
                      <w:bCs/>
                      <w:noProof/>
                      <w:color w:val="000000"/>
                      <w:kern w:val="36"/>
                      <w:sz w:val="24"/>
                      <w:szCs w:val="24"/>
                    </w:rPr>
                    <w:drawing>
                      <wp:inline distT="0" distB="0" distL="0" distR="0">
                        <wp:extent cx="1524000" cy="333375"/>
                        <wp:effectExtent l="0" t="0" r="0" b="9525"/>
                        <wp:docPr id="1" name="Picture 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333375"/>
                                </a:xfrm>
                                <a:prstGeom prst="rect">
                                  <a:avLst/>
                                </a:prstGeom>
                                <a:noFill/>
                                <a:ln>
                                  <a:noFill/>
                                </a:ln>
                              </pic:spPr>
                            </pic:pic>
                          </a:graphicData>
                        </a:graphic>
                      </wp:inline>
                    </w:drawing>
                  </w:r>
                </w:p>
                <w:p w:rsidR="002E5F78" w:rsidRPr="002E5F78" w:rsidRDefault="002E5F78" w:rsidP="002E5F78">
                  <w:pPr>
                    <w:shd w:val="clear" w:color="auto" w:fill="FFF1AD"/>
                    <w:spacing w:after="150" w:line="255" w:lineRule="atLeast"/>
                    <w:rPr>
                      <w:rFonts w:ascii="Arial" w:eastAsia="Times New Roman" w:hAnsi="Arial" w:cs="Arial"/>
                      <w:color w:val="333333"/>
                      <w:sz w:val="17"/>
                      <w:szCs w:val="17"/>
                    </w:rPr>
                  </w:pPr>
                  <w:r w:rsidRPr="002E5F78">
                    <w:rPr>
                      <w:rFonts w:ascii="Arial" w:eastAsia="Times New Roman" w:hAnsi="Arial" w:cs="Arial"/>
                      <w:b/>
                      <w:bCs/>
                      <w:color w:val="333333"/>
                      <w:sz w:val="24"/>
                      <w:szCs w:val="24"/>
                    </w:rPr>
                    <w:t>مشروع التنمية الريفية في محافظة سوهاج</w:t>
                  </w:r>
                  <w:r w:rsidRPr="002E5F78">
                    <w:rPr>
                      <w:rFonts w:ascii="Arial" w:eastAsia="Times New Roman" w:hAnsi="Arial" w:cs="Arial"/>
                      <w:b/>
                      <w:bCs/>
                      <w:color w:val="333333"/>
                      <w:sz w:val="24"/>
                      <w:szCs w:val="24"/>
                    </w:rPr>
                    <w:br/>
                  </w:r>
                  <w:hyperlink r:id="rId19" w:history="1">
                    <w:r w:rsidRPr="002E5F78">
                      <w:rPr>
                        <w:rFonts w:ascii="Arial" w:eastAsia="Times New Roman" w:hAnsi="Arial" w:cs="Arial"/>
                        <w:b/>
                        <w:bCs/>
                        <w:color w:val="A35F05"/>
                        <w:sz w:val="24"/>
                        <w:szCs w:val="24"/>
                        <w:u w:val="single"/>
                      </w:rPr>
                      <w:t>وثائق المشروع</w:t>
                    </w:r>
                  </w:hyperlink>
                </w:p>
              </w:tc>
            </w:tr>
          </w:tbl>
          <w:p w:rsidR="002E5F78" w:rsidRPr="002E5F78" w:rsidRDefault="002E5F78" w:rsidP="002E5F78">
            <w:pPr>
              <w:spacing w:after="0" w:line="240" w:lineRule="auto"/>
              <w:rPr>
                <w:rFonts w:ascii="Arial" w:eastAsia="Times New Roman" w:hAnsi="Arial" w:cs="Arial"/>
                <w:color w:val="000000"/>
                <w:sz w:val="18"/>
                <w:szCs w:val="18"/>
              </w:rPr>
            </w:pPr>
          </w:p>
        </w:tc>
      </w:tr>
    </w:tbl>
    <w:p w:rsidR="00BC4DC8" w:rsidRDefault="00BC4DC8"/>
    <w:sectPr w:rsidR="00BC4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78"/>
    <w:rsid w:val="002E5F78"/>
    <w:rsid w:val="00852755"/>
    <w:rsid w:val="00BC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033F8A-08CB-401B-BF77-A9F77461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E5F78"/>
    <w:pPr>
      <w:spacing w:after="0" w:line="240" w:lineRule="auto"/>
      <w:outlineLvl w:val="0"/>
    </w:pPr>
    <w:rPr>
      <w:rFonts w:ascii="Arial" w:eastAsia="Times New Roman" w:hAnsi="Arial" w:cs="Arial"/>
      <w:b/>
      <w:bCs/>
      <w:color w:val="0000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F78"/>
    <w:rPr>
      <w:rFonts w:ascii="Arial" w:eastAsia="Times New Roman" w:hAnsi="Arial" w:cs="Arial"/>
      <w:b/>
      <w:bCs/>
      <w:color w:val="000000"/>
      <w:kern w:val="36"/>
      <w:sz w:val="27"/>
      <w:szCs w:val="27"/>
    </w:rPr>
  </w:style>
  <w:style w:type="character" w:styleId="Strong">
    <w:name w:val="Strong"/>
    <w:basedOn w:val="DefaultParagraphFont"/>
    <w:uiPriority w:val="22"/>
    <w:qFormat/>
    <w:rsid w:val="002E5F78"/>
    <w:rPr>
      <w:b/>
      <w:bCs/>
    </w:rPr>
  </w:style>
  <w:style w:type="paragraph" w:styleId="BalloonText">
    <w:name w:val="Balloon Text"/>
    <w:basedOn w:val="Normal"/>
    <w:link w:val="BalloonTextChar"/>
    <w:uiPriority w:val="99"/>
    <w:semiHidden/>
    <w:unhideWhenUsed/>
    <w:rsid w:val="002E5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F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7849">
      <w:bodyDiv w:val="1"/>
      <w:marLeft w:val="0"/>
      <w:marRight w:val="0"/>
      <w:marTop w:val="0"/>
      <w:marBottom w:val="0"/>
      <w:divBdr>
        <w:top w:val="none" w:sz="0" w:space="0" w:color="auto"/>
        <w:left w:val="none" w:sz="0" w:space="0" w:color="auto"/>
        <w:bottom w:val="none" w:sz="0" w:space="0" w:color="auto"/>
        <w:right w:val="none" w:sz="0" w:space="0" w:color="auto"/>
      </w:divBdr>
      <w:divsChild>
        <w:div w:id="651835953">
          <w:marLeft w:val="0"/>
          <w:marRight w:val="0"/>
          <w:marTop w:val="0"/>
          <w:marBottom w:val="150"/>
          <w:divBdr>
            <w:top w:val="none" w:sz="0" w:space="0" w:color="auto"/>
            <w:left w:val="none" w:sz="0" w:space="0" w:color="auto"/>
            <w:bottom w:val="none" w:sz="0" w:space="0" w:color="auto"/>
            <w:right w:val="none" w:sz="0" w:space="0" w:color="auto"/>
          </w:divBdr>
          <w:divsChild>
            <w:div w:id="2064596243">
              <w:marLeft w:val="0"/>
              <w:marRight w:val="0"/>
              <w:marTop w:val="0"/>
              <w:marBottom w:val="0"/>
              <w:divBdr>
                <w:top w:val="none" w:sz="0" w:space="0" w:color="auto"/>
                <w:left w:val="none" w:sz="0" w:space="0" w:color="auto"/>
                <w:bottom w:val="none" w:sz="0" w:space="0" w:color="auto"/>
                <w:right w:val="none" w:sz="0" w:space="0" w:color="auto"/>
              </w:divBdr>
            </w:div>
            <w:div w:id="564031879">
              <w:marLeft w:val="0"/>
              <w:marRight w:val="0"/>
              <w:marTop w:val="0"/>
              <w:marBottom w:val="0"/>
              <w:divBdr>
                <w:top w:val="none" w:sz="0" w:space="0" w:color="auto"/>
                <w:left w:val="none" w:sz="0" w:space="0" w:color="auto"/>
                <w:bottom w:val="none" w:sz="0" w:space="0" w:color="auto"/>
                <w:right w:val="none" w:sz="0" w:space="0" w:color="auto"/>
              </w:divBdr>
            </w:div>
            <w:div w:id="1738898075">
              <w:marLeft w:val="0"/>
              <w:marRight w:val="0"/>
              <w:marTop w:val="0"/>
              <w:marBottom w:val="0"/>
              <w:divBdr>
                <w:top w:val="none" w:sz="0" w:space="0" w:color="auto"/>
                <w:left w:val="none" w:sz="0" w:space="0" w:color="auto"/>
                <w:bottom w:val="none" w:sz="0" w:space="0" w:color="auto"/>
                <w:right w:val="none" w:sz="0" w:space="0" w:color="auto"/>
              </w:divBdr>
              <w:divsChild>
                <w:div w:id="24259045">
                  <w:marLeft w:val="0"/>
                  <w:marRight w:val="0"/>
                  <w:marTop w:val="0"/>
                  <w:marBottom w:val="0"/>
                  <w:divBdr>
                    <w:top w:val="none" w:sz="0" w:space="0" w:color="auto"/>
                    <w:left w:val="none" w:sz="0" w:space="0" w:color="auto"/>
                    <w:bottom w:val="none" w:sz="0" w:space="0" w:color="auto"/>
                    <w:right w:val="none" w:sz="0" w:space="0" w:color="auto"/>
                  </w:divBdr>
                </w:div>
                <w:div w:id="1427650336">
                  <w:marLeft w:val="0"/>
                  <w:marRight w:val="0"/>
                  <w:marTop w:val="0"/>
                  <w:marBottom w:val="0"/>
                  <w:divBdr>
                    <w:top w:val="none" w:sz="0" w:space="0" w:color="auto"/>
                    <w:left w:val="none" w:sz="0" w:space="0" w:color="auto"/>
                    <w:bottom w:val="none" w:sz="0" w:space="0" w:color="auto"/>
                    <w:right w:val="none" w:sz="0" w:space="0" w:color="auto"/>
                  </w:divBdr>
                </w:div>
              </w:divsChild>
            </w:div>
            <w:div w:id="2061513042">
              <w:marLeft w:val="0"/>
              <w:marRight w:val="0"/>
              <w:marTop w:val="0"/>
              <w:marBottom w:val="0"/>
              <w:divBdr>
                <w:top w:val="none" w:sz="0" w:space="0" w:color="auto"/>
                <w:left w:val="none" w:sz="0" w:space="0" w:color="auto"/>
                <w:bottom w:val="none" w:sz="0" w:space="0" w:color="auto"/>
                <w:right w:val="none" w:sz="0" w:space="0" w:color="auto"/>
              </w:divBdr>
              <w:divsChild>
                <w:div w:id="1162235443">
                  <w:marLeft w:val="0"/>
                  <w:marRight w:val="0"/>
                  <w:marTop w:val="0"/>
                  <w:marBottom w:val="0"/>
                  <w:divBdr>
                    <w:top w:val="none" w:sz="0" w:space="0" w:color="auto"/>
                    <w:left w:val="none" w:sz="0" w:space="0" w:color="auto"/>
                    <w:bottom w:val="none" w:sz="0" w:space="0" w:color="auto"/>
                    <w:right w:val="none" w:sz="0" w:space="0" w:color="auto"/>
                  </w:divBdr>
                </w:div>
                <w:div w:id="467362045">
                  <w:marLeft w:val="0"/>
                  <w:marRight w:val="0"/>
                  <w:marTop w:val="0"/>
                  <w:marBottom w:val="0"/>
                  <w:divBdr>
                    <w:top w:val="none" w:sz="0" w:space="0" w:color="auto"/>
                    <w:left w:val="none" w:sz="0" w:space="0" w:color="auto"/>
                    <w:bottom w:val="none" w:sz="0" w:space="0" w:color="auto"/>
                    <w:right w:val="none" w:sz="0" w:space="0" w:color="auto"/>
                  </w:divBdr>
                </w:div>
                <w:div w:id="1617640999">
                  <w:marLeft w:val="0"/>
                  <w:marRight w:val="0"/>
                  <w:marTop w:val="0"/>
                  <w:marBottom w:val="0"/>
                  <w:divBdr>
                    <w:top w:val="none" w:sz="0" w:space="0" w:color="auto"/>
                    <w:left w:val="none" w:sz="0" w:space="0" w:color="auto"/>
                    <w:bottom w:val="none" w:sz="0" w:space="0" w:color="auto"/>
                    <w:right w:val="none" w:sz="0" w:space="0" w:color="auto"/>
                  </w:divBdr>
                </w:div>
                <w:div w:id="1840998575">
                  <w:marLeft w:val="0"/>
                  <w:marRight w:val="0"/>
                  <w:marTop w:val="0"/>
                  <w:marBottom w:val="0"/>
                  <w:divBdr>
                    <w:top w:val="none" w:sz="0" w:space="0" w:color="auto"/>
                    <w:left w:val="none" w:sz="0" w:space="0" w:color="auto"/>
                    <w:bottom w:val="none" w:sz="0" w:space="0" w:color="auto"/>
                    <w:right w:val="none" w:sz="0" w:space="0" w:color="auto"/>
                  </w:divBdr>
                </w:div>
                <w:div w:id="987979931">
                  <w:marLeft w:val="0"/>
                  <w:marRight w:val="0"/>
                  <w:marTop w:val="0"/>
                  <w:marBottom w:val="0"/>
                  <w:divBdr>
                    <w:top w:val="none" w:sz="0" w:space="0" w:color="auto"/>
                    <w:left w:val="none" w:sz="0" w:space="0" w:color="auto"/>
                    <w:bottom w:val="none" w:sz="0" w:space="0" w:color="auto"/>
                    <w:right w:val="none" w:sz="0" w:space="0" w:color="auto"/>
                  </w:divBdr>
                </w:div>
                <w:div w:id="8684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worldbank.org/WBSITE/EXTERNAL/EXTARABICHOME/EXTARABICCOUNTRIES/MENAINARABICEXT/EGYPTINARABICEXTN/0,,menuPK:491699~pagePK:141159~piPK:51068265~theSitePK:491642,00.html" TargetMode="External"/><Relationship Id="rId13" Type="http://schemas.openxmlformats.org/officeDocument/2006/relationships/image" Target="media/image4.gif"/><Relationship Id="rId18" Type="http://schemas.openxmlformats.org/officeDocument/2006/relationships/image" Target="media/image9.gi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eb.worldbank.org/WBSITE/EXTERNAL/EXTARABICHOME/EXTABOUTUSARABIC/EXTIDAARABIC/0,,contentMDK:21216974~menuPK:3440391~pagePK:51236175~piPK:437394~theSitePK:1774633,00.html" TargetMode="External"/><Relationship Id="rId12" Type="http://schemas.openxmlformats.org/officeDocument/2006/relationships/hyperlink" Target="http://web.worldbank.org/WBSITE/EXTERNAL/EXTARABICHOME/EXTARABICCOUNTRIES/MENAINARABICEXT/EGYPTINARABICEXTN/0,,contentMDK:21324598~menuPK:491689~pagePK:141137~piPK:141127~theSitePK:491642,00.html" TargetMode="External"/><Relationship Id="rId17" Type="http://schemas.openxmlformats.org/officeDocument/2006/relationships/image" Target="media/image8.gif"/><Relationship Id="rId2" Type="http://schemas.openxmlformats.org/officeDocument/2006/relationships/settings" Target="settings.xml"/><Relationship Id="rId16" Type="http://schemas.openxmlformats.org/officeDocument/2006/relationships/image" Target="media/image7.gi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wds.worldbank.org/external/default/main?menuPK=3308398&amp;pagePK=64187835&amp;piPK=51456449&amp;theSitePK=3308293&amp;query=&amp;sType=2&amp;author=&amp;aType=2&amp;docTitle=&amp;tType=2&amp;docType=3&amp;fromDate=&amp;toDate=&amp;region=&amp;cntry=82608&amp;topic=&amp;lang=&amp;=&amp;docTY=563772,620264,620249&amp;report=&amp;loan=&amp;credit=&amp;projectId=&amp;trustFunds=&amp;sortDesc=DOCDT&amp;sortType=0&amp;pageSize=10&amp;pageSize=10&amp;pageSize=10&amp;dAtts=DOCDT,DOCNA,REPNB,DOCTY,LANG,VOLNB,REPNME&amp;rc=82608" TargetMode="External"/><Relationship Id="rId5" Type="http://schemas.openxmlformats.org/officeDocument/2006/relationships/image" Target="media/image2.gif"/><Relationship Id="rId15" Type="http://schemas.openxmlformats.org/officeDocument/2006/relationships/image" Target="media/image6.gif"/><Relationship Id="rId10" Type="http://schemas.openxmlformats.org/officeDocument/2006/relationships/hyperlink" Target="http://web.worldbank.org/WBSITE/EXTERNAL/EXTARABICHOME/EXTARABICCOUNTRIES/MENAINARABICEXT/EGYPTINARABICEXTN/0,,menuPK:491670~pagePK:141132~piPK:141109~theSitePK:491642,00.html" TargetMode="External"/><Relationship Id="rId19" Type="http://schemas.openxmlformats.org/officeDocument/2006/relationships/hyperlink" Target="http://web.worldbank.org/external/projects/main?pagePK=64283627&amp;piPK=64711326&amp;theSitePK=3319423&amp;menuPK=3323671&amp;Projectid=P040858" TargetMode="External"/><Relationship Id="rId4" Type="http://schemas.openxmlformats.org/officeDocument/2006/relationships/image" Target="media/image1.gif"/><Relationship Id="rId9" Type="http://schemas.openxmlformats.org/officeDocument/2006/relationships/hyperlink" Target="http://web.worldbank.org/WBSITE/EXTERNAL/EXTARABICHOME/PROJECTSARA/0,,menuPK:4374779~pagePK:64392398~piPK:64831378~subTitle:Lending%20Summary~theSitePK:3319423~countrycode:EG,00.html" TargetMode="External"/><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785</Words>
  <Characters>4479</Characters>
  <Application>Microsoft Office Word</Application>
  <DocSecurity>0</DocSecurity>
  <Lines>37</Lines>
  <Paragraphs>10</Paragraphs>
  <ScaleCrop>false</ScaleCrop>
  <Company>The World Bank Group</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World Bank Group</dc:creator>
  <cp:lastModifiedBy>La Juan Lee</cp:lastModifiedBy>
  <cp:revision>2</cp:revision>
  <dcterms:created xsi:type="dcterms:W3CDTF">2014-11-13T15:01:00Z</dcterms:created>
  <dcterms:modified xsi:type="dcterms:W3CDTF">2015-03-16T16:46:00Z</dcterms:modified>
</cp:coreProperties>
</file>