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drawings/drawing2.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Ex1.xml" ContentType="application/vnd.ms-office.chartex+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71113041"/>
        <w:docPartObj>
          <w:docPartGallery w:val="Cover Pages"/>
          <w:docPartUnique/>
        </w:docPartObj>
      </w:sdtPr>
      <w:sdtEndPr/>
      <w:sdtContent>
        <w:p w14:paraId="176CBAB3" w14:textId="6E5BCD79" w:rsidR="00BD30A7" w:rsidRDefault="00BD30A7" w:rsidP="00BD30A7">
          <w:pPr>
            <w:tabs>
              <w:tab w:val="left" w:pos="2897"/>
            </w:tabs>
            <w:jc w:val="center"/>
          </w:pPr>
          <w:r>
            <w:rPr>
              <w:noProof/>
            </w:rPr>
            <mc:AlternateContent>
              <mc:Choice Requires="wpg">
                <w:drawing>
                  <wp:anchor distT="0" distB="0" distL="114300" distR="114300" simplePos="0" relativeHeight="251659264" behindDoc="1" locked="0" layoutInCell="1" allowOverlap="1" wp14:anchorId="414330A1" wp14:editId="2D1574A2">
                    <wp:simplePos x="0" y="0"/>
                    <wp:positionH relativeFrom="page">
                      <wp:align>center</wp:align>
                    </wp:positionH>
                    <wp:positionV relativeFrom="page">
                      <wp:align>center</wp:align>
                    </wp:positionV>
                    <wp:extent cx="6864337" cy="9123528"/>
                    <wp:effectExtent l="57150" t="0" r="59690" b="76835"/>
                    <wp:wrapNone/>
                    <wp:docPr id="193" name="Group 193"/>
                    <wp:cNvGraphicFramePr/>
                    <a:graphic xmlns:a="http://schemas.openxmlformats.org/drawingml/2006/main">
                      <a:graphicData uri="http://schemas.microsoft.com/office/word/2010/wordprocessingGroup">
                        <wpg:wgp>
                          <wpg:cNvGrpSpPr/>
                          <wpg:grpSpPr>
                            <a:xfrm>
                              <a:off x="0" y="0"/>
                              <a:ext cx="6864337" cy="9123528"/>
                              <a:chOff x="0" y="0"/>
                              <a:chExt cx="6864337" cy="9123528"/>
                            </a:xfrm>
                          </wpg:grpSpPr>
                          <wps:wsp>
                            <wps:cNvPr id="194" name="Rectangle 194"/>
                            <wps:cNvSpPr/>
                            <wps:spPr>
                              <a:xfrm>
                                <a:off x="0" y="0"/>
                                <a:ext cx="6858000" cy="1371600"/>
                              </a:xfrm>
                              <a:prstGeom prst="rect">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7F7AB850" w14:textId="4BACBDC2" w:rsidR="00F453BB" w:rsidRDefault="00F453BB">
                                  <w:pPr>
                                    <w:pStyle w:val="NoSpacing"/>
                                    <w:spacing w:before="120"/>
                                    <w:jc w:val="center"/>
                                    <w:rPr>
                                      <w:color w:val="FFFFFF" w:themeColor="background1"/>
                                    </w:rPr>
                                  </w:pPr>
                                  <w:r w:rsidRPr="00263CA7">
                                    <w:rPr>
                                      <w:noProof/>
                                      <w:color w:val="FFFFFF" w:themeColor="background1"/>
                                    </w:rPr>
                                    <w:drawing>
                                      <wp:inline distT="0" distB="0" distL="0" distR="0" wp14:anchorId="14BD3001" wp14:editId="3A5B74A4">
                                        <wp:extent cx="4773930" cy="105283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1052830"/>
                                                </a:xfrm>
                                                <a:prstGeom prst="rect">
                                                  <a:avLst/>
                                                </a:prstGeom>
                                                <a:noFill/>
                                                <a:ln>
                                                  <a:noFill/>
                                                </a:ln>
                                              </pic:spPr>
                                            </pic:pic>
                                          </a:graphicData>
                                        </a:graphic>
                                      </wp:inline>
                                    </w:drawing>
                                  </w:r>
                                </w:p>
                                <w:p w14:paraId="21FDD591" w14:textId="45F31438" w:rsidR="00F453BB" w:rsidRDefault="00322A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453BB">
                                        <w:rPr>
                                          <w:caps/>
                                          <w:color w:val="FFFFFF" w:themeColor="background1"/>
                                        </w:rPr>
                                        <w:t xml:space="preserve">     </w:t>
                                      </w:r>
                                    </w:sdtContent>
                                  </w:sdt>
                                  <w:r w:rsidR="00F453B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453BB">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337" y="1337642"/>
                                <a:ext cx="6858000" cy="44906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F6E2EF" w14:textId="436D9694" w:rsidR="00F453BB" w:rsidRDefault="006456B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SEU6_Full draft May 12 -Decision Meeting</w:t>
                                      </w:r>
                                    </w:p>
                                  </w:sdtContent>
                                </w:sdt>
                                <w:p w14:paraId="1F4C66B1" w14:textId="2B7132C5" w:rsidR="00F453BB" w:rsidRDefault="00F453BB">
                                  <w:pPr>
                                    <w:pStyle w:val="NoSpacing"/>
                                    <w:jc w:val="center"/>
                                    <w:rPr>
                                      <w:rFonts w:asciiTheme="majorHAnsi" w:eastAsiaTheme="majorEastAsia" w:hAnsiTheme="majorHAnsi" w:cstheme="majorBidi"/>
                                      <w:caps/>
                                      <w:color w:val="4472C4" w:themeColor="accent1"/>
                                      <w:sz w:val="48"/>
                                      <w:szCs w:val="48"/>
                                    </w:rPr>
                                  </w:pPr>
                                  <w:r w:rsidRPr="0071579E">
                                    <w:rPr>
                                      <w:rFonts w:asciiTheme="majorHAnsi" w:eastAsiaTheme="majorEastAsia" w:hAnsiTheme="majorHAnsi" w:cstheme="majorBidi"/>
                                      <w:caps/>
                                      <w:color w:val="4472C4" w:themeColor="accent1"/>
                                      <w:sz w:val="48"/>
                                      <w:szCs w:val="48"/>
                                    </w:rPr>
                                    <w:t>Edition 6</w:t>
                                  </w:r>
                                </w:p>
                                <w:p w14:paraId="30B5862F" w14:textId="3EE99204" w:rsidR="00F453BB" w:rsidRDefault="00F453BB">
                                  <w:pPr>
                                    <w:pStyle w:val="NoSpacing"/>
                                    <w:jc w:val="center"/>
                                    <w:rPr>
                                      <w:rFonts w:asciiTheme="majorHAnsi" w:eastAsiaTheme="majorEastAsia" w:hAnsiTheme="majorHAnsi" w:cstheme="majorBidi"/>
                                      <w:caps/>
                                      <w:color w:val="4472C4" w:themeColor="accent1"/>
                                      <w:sz w:val="48"/>
                                      <w:szCs w:val="48"/>
                                    </w:rPr>
                                  </w:pPr>
                                </w:p>
                                <w:p w14:paraId="72CE27BC" w14:textId="5ABCD115" w:rsidR="00F453BB" w:rsidRDefault="00F453BB">
                                  <w:pPr>
                                    <w:pStyle w:val="NoSpacing"/>
                                    <w:jc w:val="center"/>
                                    <w:rPr>
                                      <w:rFonts w:asciiTheme="majorHAnsi" w:eastAsiaTheme="majorEastAsia" w:hAnsiTheme="majorHAnsi" w:cstheme="majorBidi"/>
                                      <w:caps/>
                                      <w:color w:val="4472C4" w:themeColor="accent1"/>
                                      <w:sz w:val="48"/>
                                      <w:szCs w:val="48"/>
                                    </w:rPr>
                                  </w:pPr>
                                </w:p>
                                <w:p w14:paraId="18AE05DF" w14:textId="5E50B4EC" w:rsidR="00F453BB" w:rsidRDefault="00F453BB">
                                  <w:pPr>
                                    <w:pStyle w:val="NoSpacing"/>
                                    <w:jc w:val="center"/>
                                    <w:rPr>
                                      <w:rFonts w:asciiTheme="majorHAnsi" w:eastAsiaTheme="majorEastAsia" w:hAnsiTheme="majorHAnsi" w:cstheme="majorBidi"/>
                                      <w:caps/>
                                      <w:color w:val="4472C4" w:themeColor="accent1"/>
                                      <w:sz w:val="48"/>
                                      <w:szCs w:val="48"/>
                                    </w:rPr>
                                  </w:pPr>
                                  <w:r>
                                    <w:rPr>
                                      <w:rFonts w:asciiTheme="majorHAnsi" w:eastAsiaTheme="majorEastAsia" w:hAnsiTheme="majorHAnsi" w:cstheme="majorBidi"/>
                                      <w:color w:val="4472C4" w:themeColor="accent1"/>
                                      <w:sz w:val="48"/>
                                      <w:szCs w:val="48"/>
                                    </w:rPr>
                                    <w:t>Investing in health to anchor growth</w:t>
                                  </w:r>
                                </w:p>
                                <w:p w14:paraId="03BDACD7" w14:textId="1E9C5F1E" w:rsidR="00F453BB" w:rsidRDefault="00F453BB">
                                  <w:pPr>
                                    <w:pStyle w:val="NoSpacing"/>
                                    <w:jc w:val="center"/>
                                    <w:rPr>
                                      <w:rFonts w:asciiTheme="majorHAnsi" w:eastAsiaTheme="majorEastAsia" w:hAnsiTheme="majorHAnsi" w:cstheme="majorBidi"/>
                                      <w:caps/>
                                      <w:color w:val="4472C4" w:themeColor="accent1"/>
                                      <w:sz w:val="48"/>
                                      <w:szCs w:val="48"/>
                                    </w:rPr>
                                  </w:pPr>
                                </w:p>
                                <w:p w14:paraId="6FF9BF69" w14:textId="5B312437" w:rsidR="00F453BB" w:rsidRDefault="00F453BB">
                                  <w:pPr>
                                    <w:pStyle w:val="NoSpacing"/>
                                    <w:jc w:val="center"/>
                                    <w:rPr>
                                      <w:rFonts w:asciiTheme="majorHAnsi" w:eastAsiaTheme="majorEastAsia" w:hAnsiTheme="majorHAnsi" w:cstheme="majorBidi"/>
                                      <w:caps/>
                                      <w:color w:val="4472C4" w:themeColor="accent1"/>
                                      <w:sz w:val="48"/>
                                      <w:szCs w:val="48"/>
                                    </w:rPr>
                                  </w:pPr>
                                </w:p>
                                <w:p w14:paraId="30EB6B6B" w14:textId="77777777" w:rsidR="00F453BB" w:rsidRDefault="00F453BB">
                                  <w:pPr>
                                    <w:pStyle w:val="NoSpacing"/>
                                    <w:jc w:val="center"/>
                                    <w:rPr>
                                      <w:rFonts w:asciiTheme="majorHAnsi" w:eastAsiaTheme="majorEastAsia" w:hAnsiTheme="majorHAnsi" w:cstheme="majorBidi"/>
                                      <w:caps/>
                                      <w:color w:val="4472C4" w:themeColor="accent1"/>
                                      <w:sz w:val="48"/>
                                      <w:szCs w:val="48"/>
                                    </w:rPr>
                                  </w:pPr>
                                </w:p>
                                <w:p w14:paraId="3A41287C" w14:textId="4A710F11" w:rsidR="00F453BB" w:rsidRPr="0071579E" w:rsidRDefault="00F453BB">
                                  <w:pPr>
                                    <w:pStyle w:val="NoSpacing"/>
                                    <w:jc w:val="center"/>
                                    <w:rPr>
                                      <w:rFonts w:asciiTheme="majorHAnsi" w:eastAsiaTheme="majorEastAsia" w:hAnsiTheme="majorHAnsi" w:cstheme="majorBidi"/>
                                      <w:caps/>
                                      <w:color w:val="4472C4" w:themeColor="accent1"/>
                                      <w:sz w:val="48"/>
                                      <w:szCs w:val="48"/>
                                    </w:rPr>
                                  </w:pPr>
                                  <w:r w:rsidRPr="0071579E">
                                    <w:rPr>
                                      <w:rFonts w:asciiTheme="majorHAnsi" w:eastAsiaTheme="majorEastAsia" w:hAnsiTheme="majorHAnsi" w:cstheme="majorBidi"/>
                                      <w:caps/>
                                      <w:color w:val="4472C4" w:themeColor="accent1"/>
                                      <w:sz w:val="48"/>
                                      <w:szCs w:val="48"/>
                                    </w:rPr>
                                    <w:t>2021</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14330A1" id="Group 193" o:spid="_x0000_s1026" style="position:absolute;left:0;text-align:left;margin-left:0;margin-top:0;width:540.5pt;height:718.4pt;z-index:-251657216;mso-width-percent:882;mso-height-percent:909;mso-position-horizontal:center;mso-position-horizontal-relative:page;mso-position-vertical:center;mso-position-vertical-relative:page;mso-width-percent:882;mso-height-percent:909" coordsize="68643,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" fillcolor="#65a0d7 [3032]" strokecolor="#5b9bd5 [3208]" strokeweight=".5pt">
                      <v:fill color2="#5898d4 [3176]" rotate="t" colors="0 #71a6db;.5 #559bdb;1 #438ac9" focus="100%" type="gradient">
                        <o:fill v:ext="view" type="gradientUnscaled"/>
                      </v:fill>
                    </v:rec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" fillcolor="#65a0d7 [3032]" stroked="f">
                      <v:fill color2="#5898d4 [3176]" rotate="t" colors="0 #71a6db;.5 #559bdb;1 #438ac9" focus="100%" type="gradient">
                        <o:fill v:ext="view" type="gradientUnscaled"/>
                      </v:fill>
                      <v:shadow on="t" color="black" opacity="41287f" offset="0,1.5pt"/>
                      <v:textbox inset="36pt,57.6pt,36pt,36pt">
                        <w:txbxContent>
                          <w:p w14:paraId="7F7AB850" w14:textId="4BACBDC2" w:rsidR="00F453BB" w:rsidRDefault="00F453BB">
                            <w:pPr>
                              <w:pStyle w:val="NoSpacing"/>
                              <w:spacing w:before="120"/>
                              <w:jc w:val="center"/>
                              <w:rPr>
                                <w:color w:val="FFFFFF" w:themeColor="background1"/>
                              </w:rPr>
                            </w:pPr>
                            <w:r w:rsidRPr="00263CA7">
                              <w:rPr>
                                <w:noProof/>
                                <w:color w:val="FFFFFF" w:themeColor="background1"/>
                              </w:rPr>
                              <w:drawing>
                                <wp:inline distT="0" distB="0" distL="0" distR="0" wp14:anchorId="14BD3001" wp14:editId="3A5B74A4">
                                  <wp:extent cx="4773930" cy="105283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1052830"/>
                                          </a:xfrm>
                                          <a:prstGeom prst="rect">
                                            <a:avLst/>
                                          </a:prstGeom>
                                          <a:noFill/>
                                          <a:ln>
                                            <a:noFill/>
                                          </a:ln>
                                        </pic:spPr>
                                      </pic:pic>
                                    </a:graphicData>
                                  </a:graphic>
                                </wp:inline>
                              </w:drawing>
                            </w:r>
                          </w:p>
                          <w:p w14:paraId="21FDD591" w14:textId="45F31438" w:rsidR="00F453BB" w:rsidRDefault="00322A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453BB">
                                  <w:rPr>
                                    <w:caps/>
                                    <w:color w:val="FFFFFF" w:themeColor="background1"/>
                                  </w:rPr>
                                  <w:t xml:space="preserve">     </w:t>
                                </w:r>
                              </w:sdtContent>
                            </w:sdt>
                            <w:r w:rsidR="00F453B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453BB">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3;top:13376;width:68580;height:4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F6E2EF" w14:textId="436D9694" w:rsidR="00F453BB" w:rsidRDefault="006456B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SEU6_Full draft May 12 -Decision Meeting</w:t>
                                </w:r>
                              </w:p>
                            </w:sdtContent>
                          </w:sdt>
                          <w:p w14:paraId="1F4C66B1" w14:textId="2B7132C5" w:rsidR="00F453BB" w:rsidRDefault="00F453BB">
                            <w:pPr>
                              <w:pStyle w:val="NoSpacing"/>
                              <w:jc w:val="center"/>
                              <w:rPr>
                                <w:rFonts w:asciiTheme="majorHAnsi" w:eastAsiaTheme="majorEastAsia" w:hAnsiTheme="majorHAnsi" w:cstheme="majorBidi"/>
                                <w:caps/>
                                <w:color w:val="4472C4" w:themeColor="accent1"/>
                                <w:sz w:val="48"/>
                                <w:szCs w:val="48"/>
                              </w:rPr>
                            </w:pPr>
                            <w:r w:rsidRPr="0071579E">
                              <w:rPr>
                                <w:rFonts w:asciiTheme="majorHAnsi" w:eastAsiaTheme="majorEastAsia" w:hAnsiTheme="majorHAnsi" w:cstheme="majorBidi"/>
                                <w:caps/>
                                <w:color w:val="4472C4" w:themeColor="accent1"/>
                                <w:sz w:val="48"/>
                                <w:szCs w:val="48"/>
                              </w:rPr>
                              <w:t>Edition 6</w:t>
                            </w:r>
                          </w:p>
                          <w:p w14:paraId="30B5862F" w14:textId="3EE99204" w:rsidR="00F453BB" w:rsidRDefault="00F453BB">
                            <w:pPr>
                              <w:pStyle w:val="NoSpacing"/>
                              <w:jc w:val="center"/>
                              <w:rPr>
                                <w:rFonts w:asciiTheme="majorHAnsi" w:eastAsiaTheme="majorEastAsia" w:hAnsiTheme="majorHAnsi" w:cstheme="majorBidi"/>
                                <w:caps/>
                                <w:color w:val="4472C4" w:themeColor="accent1"/>
                                <w:sz w:val="48"/>
                                <w:szCs w:val="48"/>
                              </w:rPr>
                            </w:pPr>
                          </w:p>
                          <w:p w14:paraId="72CE27BC" w14:textId="5ABCD115" w:rsidR="00F453BB" w:rsidRDefault="00F453BB">
                            <w:pPr>
                              <w:pStyle w:val="NoSpacing"/>
                              <w:jc w:val="center"/>
                              <w:rPr>
                                <w:rFonts w:asciiTheme="majorHAnsi" w:eastAsiaTheme="majorEastAsia" w:hAnsiTheme="majorHAnsi" w:cstheme="majorBidi"/>
                                <w:caps/>
                                <w:color w:val="4472C4" w:themeColor="accent1"/>
                                <w:sz w:val="48"/>
                                <w:szCs w:val="48"/>
                              </w:rPr>
                            </w:pPr>
                          </w:p>
                          <w:p w14:paraId="18AE05DF" w14:textId="5E50B4EC" w:rsidR="00F453BB" w:rsidRDefault="00F453BB">
                            <w:pPr>
                              <w:pStyle w:val="NoSpacing"/>
                              <w:jc w:val="center"/>
                              <w:rPr>
                                <w:rFonts w:asciiTheme="majorHAnsi" w:eastAsiaTheme="majorEastAsia" w:hAnsiTheme="majorHAnsi" w:cstheme="majorBidi"/>
                                <w:caps/>
                                <w:color w:val="4472C4" w:themeColor="accent1"/>
                                <w:sz w:val="48"/>
                                <w:szCs w:val="48"/>
                              </w:rPr>
                            </w:pPr>
                            <w:r>
                              <w:rPr>
                                <w:rFonts w:asciiTheme="majorHAnsi" w:eastAsiaTheme="majorEastAsia" w:hAnsiTheme="majorHAnsi" w:cstheme="majorBidi"/>
                                <w:color w:val="4472C4" w:themeColor="accent1"/>
                                <w:sz w:val="48"/>
                                <w:szCs w:val="48"/>
                              </w:rPr>
                              <w:t>Investing in health to anchor growth</w:t>
                            </w:r>
                          </w:p>
                          <w:p w14:paraId="03BDACD7" w14:textId="1E9C5F1E" w:rsidR="00F453BB" w:rsidRDefault="00F453BB">
                            <w:pPr>
                              <w:pStyle w:val="NoSpacing"/>
                              <w:jc w:val="center"/>
                              <w:rPr>
                                <w:rFonts w:asciiTheme="majorHAnsi" w:eastAsiaTheme="majorEastAsia" w:hAnsiTheme="majorHAnsi" w:cstheme="majorBidi"/>
                                <w:caps/>
                                <w:color w:val="4472C4" w:themeColor="accent1"/>
                                <w:sz w:val="48"/>
                                <w:szCs w:val="48"/>
                              </w:rPr>
                            </w:pPr>
                          </w:p>
                          <w:p w14:paraId="6FF9BF69" w14:textId="5B312437" w:rsidR="00F453BB" w:rsidRDefault="00F453BB">
                            <w:pPr>
                              <w:pStyle w:val="NoSpacing"/>
                              <w:jc w:val="center"/>
                              <w:rPr>
                                <w:rFonts w:asciiTheme="majorHAnsi" w:eastAsiaTheme="majorEastAsia" w:hAnsiTheme="majorHAnsi" w:cstheme="majorBidi"/>
                                <w:caps/>
                                <w:color w:val="4472C4" w:themeColor="accent1"/>
                                <w:sz w:val="48"/>
                                <w:szCs w:val="48"/>
                              </w:rPr>
                            </w:pPr>
                          </w:p>
                          <w:p w14:paraId="30EB6B6B" w14:textId="77777777" w:rsidR="00F453BB" w:rsidRDefault="00F453BB">
                            <w:pPr>
                              <w:pStyle w:val="NoSpacing"/>
                              <w:jc w:val="center"/>
                              <w:rPr>
                                <w:rFonts w:asciiTheme="majorHAnsi" w:eastAsiaTheme="majorEastAsia" w:hAnsiTheme="majorHAnsi" w:cstheme="majorBidi"/>
                                <w:caps/>
                                <w:color w:val="4472C4" w:themeColor="accent1"/>
                                <w:sz w:val="48"/>
                                <w:szCs w:val="48"/>
                              </w:rPr>
                            </w:pPr>
                          </w:p>
                          <w:p w14:paraId="3A41287C" w14:textId="4A710F11" w:rsidR="00F453BB" w:rsidRPr="0071579E" w:rsidRDefault="00F453BB">
                            <w:pPr>
                              <w:pStyle w:val="NoSpacing"/>
                              <w:jc w:val="center"/>
                              <w:rPr>
                                <w:rFonts w:asciiTheme="majorHAnsi" w:eastAsiaTheme="majorEastAsia" w:hAnsiTheme="majorHAnsi" w:cstheme="majorBidi"/>
                                <w:caps/>
                                <w:color w:val="4472C4" w:themeColor="accent1"/>
                                <w:sz w:val="48"/>
                                <w:szCs w:val="48"/>
                              </w:rPr>
                            </w:pPr>
                            <w:r w:rsidRPr="0071579E">
                              <w:rPr>
                                <w:rFonts w:asciiTheme="majorHAnsi" w:eastAsiaTheme="majorEastAsia" w:hAnsiTheme="majorHAnsi" w:cstheme="majorBidi"/>
                                <w:caps/>
                                <w:color w:val="4472C4" w:themeColor="accent1"/>
                                <w:sz w:val="48"/>
                                <w:szCs w:val="48"/>
                              </w:rPr>
                              <w:t>2021</w:t>
                            </w:r>
                          </w:p>
                        </w:txbxContent>
                      </v:textbox>
                    </v:shape>
                    <w10:wrap anchorx="page" anchory="page"/>
                  </v:group>
                </w:pict>
              </mc:Fallback>
            </mc:AlternateContent>
          </w:r>
          <w:r>
            <w:tab/>
          </w:r>
        </w:p>
        <w:p w14:paraId="6FC8A54F" w14:textId="6D4C218D" w:rsidR="00BD30A7" w:rsidRDefault="00BD30A7">
          <w:pPr>
            <w:rPr>
              <w:rFonts w:asciiTheme="majorHAnsi" w:eastAsiaTheme="majorEastAsia" w:hAnsiTheme="majorHAnsi" w:cstheme="majorBidi"/>
              <w:color w:val="2F5496" w:themeColor="accent1" w:themeShade="BF"/>
              <w:sz w:val="32"/>
              <w:szCs w:val="32"/>
            </w:rPr>
          </w:pPr>
          <w:r>
            <w:br w:type="page"/>
          </w:r>
        </w:p>
      </w:sdtContent>
    </w:sdt>
    <w:sdt>
      <w:sdtPr>
        <w:rPr>
          <w:rFonts w:asciiTheme="minorHAnsi" w:eastAsiaTheme="minorHAnsi" w:hAnsiTheme="minorHAnsi" w:cstheme="minorBidi"/>
          <w:color w:val="auto"/>
          <w:sz w:val="22"/>
          <w:szCs w:val="22"/>
        </w:rPr>
        <w:id w:val="1196737546"/>
        <w:docPartObj>
          <w:docPartGallery w:val="Table of Contents"/>
          <w:docPartUnique/>
        </w:docPartObj>
      </w:sdtPr>
      <w:sdtEndPr>
        <w:rPr>
          <w:b/>
          <w:bCs/>
          <w:noProof/>
        </w:rPr>
      </w:sdtEndPr>
      <w:sdtContent>
        <w:p w14:paraId="0DFAAF7B" w14:textId="5507B4A9" w:rsidR="009F11F9" w:rsidRPr="009F11F9" w:rsidRDefault="009F11F9" w:rsidP="009F11F9">
          <w:pPr>
            <w:pStyle w:val="TOCHeading"/>
            <w:jc w:val="center"/>
            <w:rPr>
              <w:b/>
              <w:bCs/>
            </w:rPr>
          </w:pPr>
          <w:r w:rsidRPr="009F11F9">
            <w:rPr>
              <w:b/>
              <w:bCs/>
            </w:rPr>
            <w:t>Table of Contents</w:t>
          </w:r>
        </w:p>
        <w:p w14:paraId="393B56AC" w14:textId="3EFDED21" w:rsidR="00E77132" w:rsidRDefault="009F11F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1725877" w:history="1">
            <w:r w:rsidR="00E77132" w:rsidRPr="001D4477">
              <w:rPr>
                <w:rStyle w:val="Hyperlink"/>
                <w:noProof/>
              </w:rPr>
              <w:t>Executive Summary</w:t>
            </w:r>
            <w:r w:rsidR="00E77132">
              <w:rPr>
                <w:noProof/>
                <w:webHidden/>
              </w:rPr>
              <w:tab/>
            </w:r>
            <w:r w:rsidR="00E77132">
              <w:rPr>
                <w:noProof/>
                <w:webHidden/>
              </w:rPr>
              <w:fldChar w:fldCharType="begin"/>
            </w:r>
            <w:r w:rsidR="00E77132">
              <w:rPr>
                <w:noProof/>
                <w:webHidden/>
              </w:rPr>
              <w:instrText xml:space="preserve"> PAGEREF _Toc71725877 \h </w:instrText>
            </w:r>
            <w:r w:rsidR="00E77132">
              <w:rPr>
                <w:noProof/>
                <w:webHidden/>
              </w:rPr>
            </w:r>
            <w:r w:rsidR="00E77132">
              <w:rPr>
                <w:noProof/>
                <w:webHidden/>
              </w:rPr>
              <w:fldChar w:fldCharType="separate"/>
            </w:r>
            <w:r w:rsidR="00E77132">
              <w:rPr>
                <w:noProof/>
                <w:webHidden/>
              </w:rPr>
              <w:t>v</w:t>
            </w:r>
            <w:r w:rsidR="00E77132">
              <w:rPr>
                <w:noProof/>
                <w:webHidden/>
              </w:rPr>
              <w:fldChar w:fldCharType="end"/>
            </w:r>
          </w:hyperlink>
        </w:p>
        <w:p w14:paraId="3478E571" w14:textId="5AFA1EFF" w:rsidR="00E77132" w:rsidRDefault="00322A00">
          <w:pPr>
            <w:pStyle w:val="TOC1"/>
            <w:tabs>
              <w:tab w:val="right" w:leader="dot" w:pos="9350"/>
            </w:tabs>
            <w:rPr>
              <w:rFonts w:eastAsiaTheme="minorEastAsia"/>
              <w:noProof/>
            </w:rPr>
          </w:pPr>
          <w:hyperlink w:anchor="_Toc71725878" w:history="1">
            <w:r w:rsidR="00E77132" w:rsidRPr="001D4477">
              <w:rPr>
                <w:rStyle w:val="Hyperlink"/>
                <w:noProof/>
              </w:rPr>
              <w:t>The Global and Regional Context</w:t>
            </w:r>
            <w:r w:rsidR="00E77132">
              <w:rPr>
                <w:noProof/>
                <w:webHidden/>
              </w:rPr>
              <w:tab/>
            </w:r>
            <w:r w:rsidR="00E77132">
              <w:rPr>
                <w:noProof/>
                <w:webHidden/>
              </w:rPr>
              <w:fldChar w:fldCharType="begin"/>
            </w:r>
            <w:r w:rsidR="00E77132">
              <w:rPr>
                <w:noProof/>
                <w:webHidden/>
              </w:rPr>
              <w:instrText xml:space="preserve"> PAGEREF _Toc71725878 \h </w:instrText>
            </w:r>
            <w:r w:rsidR="00E77132">
              <w:rPr>
                <w:noProof/>
                <w:webHidden/>
              </w:rPr>
            </w:r>
            <w:r w:rsidR="00E77132">
              <w:rPr>
                <w:noProof/>
                <w:webHidden/>
              </w:rPr>
              <w:fldChar w:fldCharType="separate"/>
            </w:r>
            <w:r w:rsidR="00E77132">
              <w:rPr>
                <w:noProof/>
                <w:webHidden/>
              </w:rPr>
              <w:t>1</w:t>
            </w:r>
            <w:r w:rsidR="00E77132">
              <w:rPr>
                <w:noProof/>
                <w:webHidden/>
              </w:rPr>
              <w:fldChar w:fldCharType="end"/>
            </w:r>
          </w:hyperlink>
        </w:p>
        <w:p w14:paraId="1D06FB8A" w14:textId="26A40003" w:rsidR="00E77132" w:rsidRDefault="00322A00">
          <w:pPr>
            <w:pStyle w:val="TOC1"/>
            <w:tabs>
              <w:tab w:val="right" w:leader="dot" w:pos="9350"/>
            </w:tabs>
            <w:rPr>
              <w:rFonts w:eastAsiaTheme="minorEastAsia"/>
              <w:noProof/>
            </w:rPr>
          </w:pPr>
          <w:hyperlink w:anchor="_Toc71725879" w:history="1">
            <w:r w:rsidR="00E77132" w:rsidRPr="001D4477">
              <w:rPr>
                <w:rStyle w:val="Hyperlink"/>
                <w:b/>
                <w:bCs/>
                <w:noProof/>
              </w:rPr>
              <w:t>Part I: The economy is recovering from the triple shocks</w:t>
            </w:r>
            <w:r w:rsidR="00E77132">
              <w:rPr>
                <w:noProof/>
                <w:webHidden/>
              </w:rPr>
              <w:tab/>
            </w:r>
            <w:r w:rsidR="00E77132">
              <w:rPr>
                <w:noProof/>
                <w:webHidden/>
              </w:rPr>
              <w:fldChar w:fldCharType="begin"/>
            </w:r>
            <w:r w:rsidR="00E77132">
              <w:rPr>
                <w:noProof/>
                <w:webHidden/>
              </w:rPr>
              <w:instrText xml:space="preserve"> PAGEREF _Toc71725879 \h </w:instrText>
            </w:r>
            <w:r w:rsidR="00E77132">
              <w:rPr>
                <w:noProof/>
                <w:webHidden/>
              </w:rPr>
            </w:r>
            <w:r w:rsidR="00E77132">
              <w:rPr>
                <w:noProof/>
                <w:webHidden/>
              </w:rPr>
              <w:fldChar w:fldCharType="separate"/>
            </w:r>
            <w:r w:rsidR="00E77132">
              <w:rPr>
                <w:noProof/>
                <w:webHidden/>
              </w:rPr>
              <w:t>2</w:t>
            </w:r>
            <w:r w:rsidR="00E77132">
              <w:rPr>
                <w:noProof/>
                <w:webHidden/>
              </w:rPr>
              <w:fldChar w:fldCharType="end"/>
            </w:r>
          </w:hyperlink>
        </w:p>
        <w:p w14:paraId="2FECAEA8" w14:textId="3520DEF5" w:rsidR="00E77132" w:rsidRDefault="00322A00">
          <w:pPr>
            <w:pStyle w:val="TOC2"/>
            <w:tabs>
              <w:tab w:val="right" w:leader="dot" w:pos="9350"/>
            </w:tabs>
            <w:rPr>
              <w:rFonts w:eastAsiaTheme="minorEastAsia"/>
              <w:noProof/>
            </w:rPr>
          </w:pPr>
          <w:hyperlink w:anchor="_Toc71725880" w:history="1">
            <w:r w:rsidR="00E77132" w:rsidRPr="001D4477">
              <w:rPr>
                <w:rStyle w:val="Hyperlink"/>
                <w:noProof/>
              </w:rPr>
              <w:t>COVID-19 Pandemic Developments</w:t>
            </w:r>
            <w:r w:rsidR="00E77132">
              <w:rPr>
                <w:noProof/>
                <w:webHidden/>
              </w:rPr>
              <w:tab/>
            </w:r>
            <w:r w:rsidR="00E77132">
              <w:rPr>
                <w:noProof/>
                <w:webHidden/>
              </w:rPr>
              <w:fldChar w:fldCharType="begin"/>
            </w:r>
            <w:r w:rsidR="00E77132">
              <w:rPr>
                <w:noProof/>
                <w:webHidden/>
              </w:rPr>
              <w:instrText xml:space="preserve"> PAGEREF _Toc71725880 \h </w:instrText>
            </w:r>
            <w:r w:rsidR="00E77132">
              <w:rPr>
                <w:noProof/>
                <w:webHidden/>
              </w:rPr>
            </w:r>
            <w:r w:rsidR="00E77132">
              <w:rPr>
                <w:noProof/>
                <w:webHidden/>
              </w:rPr>
              <w:fldChar w:fldCharType="separate"/>
            </w:r>
            <w:r w:rsidR="00E77132">
              <w:rPr>
                <w:noProof/>
                <w:webHidden/>
              </w:rPr>
              <w:t>2</w:t>
            </w:r>
            <w:r w:rsidR="00E77132">
              <w:rPr>
                <w:noProof/>
                <w:webHidden/>
              </w:rPr>
              <w:fldChar w:fldCharType="end"/>
            </w:r>
          </w:hyperlink>
        </w:p>
        <w:p w14:paraId="25F52E7C" w14:textId="5EAA931A" w:rsidR="00E77132" w:rsidRDefault="00322A00">
          <w:pPr>
            <w:pStyle w:val="TOC2"/>
            <w:tabs>
              <w:tab w:val="right" w:leader="dot" w:pos="9350"/>
            </w:tabs>
            <w:rPr>
              <w:rFonts w:eastAsiaTheme="minorEastAsia"/>
              <w:noProof/>
            </w:rPr>
          </w:pPr>
          <w:hyperlink w:anchor="_Toc71725881" w:history="1">
            <w:r w:rsidR="00E77132" w:rsidRPr="001D4477">
              <w:rPr>
                <w:rStyle w:val="Hyperlink"/>
                <w:noProof/>
              </w:rPr>
              <w:t>The triple shocks dampened growth in 2020</w:t>
            </w:r>
            <w:r w:rsidR="00E77132">
              <w:rPr>
                <w:noProof/>
                <w:webHidden/>
              </w:rPr>
              <w:tab/>
            </w:r>
            <w:r w:rsidR="00E77132">
              <w:rPr>
                <w:noProof/>
                <w:webHidden/>
              </w:rPr>
              <w:fldChar w:fldCharType="begin"/>
            </w:r>
            <w:r w:rsidR="00E77132">
              <w:rPr>
                <w:noProof/>
                <w:webHidden/>
              </w:rPr>
              <w:instrText xml:space="preserve"> PAGEREF _Toc71725881 \h </w:instrText>
            </w:r>
            <w:r w:rsidR="00E77132">
              <w:rPr>
                <w:noProof/>
                <w:webHidden/>
              </w:rPr>
            </w:r>
            <w:r w:rsidR="00E77132">
              <w:rPr>
                <w:noProof/>
                <w:webHidden/>
              </w:rPr>
              <w:fldChar w:fldCharType="separate"/>
            </w:r>
            <w:r w:rsidR="00E77132">
              <w:rPr>
                <w:noProof/>
                <w:webHidden/>
              </w:rPr>
              <w:t>3</w:t>
            </w:r>
            <w:r w:rsidR="00E77132">
              <w:rPr>
                <w:noProof/>
                <w:webHidden/>
              </w:rPr>
              <w:fldChar w:fldCharType="end"/>
            </w:r>
          </w:hyperlink>
        </w:p>
        <w:p w14:paraId="4A052184" w14:textId="5EA63BB0" w:rsidR="00E77132" w:rsidRDefault="00322A00">
          <w:pPr>
            <w:pStyle w:val="TOC2"/>
            <w:tabs>
              <w:tab w:val="right" w:leader="dot" w:pos="9350"/>
            </w:tabs>
            <w:rPr>
              <w:rFonts w:eastAsiaTheme="minorEastAsia"/>
              <w:noProof/>
            </w:rPr>
          </w:pPr>
          <w:hyperlink w:anchor="_Toc71725882" w:history="1">
            <w:r w:rsidR="00E77132" w:rsidRPr="001D4477">
              <w:rPr>
                <w:rStyle w:val="Hyperlink"/>
                <w:noProof/>
              </w:rPr>
              <w:t>Agricultural production slumped</w:t>
            </w:r>
            <w:r w:rsidR="00E77132">
              <w:rPr>
                <w:noProof/>
                <w:webHidden/>
              </w:rPr>
              <w:tab/>
            </w:r>
            <w:r w:rsidR="00E77132">
              <w:rPr>
                <w:noProof/>
                <w:webHidden/>
              </w:rPr>
              <w:fldChar w:fldCharType="begin"/>
            </w:r>
            <w:r w:rsidR="00E77132">
              <w:rPr>
                <w:noProof/>
                <w:webHidden/>
              </w:rPr>
              <w:instrText xml:space="preserve"> PAGEREF _Toc71725882 \h </w:instrText>
            </w:r>
            <w:r w:rsidR="00E77132">
              <w:rPr>
                <w:noProof/>
                <w:webHidden/>
              </w:rPr>
            </w:r>
            <w:r w:rsidR="00E77132">
              <w:rPr>
                <w:noProof/>
                <w:webHidden/>
              </w:rPr>
              <w:fldChar w:fldCharType="separate"/>
            </w:r>
            <w:r w:rsidR="00E77132">
              <w:rPr>
                <w:noProof/>
                <w:webHidden/>
              </w:rPr>
              <w:t>4</w:t>
            </w:r>
            <w:r w:rsidR="00E77132">
              <w:rPr>
                <w:noProof/>
                <w:webHidden/>
              </w:rPr>
              <w:fldChar w:fldCharType="end"/>
            </w:r>
          </w:hyperlink>
        </w:p>
        <w:p w14:paraId="41E38FF5" w14:textId="4E499895" w:rsidR="00E77132" w:rsidRDefault="00322A00">
          <w:pPr>
            <w:pStyle w:val="TOC2"/>
            <w:tabs>
              <w:tab w:val="right" w:leader="dot" w:pos="9350"/>
            </w:tabs>
            <w:rPr>
              <w:rFonts w:eastAsiaTheme="minorEastAsia"/>
              <w:noProof/>
            </w:rPr>
          </w:pPr>
          <w:hyperlink w:anchor="_Toc71725883" w:history="1">
            <w:r w:rsidR="00E77132" w:rsidRPr="001D4477">
              <w:rPr>
                <w:rStyle w:val="Hyperlink"/>
                <w:noProof/>
              </w:rPr>
              <w:t>Businesses were adversely affected by the COVID-19 pandemic</w:t>
            </w:r>
            <w:r w:rsidR="00E77132">
              <w:rPr>
                <w:noProof/>
                <w:webHidden/>
              </w:rPr>
              <w:tab/>
            </w:r>
            <w:r w:rsidR="00E77132">
              <w:rPr>
                <w:noProof/>
                <w:webHidden/>
              </w:rPr>
              <w:fldChar w:fldCharType="begin"/>
            </w:r>
            <w:r w:rsidR="00E77132">
              <w:rPr>
                <w:noProof/>
                <w:webHidden/>
              </w:rPr>
              <w:instrText xml:space="preserve"> PAGEREF _Toc71725883 \h </w:instrText>
            </w:r>
            <w:r w:rsidR="00E77132">
              <w:rPr>
                <w:noProof/>
                <w:webHidden/>
              </w:rPr>
            </w:r>
            <w:r w:rsidR="00E77132">
              <w:rPr>
                <w:noProof/>
                <w:webHidden/>
              </w:rPr>
              <w:fldChar w:fldCharType="separate"/>
            </w:r>
            <w:r w:rsidR="00E77132">
              <w:rPr>
                <w:noProof/>
                <w:webHidden/>
              </w:rPr>
              <w:t>5</w:t>
            </w:r>
            <w:r w:rsidR="00E77132">
              <w:rPr>
                <w:noProof/>
                <w:webHidden/>
              </w:rPr>
              <w:fldChar w:fldCharType="end"/>
            </w:r>
          </w:hyperlink>
        </w:p>
        <w:p w14:paraId="52167D06" w14:textId="2362154F" w:rsidR="00E77132" w:rsidRDefault="00322A00">
          <w:pPr>
            <w:pStyle w:val="TOC2"/>
            <w:tabs>
              <w:tab w:val="right" w:leader="dot" w:pos="9350"/>
            </w:tabs>
            <w:rPr>
              <w:rFonts w:eastAsiaTheme="minorEastAsia"/>
              <w:noProof/>
            </w:rPr>
          </w:pPr>
          <w:hyperlink w:anchor="_Toc71725884" w:history="1">
            <w:r w:rsidR="00E77132" w:rsidRPr="001D4477">
              <w:rPr>
                <w:rStyle w:val="Hyperlink"/>
                <w:noProof/>
              </w:rPr>
              <w:t>Inflation has remained low</w:t>
            </w:r>
            <w:r w:rsidR="00E77132">
              <w:rPr>
                <w:noProof/>
                <w:webHidden/>
              </w:rPr>
              <w:tab/>
            </w:r>
            <w:r w:rsidR="00E77132">
              <w:rPr>
                <w:noProof/>
                <w:webHidden/>
              </w:rPr>
              <w:fldChar w:fldCharType="begin"/>
            </w:r>
            <w:r w:rsidR="00E77132">
              <w:rPr>
                <w:noProof/>
                <w:webHidden/>
              </w:rPr>
              <w:instrText xml:space="preserve"> PAGEREF _Toc71725884 \h </w:instrText>
            </w:r>
            <w:r w:rsidR="00E77132">
              <w:rPr>
                <w:noProof/>
                <w:webHidden/>
              </w:rPr>
            </w:r>
            <w:r w:rsidR="00E77132">
              <w:rPr>
                <w:noProof/>
                <w:webHidden/>
              </w:rPr>
              <w:fldChar w:fldCharType="separate"/>
            </w:r>
            <w:r w:rsidR="00E77132">
              <w:rPr>
                <w:noProof/>
                <w:webHidden/>
              </w:rPr>
              <w:t>9</w:t>
            </w:r>
            <w:r w:rsidR="00E77132">
              <w:rPr>
                <w:noProof/>
                <w:webHidden/>
              </w:rPr>
              <w:fldChar w:fldCharType="end"/>
            </w:r>
          </w:hyperlink>
        </w:p>
        <w:p w14:paraId="43C732E9" w14:textId="0EBE45CA" w:rsidR="00E77132" w:rsidRDefault="00322A00">
          <w:pPr>
            <w:pStyle w:val="TOC2"/>
            <w:tabs>
              <w:tab w:val="right" w:leader="dot" w:pos="9350"/>
            </w:tabs>
            <w:rPr>
              <w:rFonts w:eastAsiaTheme="minorEastAsia"/>
              <w:noProof/>
            </w:rPr>
          </w:pPr>
          <w:hyperlink w:anchor="_Toc71725885" w:history="1">
            <w:r w:rsidR="00E77132" w:rsidRPr="001D4477">
              <w:rPr>
                <w:rStyle w:val="Hyperlink"/>
                <w:noProof/>
              </w:rPr>
              <w:t>The triple crisis pushed more people into poverty</w:t>
            </w:r>
            <w:r w:rsidR="00E77132">
              <w:rPr>
                <w:noProof/>
                <w:webHidden/>
              </w:rPr>
              <w:tab/>
            </w:r>
            <w:r w:rsidR="00E77132">
              <w:rPr>
                <w:noProof/>
                <w:webHidden/>
              </w:rPr>
              <w:fldChar w:fldCharType="begin"/>
            </w:r>
            <w:r w:rsidR="00E77132">
              <w:rPr>
                <w:noProof/>
                <w:webHidden/>
              </w:rPr>
              <w:instrText xml:space="preserve"> PAGEREF _Toc71725885 \h </w:instrText>
            </w:r>
            <w:r w:rsidR="00E77132">
              <w:rPr>
                <w:noProof/>
                <w:webHidden/>
              </w:rPr>
            </w:r>
            <w:r w:rsidR="00E77132">
              <w:rPr>
                <w:noProof/>
                <w:webHidden/>
              </w:rPr>
              <w:fldChar w:fldCharType="separate"/>
            </w:r>
            <w:r w:rsidR="00E77132">
              <w:rPr>
                <w:noProof/>
                <w:webHidden/>
              </w:rPr>
              <w:t>10</w:t>
            </w:r>
            <w:r w:rsidR="00E77132">
              <w:rPr>
                <w:noProof/>
                <w:webHidden/>
              </w:rPr>
              <w:fldChar w:fldCharType="end"/>
            </w:r>
          </w:hyperlink>
        </w:p>
        <w:p w14:paraId="4BF8E56B" w14:textId="7837CA5F" w:rsidR="00E77132" w:rsidRDefault="00322A00">
          <w:pPr>
            <w:pStyle w:val="TOC2"/>
            <w:tabs>
              <w:tab w:val="right" w:leader="dot" w:pos="9350"/>
            </w:tabs>
            <w:rPr>
              <w:rFonts w:eastAsiaTheme="minorEastAsia"/>
              <w:noProof/>
            </w:rPr>
          </w:pPr>
          <w:hyperlink w:anchor="_Toc71725886" w:history="1">
            <w:r w:rsidR="00E77132" w:rsidRPr="001D4477">
              <w:rPr>
                <w:rStyle w:val="Hyperlink"/>
                <w:noProof/>
              </w:rPr>
              <w:t>Reforms in the financial sector are yielding results</w:t>
            </w:r>
            <w:r w:rsidR="00E77132">
              <w:rPr>
                <w:noProof/>
                <w:webHidden/>
              </w:rPr>
              <w:tab/>
            </w:r>
            <w:r w:rsidR="00E77132">
              <w:rPr>
                <w:noProof/>
                <w:webHidden/>
              </w:rPr>
              <w:fldChar w:fldCharType="begin"/>
            </w:r>
            <w:r w:rsidR="00E77132">
              <w:rPr>
                <w:noProof/>
                <w:webHidden/>
              </w:rPr>
              <w:instrText xml:space="preserve"> PAGEREF _Toc71725886 \h </w:instrText>
            </w:r>
            <w:r w:rsidR="00E77132">
              <w:rPr>
                <w:noProof/>
                <w:webHidden/>
              </w:rPr>
            </w:r>
            <w:r w:rsidR="00E77132">
              <w:rPr>
                <w:noProof/>
                <w:webHidden/>
              </w:rPr>
              <w:fldChar w:fldCharType="separate"/>
            </w:r>
            <w:r w:rsidR="00E77132">
              <w:rPr>
                <w:noProof/>
                <w:webHidden/>
              </w:rPr>
              <w:t>12</w:t>
            </w:r>
            <w:r w:rsidR="00E77132">
              <w:rPr>
                <w:noProof/>
                <w:webHidden/>
              </w:rPr>
              <w:fldChar w:fldCharType="end"/>
            </w:r>
          </w:hyperlink>
        </w:p>
        <w:p w14:paraId="26860C5E" w14:textId="6D59AEA9" w:rsidR="00E77132" w:rsidRDefault="00322A00">
          <w:pPr>
            <w:pStyle w:val="TOC2"/>
            <w:tabs>
              <w:tab w:val="right" w:leader="dot" w:pos="9350"/>
            </w:tabs>
            <w:rPr>
              <w:rFonts w:eastAsiaTheme="minorEastAsia"/>
              <w:noProof/>
            </w:rPr>
          </w:pPr>
          <w:hyperlink w:anchor="_Toc71725887" w:history="1">
            <w:r w:rsidR="00E77132" w:rsidRPr="001D4477">
              <w:rPr>
                <w:rStyle w:val="Hyperlink"/>
                <w:noProof/>
              </w:rPr>
              <w:t>External sector vulnerability deepened</w:t>
            </w:r>
            <w:r w:rsidR="00E77132">
              <w:rPr>
                <w:noProof/>
                <w:webHidden/>
              </w:rPr>
              <w:tab/>
            </w:r>
            <w:r w:rsidR="00E77132">
              <w:rPr>
                <w:noProof/>
                <w:webHidden/>
              </w:rPr>
              <w:fldChar w:fldCharType="begin"/>
            </w:r>
            <w:r w:rsidR="00E77132">
              <w:rPr>
                <w:noProof/>
                <w:webHidden/>
              </w:rPr>
              <w:instrText xml:space="preserve"> PAGEREF _Toc71725887 \h </w:instrText>
            </w:r>
            <w:r w:rsidR="00E77132">
              <w:rPr>
                <w:noProof/>
                <w:webHidden/>
              </w:rPr>
            </w:r>
            <w:r w:rsidR="00E77132">
              <w:rPr>
                <w:noProof/>
                <w:webHidden/>
              </w:rPr>
              <w:fldChar w:fldCharType="separate"/>
            </w:r>
            <w:r w:rsidR="00E77132">
              <w:rPr>
                <w:noProof/>
                <w:webHidden/>
              </w:rPr>
              <w:t>15</w:t>
            </w:r>
            <w:r w:rsidR="00E77132">
              <w:rPr>
                <w:noProof/>
                <w:webHidden/>
              </w:rPr>
              <w:fldChar w:fldCharType="end"/>
            </w:r>
          </w:hyperlink>
        </w:p>
        <w:p w14:paraId="7F954B76" w14:textId="44695179" w:rsidR="00E77132" w:rsidRDefault="00322A00">
          <w:pPr>
            <w:pStyle w:val="TOC2"/>
            <w:tabs>
              <w:tab w:val="right" w:leader="dot" w:pos="9350"/>
            </w:tabs>
            <w:rPr>
              <w:rFonts w:eastAsiaTheme="minorEastAsia"/>
              <w:noProof/>
            </w:rPr>
          </w:pPr>
          <w:hyperlink w:anchor="_Toc71725888" w:history="1">
            <w:r w:rsidR="00E77132" w:rsidRPr="001D4477">
              <w:rPr>
                <w:rStyle w:val="Hyperlink"/>
                <w:noProof/>
              </w:rPr>
              <w:t>Public finances came under stress in 2020, necessitating large adjustments through a revised budget</w:t>
            </w:r>
            <w:r w:rsidR="00E77132">
              <w:rPr>
                <w:noProof/>
                <w:webHidden/>
              </w:rPr>
              <w:tab/>
            </w:r>
            <w:r w:rsidR="00E77132">
              <w:rPr>
                <w:noProof/>
                <w:webHidden/>
              </w:rPr>
              <w:fldChar w:fldCharType="begin"/>
            </w:r>
            <w:r w:rsidR="00E77132">
              <w:rPr>
                <w:noProof/>
                <w:webHidden/>
              </w:rPr>
              <w:instrText xml:space="preserve"> PAGEREF _Toc71725888 \h </w:instrText>
            </w:r>
            <w:r w:rsidR="00E77132">
              <w:rPr>
                <w:noProof/>
                <w:webHidden/>
              </w:rPr>
            </w:r>
            <w:r w:rsidR="00E77132">
              <w:rPr>
                <w:noProof/>
                <w:webHidden/>
              </w:rPr>
              <w:fldChar w:fldCharType="separate"/>
            </w:r>
            <w:r w:rsidR="00E77132">
              <w:rPr>
                <w:noProof/>
                <w:webHidden/>
              </w:rPr>
              <w:t>17</w:t>
            </w:r>
            <w:r w:rsidR="00E77132">
              <w:rPr>
                <w:noProof/>
                <w:webHidden/>
              </w:rPr>
              <w:fldChar w:fldCharType="end"/>
            </w:r>
          </w:hyperlink>
        </w:p>
        <w:p w14:paraId="50CAA98E" w14:textId="28DE659E" w:rsidR="00E77132" w:rsidRDefault="00322A00">
          <w:pPr>
            <w:pStyle w:val="TOC2"/>
            <w:tabs>
              <w:tab w:val="right" w:leader="dot" w:pos="9350"/>
            </w:tabs>
            <w:rPr>
              <w:rFonts w:eastAsiaTheme="minorEastAsia"/>
              <w:noProof/>
            </w:rPr>
          </w:pPr>
          <w:hyperlink w:anchor="_Toc71725892" w:history="1">
            <w:r w:rsidR="00E77132" w:rsidRPr="001D4477">
              <w:rPr>
                <w:rStyle w:val="Hyperlink"/>
                <w:noProof/>
              </w:rPr>
              <w:t>Intergovernmental grants eased fiscal stress at subnational level especially among states with no ports</w:t>
            </w:r>
            <w:r w:rsidR="00E77132">
              <w:rPr>
                <w:noProof/>
                <w:webHidden/>
              </w:rPr>
              <w:tab/>
            </w:r>
            <w:r w:rsidR="00E77132">
              <w:rPr>
                <w:noProof/>
                <w:webHidden/>
              </w:rPr>
              <w:fldChar w:fldCharType="begin"/>
            </w:r>
            <w:r w:rsidR="00E77132">
              <w:rPr>
                <w:noProof/>
                <w:webHidden/>
              </w:rPr>
              <w:instrText xml:space="preserve"> PAGEREF _Toc71725892 \h </w:instrText>
            </w:r>
            <w:r w:rsidR="00E77132">
              <w:rPr>
                <w:noProof/>
                <w:webHidden/>
              </w:rPr>
            </w:r>
            <w:r w:rsidR="00E77132">
              <w:rPr>
                <w:noProof/>
                <w:webHidden/>
              </w:rPr>
              <w:fldChar w:fldCharType="separate"/>
            </w:r>
            <w:r w:rsidR="00E77132">
              <w:rPr>
                <w:noProof/>
                <w:webHidden/>
              </w:rPr>
              <w:t>21</w:t>
            </w:r>
            <w:r w:rsidR="00E77132">
              <w:rPr>
                <w:noProof/>
                <w:webHidden/>
              </w:rPr>
              <w:fldChar w:fldCharType="end"/>
            </w:r>
          </w:hyperlink>
        </w:p>
        <w:p w14:paraId="09D79617" w14:textId="7A3F215F" w:rsidR="00E77132" w:rsidRDefault="00322A00">
          <w:pPr>
            <w:pStyle w:val="TOC2"/>
            <w:tabs>
              <w:tab w:val="right" w:leader="dot" w:pos="9350"/>
            </w:tabs>
            <w:rPr>
              <w:rFonts w:eastAsiaTheme="minorEastAsia"/>
              <w:noProof/>
            </w:rPr>
          </w:pPr>
          <w:hyperlink w:anchor="_Toc71725893" w:history="1">
            <w:r w:rsidR="00E77132" w:rsidRPr="001D4477">
              <w:rPr>
                <w:rStyle w:val="Hyperlink"/>
                <w:noProof/>
              </w:rPr>
              <w:t>FGS 2021 budget: Rising fiscal challenges as the country faces multiple shocks and political uncertainty</w:t>
            </w:r>
            <w:r w:rsidR="00E77132">
              <w:rPr>
                <w:noProof/>
                <w:webHidden/>
              </w:rPr>
              <w:tab/>
            </w:r>
            <w:r w:rsidR="00E77132">
              <w:rPr>
                <w:noProof/>
                <w:webHidden/>
              </w:rPr>
              <w:fldChar w:fldCharType="begin"/>
            </w:r>
            <w:r w:rsidR="00E77132">
              <w:rPr>
                <w:noProof/>
                <w:webHidden/>
              </w:rPr>
              <w:instrText xml:space="preserve"> PAGEREF _Toc71725893 \h </w:instrText>
            </w:r>
            <w:r w:rsidR="00E77132">
              <w:rPr>
                <w:noProof/>
                <w:webHidden/>
              </w:rPr>
            </w:r>
            <w:r w:rsidR="00E77132">
              <w:rPr>
                <w:noProof/>
                <w:webHidden/>
              </w:rPr>
              <w:fldChar w:fldCharType="separate"/>
            </w:r>
            <w:r w:rsidR="00E77132">
              <w:rPr>
                <w:noProof/>
                <w:webHidden/>
              </w:rPr>
              <w:t>22</w:t>
            </w:r>
            <w:r w:rsidR="00E77132">
              <w:rPr>
                <w:noProof/>
                <w:webHidden/>
              </w:rPr>
              <w:fldChar w:fldCharType="end"/>
            </w:r>
          </w:hyperlink>
        </w:p>
        <w:p w14:paraId="018C7E1D" w14:textId="7FB8F8A5" w:rsidR="00E77132" w:rsidRDefault="00322A00">
          <w:pPr>
            <w:pStyle w:val="TOC1"/>
            <w:tabs>
              <w:tab w:val="right" w:leader="dot" w:pos="9350"/>
            </w:tabs>
            <w:rPr>
              <w:rFonts w:eastAsiaTheme="minorEastAsia"/>
              <w:noProof/>
            </w:rPr>
          </w:pPr>
          <w:hyperlink w:anchor="_Toc71725896" w:history="1">
            <w:r w:rsidR="00E77132" w:rsidRPr="001D4477">
              <w:rPr>
                <w:rStyle w:val="Hyperlink"/>
                <w:noProof/>
              </w:rPr>
              <w:t>Medium-Term Outlook, Risks and Challenges</w:t>
            </w:r>
            <w:r w:rsidR="00E77132">
              <w:rPr>
                <w:noProof/>
                <w:webHidden/>
              </w:rPr>
              <w:tab/>
            </w:r>
            <w:r w:rsidR="00E77132">
              <w:rPr>
                <w:noProof/>
                <w:webHidden/>
              </w:rPr>
              <w:fldChar w:fldCharType="begin"/>
            </w:r>
            <w:r w:rsidR="00E77132">
              <w:rPr>
                <w:noProof/>
                <w:webHidden/>
              </w:rPr>
              <w:instrText xml:space="preserve"> PAGEREF _Toc71725896 \h </w:instrText>
            </w:r>
            <w:r w:rsidR="00E77132">
              <w:rPr>
                <w:noProof/>
                <w:webHidden/>
              </w:rPr>
            </w:r>
            <w:r w:rsidR="00E77132">
              <w:rPr>
                <w:noProof/>
                <w:webHidden/>
              </w:rPr>
              <w:fldChar w:fldCharType="separate"/>
            </w:r>
            <w:r w:rsidR="00E77132">
              <w:rPr>
                <w:noProof/>
                <w:webHidden/>
              </w:rPr>
              <w:t>26</w:t>
            </w:r>
            <w:r w:rsidR="00E77132">
              <w:rPr>
                <w:noProof/>
                <w:webHidden/>
              </w:rPr>
              <w:fldChar w:fldCharType="end"/>
            </w:r>
          </w:hyperlink>
        </w:p>
        <w:p w14:paraId="05CEBCCF" w14:textId="6FB75ECC" w:rsidR="00E77132" w:rsidRDefault="00322A00">
          <w:pPr>
            <w:pStyle w:val="TOC2"/>
            <w:tabs>
              <w:tab w:val="right" w:leader="dot" w:pos="9350"/>
            </w:tabs>
            <w:rPr>
              <w:rFonts w:eastAsiaTheme="minorEastAsia"/>
              <w:noProof/>
            </w:rPr>
          </w:pPr>
          <w:hyperlink w:anchor="_Toc71725897" w:history="1">
            <w:r w:rsidR="00E77132" w:rsidRPr="001D4477">
              <w:rPr>
                <w:rStyle w:val="Hyperlink"/>
                <w:noProof/>
              </w:rPr>
              <w:t>Somalia is emerging from the triple shocks of 2020</w:t>
            </w:r>
            <w:r w:rsidR="00E77132">
              <w:rPr>
                <w:noProof/>
                <w:webHidden/>
              </w:rPr>
              <w:tab/>
            </w:r>
            <w:r w:rsidR="00E77132">
              <w:rPr>
                <w:noProof/>
                <w:webHidden/>
              </w:rPr>
              <w:fldChar w:fldCharType="begin"/>
            </w:r>
            <w:r w:rsidR="00E77132">
              <w:rPr>
                <w:noProof/>
                <w:webHidden/>
              </w:rPr>
              <w:instrText xml:space="preserve"> PAGEREF _Toc71725897 \h </w:instrText>
            </w:r>
            <w:r w:rsidR="00E77132">
              <w:rPr>
                <w:noProof/>
                <w:webHidden/>
              </w:rPr>
            </w:r>
            <w:r w:rsidR="00E77132">
              <w:rPr>
                <w:noProof/>
                <w:webHidden/>
              </w:rPr>
              <w:fldChar w:fldCharType="separate"/>
            </w:r>
            <w:r w:rsidR="00E77132">
              <w:rPr>
                <w:noProof/>
                <w:webHidden/>
              </w:rPr>
              <w:t>26</w:t>
            </w:r>
            <w:r w:rsidR="00E77132">
              <w:rPr>
                <w:noProof/>
                <w:webHidden/>
              </w:rPr>
              <w:fldChar w:fldCharType="end"/>
            </w:r>
          </w:hyperlink>
        </w:p>
        <w:p w14:paraId="672E135C" w14:textId="7D3EDD88" w:rsidR="00E77132" w:rsidRDefault="00322A00">
          <w:pPr>
            <w:pStyle w:val="TOC2"/>
            <w:tabs>
              <w:tab w:val="right" w:leader="dot" w:pos="9350"/>
            </w:tabs>
            <w:rPr>
              <w:rFonts w:eastAsiaTheme="minorEastAsia"/>
              <w:noProof/>
            </w:rPr>
          </w:pPr>
          <w:hyperlink w:anchor="_Toc71725898" w:history="1">
            <w:r w:rsidR="00E77132" w:rsidRPr="001D4477">
              <w:rPr>
                <w:rStyle w:val="Hyperlink"/>
                <w:noProof/>
              </w:rPr>
              <w:t>Risks to the outlook are mainly on the downside</w:t>
            </w:r>
            <w:r w:rsidR="00E77132">
              <w:rPr>
                <w:noProof/>
                <w:webHidden/>
              </w:rPr>
              <w:tab/>
            </w:r>
            <w:r w:rsidR="00E77132">
              <w:rPr>
                <w:noProof/>
                <w:webHidden/>
              </w:rPr>
              <w:fldChar w:fldCharType="begin"/>
            </w:r>
            <w:r w:rsidR="00E77132">
              <w:rPr>
                <w:noProof/>
                <w:webHidden/>
              </w:rPr>
              <w:instrText xml:space="preserve"> PAGEREF _Toc71725898 \h </w:instrText>
            </w:r>
            <w:r w:rsidR="00E77132">
              <w:rPr>
                <w:noProof/>
                <w:webHidden/>
              </w:rPr>
            </w:r>
            <w:r w:rsidR="00E77132">
              <w:rPr>
                <w:noProof/>
                <w:webHidden/>
              </w:rPr>
              <w:fldChar w:fldCharType="separate"/>
            </w:r>
            <w:r w:rsidR="00E77132">
              <w:rPr>
                <w:noProof/>
                <w:webHidden/>
              </w:rPr>
              <w:t>27</w:t>
            </w:r>
            <w:r w:rsidR="00E77132">
              <w:rPr>
                <w:noProof/>
                <w:webHidden/>
              </w:rPr>
              <w:fldChar w:fldCharType="end"/>
            </w:r>
          </w:hyperlink>
        </w:p>
        <w:p w14:paraId="6DA9A4AA" w14:textId="2E202F13" w:rsidR="00E77132" w:rsidRDefault="00322A00">
          <w:pPr>
            <w:pStyle w:val="TOC2"/>
            <w:tabs>
              <w:tab w:val="right" w:leader="dot" w:pos="9350"/>
            </w:tabs>
            <w:rPr>
              <w:rFonts w:eastAsiaTheme="minorEastAsia"/>
              <w:noProof/>
            </w:rPr>
          </w:pPr>
          <w:hyperlink w:anchor="_Toc71725899" w:history="1">
            <w:r w:rsidR="00E77132" w:rsidRPr="001D4477">
              <w:rPr>
                <w:rStyle w:val="Hyperlink"/>
                <w:noProof/>
              </w:rPr>
              <w:t>Policy Options for Economic Recovery</w:t>
            </w:r>
            <w:r w:rsidR="00E77132">
              <w:rPr>
                <w:noProof/>
                <w:webHidden/>
              </w:rPr>
              <w:tab/>
            </w:r>
            <w:r w:rsidR="00E77132">
              <w:rPr>
                <w:noProof/>
                <w:webHidden/>
              </w:rPr>
              <w:fldChar w:fldCharType="begin"/>
            </w:r>
            <w:r w:rsidR="00E77132">
              <w:rPr>
                <w:noProof/>
                <w:webHidden/>
              </w:rPr>
              <w:instrText xml:space="preserve"> PAGEREF _Toc71725899 \h </w:instrText>
            </w:r>
            <w:r w:rsidR="00E77132">
              <w:rPr>
                <w:noProof/>
                <w:webHidden/>
              </w:rPr>
            </w:r>
            <w:r w:rsidR="00E77132">
              <w:rPr>
                <w:noProof/>
                <w:webHidden/>
              </w:rPr>
              <w:fldChar w:fldCharType="separate"/>
            </w:r>
            <w:r w:rsidR="00E77132">
              <w:rPr>
                <w:noProof/>
                <w:webHidden/>
              </w:rPr>
              <w:t>28</w:t>
            </w:r>
            <w:r w:rsidR="00E77132">
              <w:rPr>
                <w:noProof/>
                <w:webHidden/>
              </w:rPr>
              <w:fldChar w:fldCharType="end"/>
            </w:r>
          </w:hyperlink>
        </w:p>
        <w:p w14:paraId="201F1275" w14:textId="5C8C0F2D" w:rsidR="00E77132" w:rsidRDefault="00322A00">
          <w:pPr>
            <w:pStyle w:val="TOC1"/>
            <w:tabs>
              <w:tab w:val="right" w:leader="dot" w:pos="9350"/>
            </w:tabs>
            <w:rPr>
              <w:rFonts w:eastAsiaTheme="minorEastAsia"/>
              <w:noProof/>
            </w:rPr>
          </w:pPr>
          <w:hyperlink w:anchor="_Toc71725900" w:history="1">
            <w:r w:rsidR="00E77132" w:rsidRPr="001D4477">
              <w:rPr>
                <w:rStyle w:val="Hyperlink"/>
                <w:b/>
                <w:bCs/>
                <w:noProof/>
                <w:lang w:eastAsia="ja-JP"/>
              </w:rPr>
              <w:t>Part II: Resilient Health Systems for Somalia’s Economic Growth</w:t>
            </w:r>
            <w:r w:rsidR="00E77132">
              <w:rPr>
                <w:noProof/>
                <w:webHidden/>
              </w:rPr>
              <w:tab/>
            </w:r>
            <w:r w:rsidR="00E77132">
              <w:rPr>
                <w:noProof/>
                <w:webHidden/>
              </w:rPr>
              <w:fldChar w:fldCharType="begin"/>
            </w:r>
            <w:r w:rsidR="00E77132">
              <w:rPr>
                <w:noProof/>
                <w:webHidden/>
              </w:rPr>
              <w:instrText xml:space="preserve"> PAGEREF _Toc71725900 \h </w:instrText>
            </w:r>
            <w:r w:rsidR="00E77132">
              <w:rPr>
                <w:noProof/>
                <w:webHidden/>
              </w:rPr>
            </w:r>
            <w:r w:rsidR="00E77132">
              <w:rPr>
                <w:noProof/>
                <w:webHidden/>
              </w:rPr>
              <w:fldChar w:fldCharType="separate"/>
            </w:r>
            <w:r w:rsidR="00E77132">
              <w:rPr>
                <w:noProof/>
                <w:webHidden/>
              </w:rPr>
              <w:t>30</w:t>
            </w:r>
            <w:r w:rsidR="00E77132">
              <w:rPr>
                <w:noProof/>
                <w:webHidden/>
              </w:rPr>
              <w:fldChar w:fldCharType="end"/>
            </w:r>
          </w:hyperlink>
        </w:p>
        <w:p w14:paraId="6313E05A" w14:textId="2641DD35" w:rsidR="00E77132" w:rsidRDefault="00322A00">
          <w:pPr>
            <w:pStyle w:val="TOC2"/>
            <w:tabs>
              <w:tab w:val="right" w:leader="dot" w:pos="9350"/>
            </w:tabs>
            <w:rPr>
              <w:rFonts w:eastAsiaTheme="minorEastAsia"/>
              <w:noProof/>
            </w:rPr>
          </w:pPr>
          <w:hyperlink w:anchor="_Toc71725901" w:history="1">
            <w:r w:rsidR="00E77132" w:rsidRPr="001D4477">
              <w:rPr>
                <w:rStyle w:val="Hyperlink"/>
                <w:noProof/>
                <w:lang w:eastAsia="ja-JP"/>
              </w:rPr>
              <w:t>The Case for Investing in Health</w:t>
            </w:r>
            <w:r w:rsidR="00E77132">
              <w:rPr>
                <w:noProof/>
                <w:webHidden/>
              </w:rPr>
              <w:tab/>
            </w:r>
            <w:r w:rsidR="00E77132">
              <w:rPr>
                <w:noProof/>
                <w:webHidden/>
              </w:rPr>
              <w:fldChar w:fldCharType="begin"/>
            </w:r>
            <w:r w:rsidR="00E77132">
              <w:rPr>
                <w:noProof/>
                <w:webHidden/>
              </w:rPr>
              <w:instrText xml:space="preserve"> PAGEREF _Toc71725901 \h </w:instrText>
            </w:r>
            <w:r w:rsidR="00E77132">
              <w:rPr>
                <w:noProof/>
                <w:webHidden/>
              </w:rPr>
            </w:r>
            <w:r w:rsidR="00E77132">
              <w:rPr>
                <w:noProof/>
                <w:webHidden/>
              </w:rPr>
              <w:fldChar w:fldCharType="separate"/>
            </w:r>
            <w:r w:rsidR="00E77132">
              <w:rPr>
                <w:noProof/>
                <w:webHidden/>
              </w:rPr>
              <w:t>30</w:t>
            </w:r>
            <w:r w:rsidR="00E77132">
              <w:rPr>
                <w:noProof/>
                <w:webHidden/>
              </w:rPr>
              <w:fldChar w:fldCharType="end"/>
            </w:r>
          </w:hyperlink>
        </w:p>
        <w:p w14:paraId="0C92D256" w14:textId="797DE7B8" w:rsidR="00E77132" w:rsidRDefault="00322A00">
          <w:pPr>
            <w:pStyle w:val="TOC2"/>
            <w:tabs>
              <w:tab w:val="right" w:leader="dot" w:pos="9350"/>
            </w:tabs>
            <w:rPr>
              <w:rFonts w:eastAsiaTheme="minorEastAsia"/>
              <w:noProof/>
            </w:rPr>
          </w:pPr>
          <w:hyperlink w:anchor="_Toc71725902" w:history="1">
            <w:r w:rsidR="00E77132" w:rsidRPr="001D4477">
              <w:rPr>
                <w:rStyle w:val="Hyperlink"/>
                <w:noProof/>
                <w:lang w:eastAsia="ja-JP"/>
              </w:rPr>
              <w:t>The Current Situation with the Somali Health Sector</w:t>
            </w:r>
            <w:r w:rsidR="00E77132">
              <w:rPr>
                <w:noProof/>
                <w:webHidden/>
              </w:rPr>
              <w:tab/>
            </w:r>
            <w:r w:rsidR="00E77132">
              <w:rPr>
                <w:noProof/>
                <w:webHidden/>
              </w:rPr>
              <w:fldChar w:fldCharType="begin"/>
            </w:r>
            <w:r w:rsidR="00E77132">
              <w:rPr>
                <w:noProof/>
                <w:webHidden/>
              </w:rPr>
              <w:instrText xml:space="preserve"> PAGEREF _Toc71725902 \h </w:instrText>
            </w:r>
            <w:r w:rsidR="00E77132">
              <w:rPr>
                <w:noProof/>
                <w:webHidden/>
              </w:rPr>
            </w:r>
            <w:r w:rsidR="00E77132">
              <w:rPr>
                <w:noProof/>
                <w:webHidden/>
              </w:rPr>
              <w:fldChar w:fldCharType="separate"/>
            </w:r>
            <w:r w:rsidR="00E77132">
              <w:rPr>
                <w:noProof/>
                <w:webHidden/>
              </w:rPr>
              <w:t>31</w:t>
            </w:r>
            <w:r w:rsidR="00E77132">
              <w:rPr>
                <w:noProof/>
                <w:webHidden/>
              </w:rPr>
              <w:fldChar w:fldCharType="end"/>
            </w:r>
          </w:hyperlink>
        </w:p>
        <w:p w14:paraId="74449171" w14:textId="7931BB3B" w:rsidR="00E77132" w:rsidRDefault="00322A00">
          <w:pPr>
            <w:pStyle w:val="TOC2"/>
            <w:tabs>
              <w:tab w:val="right" w:leader="dot" w:pos="9350"/>
            </w:tabs>
            <w:rPr>
              <w:rFonts w:eastAsiaTheme="minorEastAsia"/>
              <w:noProof/>
            </w:rPr>
          </w:pPr>
          <w:hyperlink w:anchor="_Toc71725906" w:history="1">
            <w:r w:rsidR="00E77132" w:rsidRPr="001D4477">
              <w:rPr>
                <w:rStyle w:val="Hyperlink"/>
                <w:noProof/>
                <w:lang w:eastAsia="ja-JP"/>
              </w:rPr>
              <w:t>How Can the Somali Health Sector be Strengthened to Better Respond to Health Needs in the Next Three to Five Years?</w:t>
            </w:r>
            <w:r w:rsidR="00E77132">
              <w:rPr>
                <w:noProof/>
                <w:webHidden/>
              </w:rPr>
              <w:tab/>
            </w:r>
            <w:r w:rsidR="00E77132">
              <w:rPr>
                <w:noProof/>
                <w:webHidden/>
              </w:rPr>
              <w:fldChar w:fldCharType="begin"/>
            </w:r>
            <w:r w:rsidR="00E77132">
              <w:rPr>
                <w:noProof/>
                <w:webHidden/>
              </w:rPr>
              <w:instrText xml:space="preserve"> PAGEREF _Toc71725906 \h </w:instrText>
            </w:r>
            <w:r w:rsidR="00E77132">
              <w:rPr>
                <w:noProof/>
                <w:webHidden/>
              </w:rPr>
            </w:r>
            <w:r w:rsidR="00E77132">
              <w:rPr>
                <w:noProof/>
                <w:webHidden/>
              </w:rPr>
              <w:fldChar w:fldCharType="separate"/>
            </w:r>
            <w:r w:rsidR="00E77132">
              <w:rPr>
                <w:noProof/>
                <w:webHidden/>
              </w:rPr>
              <w:t>49</w:t>
            </w:r>
            <w:r w:rsidR="00E77132">
              <w:rPr>
                <w:noProof/>
                <w:webHidden/>
              </w:rPr>
              <w:fldChar w:fldCharType="end"/>
            </w:r>
          </w:hyperlink>
        </w:p>
        <w:p w14:paraId="7AB5A500" w14:textId="71E1795F" w:rsidR="00E77132" w:rsidRDefault="00322A00">
          <w:pPr>
            <w:pStyle w:val="TOC2"/>
            <w:tabs>
              <w:tab w:val="right" w:leader="dot" w:pos="9350"/>
            </w:tabs>
            <w:rPr>
              <w:rFonts w:eastAsiaTheme="minorEastAsia"/>
              <w:noProof/>
            </w:rPr>
          </w:pPr>
          <w:hyperlink w:anchor="_Toc71725911" w:history="1">
            <w:r w:rsidR="00E77132" w:rsidRPr="001D4477">
              <w:rPr>
                <w:rStyle w:val="Hyperlink"/>
                <w:noProof/>
                <w:lang w:eastAsia="ja-JP"/>
              </w:rPr>
              <w:t>Service Delivery: to rapidly improve health outcomes, where should service delivery initially focus?</w:t>
            </w:r>
            <w:r w:rsidR="00E77132">
              <w:rPr>
                <w:noProof/>
                <w:webHidden/>
              </w:rPr>
              <w:tab/>
            </w:r>
            <w:r w:rsidR="00E77132">
              <w:rPr>
                <w:noProof/>
                <w:webHidden/>
              </w:rPr>
              <w:fldChar w:fldCharType="begin"/>
            </w:r>
            <w:r w:rsidR="00E77132">
              <w:rPr>
                <w:noProof/>
                <w:webHidden/>
              </w:rPr>
              <w:instrText xml:space="preserve"> PAGEREF _Toc71725911 \h </w:instrText>
            </w:r>
            <w:r w:rsidR="00E77132">
              <w:rPr>
                <w:noProof/>
                <w:webHidden/>
              </w:rPr>
            </w:r>
            <w:r w:rsidR="00E77132">
              <w:rPr>
                <w:noProof/>
                <w:webHidden/>
              </w:rPr>
              <w:fldChar w:fldCharType="separate"/>
            </w:r>
            <w:r w:rsidR="00E77132">
              <w:rPr>
                <w:noProof/>
                <w:webHidden/>
              </w:rPr>
              <w:t>53</w:t>
            </w:r>
            <w:r w:rsidR="00E77132">
              <w:rPr>
                <w:noProof/>
                <w:webHidden/>
              </w:rPr>
              <w:fldChar w:fldCharType="end"/>
            </w:r>
          </w:hyperlink>
        </w:p>
        <w:p w14:paraId="2587E7FD" w14:textId="61218852" w:rsidR="00E77132" w:rsidRDefault="00322A00">
          <w:pPr>
            <w:pStyle w:val="TOC2"/>
            <w:tabs>
              <w:tab w:val="right" w:leader="dot" w:pos="9350"/>
            </w:tabs>
            <w:rPr>
              <w:rFonts w:eastAsiaTheme="minorEastAsia"/>
              <w:noProof/>
            </w:rPr>
          </w:pPr>
          <w:hyperlink w:anchor="_Toc71725912" w:history="1">
            <w:r w:rsidR="00E77132" w:rsidRPr="001D4477">
              <w:rPr>
                <w:rStyle w:val="Hyperlink"/>
                <w:noProof/>
                <w:lang w:eastAsia="ja-JP"/>
              </w:rPr>
              <w:t>Governance: what is the role of the government in the health system?</w:t>
            </w:r>
            <w:r w:rsidR="00E77132">
              <w:rPr>
                <w:noProof/>
                <w:webHidden/>
              </w:rPr>
              <w:tab/>
            </w:r>
            <w:r w:rsidR="00E77132">
              <w:rPr>
                <w:noProof/>
                <w:webHidden/>
              </w:rPr>
              <w:fldChar w:fldCharType="begin"/>
            </w:r>
            <w:r w:rsidR="00E77132">
              <w:rPr>
                <w:noProof/>
                <w:webHidden/>
              </w:rPr>
              <w:instrText xml:space="preserve"> PAGEREF _Toc71725912 \h </w:instrText>
            </w:r>
            <w:r w:rsidR="00E77132">
              <w:rPr>
                <w:noProof/>
                <w:webHidden/>
              </w:rPr>
            </w:r>
            <w:r w:rsidR="00E77132">
              <w:rPr>
                <w:noProof/>
                <w:webHidden/>
              </w:rPr>
              <w:fldChar w:fldCharType="separate"/>
            </w:r>
            <w:r w:rsidR="00E77132">
              <w:rPr>
                <w:noProof/>
                <w:webHidden/>
              </w:rPr>
              <w:t>54</w:t>
            </w:r>
            <w:r w:rsidR="00E77132">
              <w:rPr>
                <w:noProof/>
                <w:webHidden/>
              </w:rPr>
              <w:fldChar w:fldCharType="end"/>
            </w:r>
          </w:hyperlink>
        </w:p>
        <w:p w14:paraId="69DB9978" w14:textId="1A09497B" w:rsidR="00E77132" w:rsidRDefault="00322A00">
          <w:pPr>
            <w:pStyle w:val="TOC2"/>
            <w:tabs>
              <w:tab w:val="right" w:leader="dot" w:pos="9350"/>
            </w:tabs>
            <w:rPr>
              <w:rFonts w:eastAsiaTheme="minorEastAsia"/>
              <w:noProof/>
            </w:rPr>
          </w:pPr>
          <w:hyperlink w:anchor="_Toc71725913" w:history="1">
            <w:r w:rsidR="00E77132" w:rsidRPr="001D4477">
              <w:rPr>
                <w:rStyle w:val="Hyperlink"/>
                <w:noProof/>
                <w:lang w:eastAsia="ja-JP"/>
              </w:rPr>
              <w:t>Conclusion</w:t>
            </w:r>
            <w:r w:rsidR="00E77132">
              <w:rPr>
                <w:noProof/>
                <w:webHidden/>
              </w:rPr>
              <w:tab/>
            </w:r>
            <w:r w:rsidR="00E77132">
              <w:rPr>
                <w:noProof/>
                <w:webHidden/>
              </w:rPr>
              <w:fldChar w:fldCharType="begin"/>
            </w:r>
            <w:r w:rsidR="00E77132">
              <w:rPr>
                <w:noProof/>
                <w:webHidden/>
              </w:rPr>
              <w:instrText xml:space="preserve"> PAGEREF _Toc71725913 \h </w:instrText>
            </w:r>
            <w:r w:rsidR="00E77132">
              <w:rPr>
                <w:noProof/>
                <w:webHidden/>
              </w:rPr>
            </w:r>
            <w:r w:rsidR="00E77132">
              <w:rPr>
                <w:noProof/>
                <w:webHidden/>
              </w:rPr>
              <w:fldChar w:fldCharType="separate"/>
            </w:r>
            <w:r w:rsidR="00E77132">
              <w:rPr>
                <w:noProof/>
                <w:webHidden/>
              </w:rPr>
              <w:t>56</w:t>
            </w:r>
            <w:r w:rsidR="00E77132">
              <w:rPr>
                <w:noProof/>
                <w:webHidden/>
              </w:rPr>
              <w:fldChar w:fldCharType="end"/>
            </w:r>
          </w:hyperlink>
        </w:p>
        <w:p w14:paraId="652AC0D9" w14:textId="289B7227" w:rsidR="009F11F9" w:rsidRDefault="009F11F9">
          <w:r>
            <w:rPr>
              <w:b/>
              <w:bCs/>
              <w:noProof/>
            </w:rPr>
            <w:fldChar w:fldCharType="end"/>
          </w:r>
        </w:p>
      </w:sdtContent>
    </w:sdt>
    <w:p w14:paraId="7597D14C" w14:textId="0B5E9D6D" w:rsidR="00954115" w:rsidRDefault="0095411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513DCDB" w14:textId="598D71A4" w:rsidR="00954115" w:rsidRPr="00954115" w:rsidRDefault="00954115">
      <w:pPr>
        <w:pStyle w:val="TableofFigures"/>
        <w:tabs>
          <w:tab w:val="right" w:leader="dot" w:pos="9350"/>
        </w:tabs>
        <w:rPr>
          <w:rFonts w:asciiTheme="majorHAnsi" w:eastAsiaTheme="majorEastAsia" w:hAnsiTheme="majorHAnsi" w:cstheme="majorBidi"/>
          <w:color w:val="2F5496" w:themeColor="accent1" w:themeShade="BF"/>
          <w:sz w:val="32"/>
          <w:szCs w:val="32"/>
        </w:rPr>
      </w:pPr>
      <w:r w:rsidRPr="00954115">
        <w:rPr>
          <w:rFonts w:asciiTheme="majorHAnsi" w:eastAsiaTheme="majorEastAsia" w:hAnsiTheme="majorHAnsi" w:cstheme="majorBidi"/>
          <w:color w:val="2F5496" w:themeColor="accent1" w:themeShade="BF"/>
          <w:sz w:val="32"/>
          <w:szCs w:val="32"/>
        </w:rPr>
        <w:lastRenderedPageBreak/>
        <w:t>Figures</w:t>
      </w:r>
    </w:p>
    <w:p w14:paraId="7A84ED38" w14:textId="1F83B757" w:rsidR="00E77132" w:rsidRPr="00E77132" w:rsidRDefault="00954115">
      <w:pPr>
        <w:pStyle w:val="TableofFigures"/>
        <w:tabs>
          <w:tab w:val="right" w:leader="dot" w:pos="9350"/>
        </w:tabs>
        <w:rPr>
          <w:rFonts w:eastAsiaTheme="minorEastAsia"/>
          <w:noProof/>
        </w:rPr>
      </w:pPr>
      <w:r w:rsidRPr="00E77132">
        <w:rPr>
          <w:rFonts w:asciiTheme="majorHAnsi" w:eastAsiaTheme="majorEastAsia" w:hAnsiTheme="majorHAnsi" w:cstheme="majorBidi"/>
          <w:color w:val="2F5496" w:themeColor="accent1" w:themeShade="BF"/>
          <w:sz w:val="32"/>
          <w:szCs w:val="32"/>
        </w:rPr>
        <w:fldChar w:fldCharType="begin"/>
      </w:r>
      <w:r w:rsidRPr="00E77132">
        <w:rPr>
          <w:rFonts w:asciiTheme="majorHAnsi" w:eastAsiaTheme="majorEastAsia" w:hAnsiTheme="majorHAnsi" w:cstheme="majorBidi"/>
          <w:color w:val="2F5496" w:themeColor="accent1" w:themeShade="BF"/>
          <w:sz w:val="32"/>
          <w:szCs w:val="32"/>
        </w:rPr>
        <w:instrText xml:space="preserve"> TOC \h \z \c "Figure" </w:instrText>
      </w:r>
      <w:r w:rsidRPr="00E77132">
        <w:rPr>
          <w:rFonts w:asciiTheme="majorHAnsi" w:eastAsiaTheme="majorEastAsia" w:hAnsiTheme="majorHAnsi" w:cstheme="majorBidi"/>
          <w:color w:val="2F5496" w:themeColor="accent1" w:themeShade="BF"/>
          <w:sz w:val="32"/>
          <w:szCs w:val="32"/>
        </w:rPr>
        <w:fldChar w:fldCharType="separate"/>
      </w:r>
      <w:hyperlink w:anchor="_Toc71725919" w:history="1">
        <w:r w:rsidR="00E77132" w:rsidRPr="00E77132">
          <w:rPr>
            <w:rStyle w:val="Hyperlink"/>
            <w:noProof/>
          </w:rPr>
          <w:t>Figure 1: New cases and cumulative deaths from COVID-19</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_Toc71725919 \h </w:instrText>
        </w:r>
        <w:r w:rsidR="00E77132" w:rsidRPr="00E77132">
          <w:rPr>
            <w:noProof/>
            <w:webHidden/>
          </w:rPr>
        </w:r>
        <w:r w:rsidR="00E77132" w:rsidRPr="00E77132">
          <w:rPr>
            <w:noProof/>
            <w:webHidden/>
          </w:rPr>
          <w:fldChar w:fldCharType="separate"/>
        </w:r>
        <w:r w:rsidR="00E77132" w:rsidRPr="00E77132">
          <w:rPr>
            <w:noProof/>
            <w:webHidden/>
          </w:rPr>
          <w:t>2</w:t>
        </w:r>
        <w:r w:rsidR="00E77132" w:rsidRPr="00E77132">
          <w:rPr>
            <w:noProof/>
            <w:webHidden/>
          </w:rPr>
          <w:fldChar w:fldCharType="end"/>
        </w:r>
      </w:hyperlink>
    </w:p>
    <w:p w14:paraId="588D7D2C" w14:textId="2D37B8B3" w:rsidR="00E77132" w:rsidRPr="00E77132" w:rsidRDefault="00322A00">
      <w:pPr>
        <w:pStyle w:val="TableofFigures"/>
        <w:tabs>
          <w:tab w:val="right" w:leader="dot" w:pos="9350"/>
        </w:tabs>
        <w:rPr>
          <w:rFonts w:eastAsiaTheme="minorEastAsia"/>
          <w:noProof/>
        </w:rPr>
      </w:pPr>
      <w:hyperlink w:anchor="_Toc71725920" w:history="1">
        <w:r w:rsidR="00E77132" w:rsidRPr="00E77132">
          <w:rPr>
            <w:rStyle w:val="Hyperlink"/>
            <w:noProof/>
          </w:rPr>
          <w:t>Figure 2: Somalia’s fragile economic recovery amid recurrent shocks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_Toc71725920 \h </w:instrText>
        </w:r>
        <w:r w:rsidR="00E77132" w:rsidRPr="00E77132">
          <w:rPr>
            <w:noProof/>
            <w:webHidden/>
          </w:rPr>
        </w:r>
        <w:r w:rsidR="00E77132" w:rsidRPr="00E77132">
          <w:rPr>
            <w:noProof/>
            <w:webHidden/>
          </w:rPr>
          <w:fldChar w:fldCharType="separate"/>
        </w:r>
        <w:r w:rsidR="00E77132" w:rsidRPr="00E77132">
          <w:rPr>
            <w:noProof/>
            <w:webHidden/>
          </w:rPr>
          <w:t>3</w:t>
        </w:r>
        <w:r w:rsidR="00E77132" w:rsidRPr="00E77132">
          <w:rPr>
            <w:noProof/>
            <w:webHidden/>
          </w:rPr>
          <w:fldChar w:fldCharType="end"/>
        </w:r>
      </w:hyperlink>
    </w:p>
    <w:p w14:paraId="4707D654" w14:textId="3C9ECF54" w:rsidR="00E77132" w:rsidRPr="00E77132" w:rsidRDefault="00322A00">
      <w:pPr>
        <w:pStyle w:val="TableofFigures"/>
        <w:tabs>
          <w:tab w:val="right" w:leader="dot" w:pos="9350"/>
        </w:tabs>
        <w:rPr>
          <w:rFonts w:eastAsiaTheme="minorEastAsia"/>
          <w:noProof/>
        </w:rPr>
      </w:pPr>
      <w:hyperlink w:anchor="_Toc71725921" w:history="1">
        <w:r w:rsidR="00E77132" w:rsidRPr="00E77132">
          <w:rPr>
            <w:rStyle w:val="Hyperlink"/>
            <w:noProof/>
          </w:rPr>
          <w:t>Figure 3</w:t>
        </w:r>
        <w:r w:rsidR="00E77132" w:rsidRPr="00E77132">
          <w:rPr>
            <w:rStyle w:val="Hyperlink"/>
            <w:rFonts w:cstheme="minorHAnsi"/>
            <w:noProof/>
          </w:rPr>
          <w:t>: Agricultural production remained subdued in 2020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_Toc71725921 \h </w:instrText>
        </w:r>
        <w:r w:rsidR="00E77132" w:rsidRPr="00E77132">
          <w:rPr>
            <w:noProof/>
            <w:webHidden/>
          </w:rPr>
        </w:r>
        <w:r w:rsidR="00E77132" w:rsidRPr="00E77132">
          <w:rPr>
            <w:noProof/>
            <w:webHidden/>
          </w:rPr>
          <w:fldChar w:fldCharType="separate"/>
        </w:r>
        <w:r w:rsidR="00E77132" w:rsidRPr="00E77132">
          <w:rPr>
            <w:noProof/>
            <w:webHidden/>
          </w:rPr>
          <w:t>5</w:t>
        </w:r>
        <w:r w:rsidR="00E77132" w:rsidRPr="00E77132">
          <w:rPr>
            <w:noProof/>
            <w:webHidden/>
          </w:rPr>
          <w:fldChar w:fldCharType="end"/>
        </w:r>
      </w:hyperlink>
    </w:p>
    <w:p w14:paraId="12B62A16" w14:textId="4405DE11" w:rsidR="00E77132" w:rsidRPr="00E77132" w:rsidRDefault="00322A00">
      <w:pPr>
        <w:pStyle w:val="TableofFigures"/>
        <w:tabs>
          <w:tab w:val="right" w:leader="dot" w:pos="9350"/>
        </w:tabs>
        <w:rPr>
          <w:rFonts w:eastAsiaTheme="minorEastAsia"/>
          <w:noProof/>
        </w:rPr>
      </w:pPr>
      <w:hyperlink w:anchor="_Toc71725922" w:history="1">
        <w:r w:rsidR="00E77132" w:rsidRPr="00E77132">
          <w:rPr>
            <w:rStyle w:val="Hyperlink"/>
            <w:noProof/>
          </w:rPr>
          <w:t>Figure 4: Shocks to sales have been widespread, but eased toward the end of 2020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_Toc71725922 \h </w:instrText>
        </w:r>
        <w:r w:rsidR="00E77132" w:rsidRPr="00E77132">
          <w:rPr>
            <w:noProof/>
            <w:webHidden/>
          </w:rPr>
        </w:r>
        <w:r w:rsidR="00E77132" w:rsidRPr="00E77132">
          <w:rPr>
            <w:noProof/>
            <w:webHidden/>
          </w:rPr>
          <w:fldChar w:fldCharType="separate"/>
        </w:r>
        <w:r w:rsidR="00E77132" w:rsidRPr="00E77132">
          <w:rPr>
            <w:noProof/>
            <w:webHidden/>
          </w:rPr>
          <w:t>6</w:t>
        </w:r>
        <w:r w:rsidR="00E77132" w:rsidRPr="00E77132">
          <w:rPr>
            <w:noProof/>
            <w:webHidden/>
          </w:rPr>
          <w:fldChar w:fldCharType="end"/>
        </w:r>
      </w:hyperlink>
    </w:p>
    <w:p w14:paraId="71795219" w14:textId="5CFE89C0" w:rsidR="00E77132" w:rsidRPr="00E77132" w:rsidRDefault="00322A00">
      <w:pPr>
        <w:pStyle w:val="TableofFigures"/>
        <w:tabs>
          <w:tab w:val="right" w:leader="dot" w:pos="9350"/>
        </w:tabs>
        <w:rPr>
          <w:rFonts w:eastAsiaTheme="minorEastAsia"/>
          <w:noProof/>
        </w:rPr>
      </w:pPr>
      <w:hyperlink w:anchor="_Toc71725923" w:history="1">
        <w:r w:rsidR="00E77132" w:rsidRPr="00E77132">
          <w:rPr>
            <w:rStyle w:val="Hyperlink"/>
            <w:noProof/>
          </w:rPr>
          <w:t>Figure 5: Effects of COVID19 on Firms Operations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_Toc71725923 \h </w:instrText>
        </w:r>
        <w:r w:rsidR="00E77132" w:rsidRPr="00E77132">
          <w:rPr>
            <w:noProof/>
            <w:webHidden/>
          </w:rPr>
        </w:r>
        <w:r w:rsidR="00E77132" w:rsidRPr="00E77132">
          <w:rPr>
            <w:noProof/>
            <w:webHidden/>
          </w:rPr>
          <w:fldChar w:fldCharType="separate"/>
        </w:r>
        <w:r w:rsidR="00E77132" w:rsidRPr="00E77132">
          <w:rPr>
            <w:noProof/>
            <w:webHidden/>
          </w:rPr>
          <w:t>7</w:t>
        </w:r>
        <w:r w:rsidR="00E77132" w:rsidRPr="00E77132">
          <w:rPr>
            <w:noProof/>
            <w:webHidden/>
          </w:rPr>
          <w:fldChar w:fldCharType="end"/>
        </w:r>
      </w:hyperlink>
    </w:p>
    <w:p w14:paraId="564F8D8E" w14:textId="74E390EE" w:rsidR="00E77132" w:rsidRPr="00E77132" w:rsidRDefault="00322A00">
      <w:pPr>
        <w:pStyle w:val="TableofFigures"/>
        <w:tabs>
          <w:tab w:val="right" w:leader="dot" w:pos="9350"/>
        </w:tabs>
        <w:rPr>
          <w:rFonts w:eastAsiaTheme="minorEastAsia"/>
          <w:noProof/>
        </w:rPr>
      </w:pPr>
      <w:hyperlink w:anchor="_Toc71725924" w:history="1">
        <w:r w:rsidR="00E77132" w:rsidRPr="00E77132">
          <w:rPr>
            <w:rStyle w:val="Hyperlink"/>
            <w:noProof/>
          </w:rPr>
          <w:t>Figure 6: COVID-19 disruptions and restrictions did not greatly interrupt credit to the private sector.</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_Toc71725924 \h </w:instrText>
        </w:r>
        <w:r w:rsidR="00E77132" w:rsidRPr="00E77132">
          <w:rPr>
            <w:noProof/>
            <w:webHidden/>
          </w:rPr>
        </w:r>
        <w:r w:rsidR="00E77132" w:rsidRPr="00E77132">
          <w:rPr>
            <w:noProof/>
            <w:webHidden/>
          </w:rPr>
          <w:fldChar w:fldCharType="separate"/>
        </w:r>
        <w:r w:rsidR="00E77132" w:rsidRPr="00E77132">
          <w:rPr>
            <w:noProof/>
            <w:webHidden/>
          </w:rPr>
          <w:t>8</w:t>
        </w:r>
        <w:r w:rsidR="00E77132" w:rsidRPr="00E77132">
          <w:rPr>
            <w:noProof/>
            <w:webHidden/>
          </w:rPr>
          <w:fldChar w:fldCharType="end"/>
        </w:r>
      </w:hyperlink>
    </w:p>
    <w:p w14:paraId="44F65FD2" w14:textId="7BFB1360" w:rsidR="00E77132" w:rsidRPr="00E77132" w:rsidRDefault="00322A00">
      <w:pPr>
        <w:pStyle w:val="TableofFigures"/>
        <w:tabs>
          <w:tab w:val="right" w:leader="dot" w:pos="9350"/>
        </w:tabs>
        <w:rPr>
          <w:rFonts w:eastAsiaTheme="minorEastAsia"/>
          <w:noProof/>
        </w:rPr>
      </w:pPr>
      <w:hyperlink w:anchor="_Toc71725925" w:history="1">
        <w:r w:rsidR="00E77132" w:rsidRPr="00E77132">
          <w:rPr>
            <w:rStyle w:val="Hyperlink"/>
            <w:noProof/>
          </w:rPr>
          <w:t>Figure 7: Inflation has remained low driven by lower food prices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_Toc71725925 \h </w:instrText>
        </w:r>
        <w:r w:rsidR="00E77132" w:rsidRPr="00E77132">
          <w:rPr>
            <w:noProof/>
            <w:webHidden/>
          </w:rPr>
        </w:r>
        <w:r w:rsidR="00E77132" w:rsidRPr="00E77132">
          <w:rPr>
            <w:noProof/>
            <w:webHidden/>
          </w:rPr>
          <w:fldChar w:fldCharType="separate"/>
        </w:r>
        <w:r w:rsidR="00E77132" w:rsidRPr="00E77132">
          <w:rPr>
            <w:noProof/>
            <w:webHidden/>
          </w:rPr>
          <w:t>9</w:t>
        </w:r>
        <w:r w:rsidR="00E77132" w:rsidRPr="00E77132">
          <w:rPr>
            <w:noProof/>
            <w:webHidden/>
          </w:rPr>
          <w:fldChar w:fldCharType="end"/>
        </w:r>
      </w:hyperlink>
    </w:p>
    <w:p w14:paraId="3AC6CFF5" w14:textId="7E49DC6F" w:rsidR="00E77132" w:rsidRPr="00E77132" w:rsidRDefault="00322A00">
      <w:pPr>
        <w:pStyle w:val="TableofFigures"/>
        <w:tabs>
          <w:tab w:val="right" w:leader="dot" w:pos="9350"/>
        </w:tabs>
        <w:rPr>
          <w:rFonts w:eastAsiaTheme="minorEastAsia"/>
          <w:noProof/>
        </w:rPr>
      </w:pPr>
      <w:hyperlink w:anchor="_Toc71725926" w:history="1">
        <w:r w:rsidR="00E77132" w:rsidRPr="00E77132">
          <w:rPr>
            <w:rStyle w:val="Hyperlink"/>
            <w:noProof/>
          </w:rPr>
          <w:t>Figure 8: Higher oil prices and medical costs are driving increases in prices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_Toc71725926 \h </w:instrText>
        </w:r>
        <w:r w:rsidR="00E77132" w:rsidRPr="00E77132">
          <w:rPr>
            <w:noProof/>
            <w:webHidden/>
          </w:rPr>
        </w:r>
        <w:r w:rsidR="00E77132" w:rsidRPr="00E77132">
          <w:rPr>
            <w:noProof/>
            <w:webHidden/>
          </w:rPr>
          <w:fldChar w:fldCharType="separate"/>
        </w:r>
        <w:r w:rsidR="00E77132" w:rsidRPr="00E77132">
          <w:rPr>
            <w:noProof/>
            <w:webHidden/>
          </w:rPr>
          <w:t>9</w:t>
        </w:r>
        <w:r w:rsidR="00E77132" w:rsidRPr="00E77132">
          <w:rPr>
            <w:noProof/>
            <w:webHidden/>
          </w:rPr>
          <w:fldChar w:fldCharType="end"/>
        </w:r>
      </w:hyperlink>
    </w:p>
    <w:p w14:paraId="7824CD95" w14:textId="4C66E31F" w:rsidR="00E77132" w:rsidRPr="00E77132" w:rsidRDefault="00322A00">
      <w:pPr>
        <w:pStyle w:val="TableofFigures"/>
        <w:tabs>
          <w:tab w:val="right" w:leader="dot" w:pos="9350"/>
        </w:tabs>
        <w:rPr>
          <w:rFonts w:eastAsiaTheme="minorEastAsia"/>
          <w:noProof/>
        </w:rPr>
      </w:pPr>
      <w:hyperlink w:anchor="_Toc71725927" w:history="1">
        <w:r w:rsidR="00E77132" w:rsidRPr="00E77132">
          <w:rPr>
            <w:rStyle w:val="Hyperlink"/>
            <w:noProof/>
          </w:rPr>
          <w:t>Figure 9a: Share of Somalis reporting change in frequency and amounts of remittances received</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_Toc71725927 \h </w:instrText>
        </w:r>
        <w:r w:rsidR="00E77132" w:rsidRPr="00E77132">
          <w:rPr>
            <w:noProof/>
            <w:webHidden/>
          </w:rPr>
        </w:r>
        <w:r w:rsidR="00E77132" w:rsidRPr="00E77132">
          <w:rPr>
            <w:noProof/>
            <w:webHidden/>
          </w:rPr>
          <w:fldChar w:fldCharType="separate"/>
        </w:r>
        <w:r w:rsidR="00E77132" w:rsidRPr="00E77132">
          <w:rPr>
            <w:noProof/>
            <w:webHidden/>
          </w:rPr>
          <w:t>11</w:t>
        </w:r>
        <w:r w:rsidR="00E77132" w:rsidRPr="00E77132">
          <w:rPr>
            <w:noProof/>
            <w:webHidden/>
          </w:rPr>
          <w:fldChar w:fldCharType="end"/>
        </w:r>
      </w:hyperlink>
    </w:p>
    <w:p w14:paraId="36EFB654" w14:textId="3F532914" w:rsidR="00E77132" w:rsidRPr="00E77132" w:rsidRDefault="00322A00">
      <w:pPr>
        <w:pStyle w:val="TableofFigures"/>
        <w:tabs>
          <w:tab w:val="right" w:leader="dot" w:pos="9350"/>
        </w:tabs>
        <w:rPr>
          <w:rFonts w:eastAsiaTheme="minorEastAsia"/>
          <w:noProof/>
        </w:rPr>
      </w:pPr>
      <w:hyperlink w:anchor="_Toc71725928" w:history="1">
        <w:r w:rsidR="00E77132" w:rsidRPr="00E77132">
          <w:rPr>
            <w:rStyle w:val="Hyperlink"/>
            <w:noProof/>
          </w:rPr>
          <w:t>Figure 10: The banking system domestic assets and liabilities have grown significantly</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_Toc71725928 \h </w:instrText>
        </w:r>
        <w:r w:rsidR="00E77132" w:rsidRPr="00E77132">
          <w:rPr>
            <w:noProof/>
            <w:webHidden/>
          </w:rPr>
        </w:r>
        <w:r w:rsidR="00E77132" w:rsidRPr="00E77132">
          <w:rPr>
            <w:noProof/>
            <w:webHidden/>
          </w:rPr>
          <w:fldChar w:fldCharType="separate"/>
        </w:r>
        <w:r w:rsidR="00E77132" w:rsidRPr="00E77132">
          <w:rPr>
            <w:noProof/>
            <w:webHidden/>
          </w:rPr>
          <w:t>13</w:t>
        </w:r>
        <w:r w:rsidR="00E77132" w:rsidRPr="00E77132">
          <w:rPr>
            <w:noProof/>
            <w:webHidden/>
          </w:rPr>
          <w:fldChar w:fldCharType="end"/>
        </w:r>
      </w:hyperlink>
    </w:p>
    <w:p w14:paraId="25328F41" w14:textId="2DDADDDB" w:rsidR="00E77132" w:rsidRPr="00E77132" w:rsidRDefault="00322A00">
      <w:pPr>
        <w:pStyle w:val="TableofFigures"/>
        <w:tabs>
          <w:tab w:val="right" w:leader="dot" w:pos="9350"/>
        </w:tabs>
        <w:rPr>
          <w:rFonts w:eastAsiaTheme="minorEastAsia"/>
          <w:noProof/>
        </w:rPr>
      </w:pPr>
      <w:hyperlink w:anchor="_Toc71725929" w:history="1">
        <w:r w:rsidR="00E77132" w:rsidRPr="00E77132">
          <w:rPr>
            <w:rStyle w:val="Hyperlink"/>
            <w:noProof/>
          </w:rPr>
          <w:t>Figure 11: The changing composition of banking system assets, 2018–20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_Toc71725929 \h </w:instrText>
        </w:r>
        <w:r w:rsidR="00E77132" w:rsidRPr="00E77132">
          <w:rPr>
            <w:noProof/>
            <w:webHidden/>
          </w:rPr>
        </w:r>
        <w:r w:rsidR="00E77132" w:rsidRPr="00E77132">
          <w:rPr>
            <w:noProof/>
            <w:webHidden/>
          </w:rPr>
          <w:fldChar w:fldCharType="separate"/>
        </w:r>
        <w:r w:rsidR="00E77132" w:rsidRPr="00E77132">
          <w:rPr>
            <w:noProof/>
            <w:webHidden/>
          </w:rPr>
          <w:t>14</w:t>
        </w:r>
        <w:r w:rsidR="00E77132" w:rsidRPr="00E77132">
          <w:rPr>
            <w:noProof/>
            <w:webHidden/>
          </w:rPr>
          <w:fldChar w:fldCharType="end"/>
        </w:r>
      </w:hyperlink>
    </w:p>
    <w:p w14:paraId="1FAE892E" w14:textId="0D73F76A" w:rsidR="00E77132" w:rsidRPr="00E77132" w:rsidRDefault="00322A00">
      <w:pPr>
        <w:pStyle w:val="TableofFigures"/>
        <w:tabs>
          <w:tab w:val="right" w:leader="dot" w:pos="9350"/>
        </w:tabs>
        <w:rPr>
          <w:rFonts w:eastAsiaTheme="minorEastAsia"/>
          <w:noProof/>
        </w:rPr>
      </w:pPr>
      <w:hyperlink w:anchor="_Toc71725930" w:history="1">
        <w:r w:rsidR="00E77132" w:rsidRPr="00E77132">
          <w:rPr>
            <w:rStyle w:val="Hyperlink"/>
            <w:noProof/>
          </w:rPr>
          <w:t>Figure 12: Customers deposits grew sharply in 2020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_Toc71725930 \h </w:instrText>
        </w:r>
        <w:r w:rsidR="00E77132" w:rsidRPr="00E77132">
          <w:rPr>
            <w:noProof/>
            <w:webHidden/>
          </w:rPr>
        </w:r>
        <w:r w:rsidR="00E77132" w:rsidRPr="00E77132">
          <w:rPr>
            <w:noProof/>
            <w:webHidden/>
          </w:rPr>
          <w:fldChar w:fldCharType="separate"/>
        </w:r>
        <w:r w:rsidR="00E77132" w:rsidRPr="00E77132">
          <w:rPr>
            <w:noProof/>
            <w:webHidden/>
          </w:rPr>
          <w:t>15</w:t>
        </w:r>
        <w:r w:rsidR="00E77132" w:rsidRPr="00E77132">
          <w:rPr>
            <w:noProof/>
            <w:webHidden/>
          </w:rPr>
          <w:fldChar w:fldCharType="end"/>
        </w:r>
      </w:hyperlink>
    </w:p>
    <w:p w14:paraId="05D17804" w14:textId="598D8861" w:rsidR="00E77132" w:rsidRPr="00E77132" w:rsidRDefault="00322A00">
      <w:pPr>
        <w:pStyle w:val="TableofFigures"/>
        <w:tabs>
          <w:tab w:val="right" w:leader="dot" w:pos="9350"/>
        </w:tabs>
        <w:rPr>
          <w:rFonts w:eastAsiaTheme="minorEastAsia"/>
          <w:noProof/>
        </w:rPr>
      </w:pPr>
      <w:hyperlink w:anchor="_Toc71725931" w:history="1">
        <w:r w:rsidR="00E77132" w:rsidRPr="00E77132">
          <w:rPr>
            <w:rStyle w:val="Hyperlink"/>
            <w:noProof/>
          </w:rPr>
          <w:t>Figure 13: The external position deteriorated in 2020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_Toc71725931 \h </w:instrText>
        </w:r>
        <w:r w:rsidR="00E77132" w:rsidRPr="00E77132">
          <w:rPr>
            <w:noProof/>
            <w:webHidden/>
          </w:rPr>
        </w:r>
        <w:r w:rsidR="00E77132" w:rsidRPr="00E77132">
          <w:rPr>
            <w:noProof/>
            <w:webHidden/>
          </w:rPr>
          <w:fldChar w:fldCharType="separate"/>
        </w:r>
        <w:r w:rsidR="00E77132" w:rsidRPr="00E77132">
          <w:rPr>
            <w:noProof/>
            <w:webHidden/>
          </w:rPr>
          <w:t>16</w:t>
        </w:r>
        <w:r w:rsidR="00E77132" w:rsidRPr="00E77132">
          <w:rPr>
            <w:noProof/>
            <w:webHidden/>
          </w:rPr>
          <w:fldChar w:fldCharType="end"/>
        </w:r>
      </w:hyperlink>
    </w:p>
    <w:p w14:paraId="4FF5DDCF" w14:textId="4386585D" w:rsidR="00E77132" w:rsidRPr="00E77132" w:rsidRDefault="00322A00">
      <w:pPr>
        <w:pStyle w:val="TableofFigures"/>
        <w:tabs>
          <w:tab w:val="right" w:leader="dot" w:pos="9350"/>
        </w:tabs>
        <w:rPr>
          <w:rFonts w:eastAsiaTheme="minorEastAsia"/>
          <w:noProof/>
        </w:rPr>
      </w:pPr>
      <w:hyperlink w:anchor="_Toc71725932" w:history="1">
        <w:r w:rsidR="00E77132" w:rsidRPr="00E77132">
          <w:rPr>
            <w:rStyle w:val="Hyperlink"/>
            <w:noProof/>
          </w:rPr>
          <w:t>Figure 14</w:t>
        </w:r>
        <w:r w:rsidR="00E77132" w:rsidRPr="00E77132">
          <w:rPr>
            <w:rStyle w:val="Hyperlink"/>
            <w:rFonts w:cstheme="minorHAnsi"/>
            <w:noProof/>
          </w:rPr>
          <w:t>: Composition of exports and imports (share of the total)</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_Toc71725932 \h </w:instrText>
        </w:r>
        <w:r w:rsidR="00E77132" w:rsidRPr="00E77132">
          <w:rPr>
            <w:noProof/>
            <w:webHidden/>
          </w:rPr>
        </w:r>
        <w:r w:rsidR="00E77132" w:rsidRPr="00E77132">
          <w:rPr>
            <w:noProof/>
            <w:webHidden/>
          </w:rPr>
          <w:fldChar w:fldCharType="separate"/>
        </w:r>
        <w:r w:rsidR="00E77132" w:rsidRPr="00E77132">
          <w:rPr>
            <w:noProof/>
            <w:webHidden/>
          </w:rPr>
          <w:t>16</w:t>
        </w:r>
        <w:r w:rsidR="00E77132" w:rsidRPr="00E77132">
          <w:rPr>
            <w:noProof/>
            <w:webHidden/>
          </w:rPr>
          <w:fldChar w:fldCharType="end"/>
        </w:r>
      </w:hyperlink>
    </w:p>
    <w:p w14:paraId="264B3C6C" w14:textId="5479748E" w:rsidR="00E77132" w:rsidRPr="00E77132" w:rsidRDefault="00322A00">
      <w:pPr>
        <w:pStyle w:val="TableofFigures"/>
        <w:tabs>
          <w:tab w:val="right" w:leader="dot" w:pos="9350"/>
        </w:tabs>
        <w:rPr>
          <w:rFonts w:eastAsiaTheme="minorEastAsia"/>
          <w:noProof/>
        </w:rPr>
      </w:pPr>
      <w:hyperlink w:anchor="_Toc71725933" w:history="1">
        <w:r w:rsidR="00E77132" w:rsidRPr="00E77132">
          <w:rPr>
            <w:rStyle w:val="Hyperlink"/>
            <w:noProof/>
          </w:rPr>
          <w:t>Figure 15: COVID-19 containment measures dampened revenue collection, but grants eased the pressure</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_Toc71725933 \h </w:instrText>
        </w:r>
        <w:r w:rsidR="00E77132" w:rsidRPr="00E77132">
          <w:rPr>
            <w:noProof/>
            <w:webHidden/>
          </w:rPr>
        </w:r>
        <w:r w:rsidR="00E77132" w:rsidRPr="00E77132">
          <w:rPr>
            <w:noProof/>
            <w:webHidden/>
          </w:rPr>
          <w:fldChar w:fldCharType="separate"/>
        </w:r>
        <w:r w:rsidR="00E77132" w:rsidRPr="00E77132">
          <w:rPr>
            <w:noProof/>
            <w:webHidden/>
          </w:rPr>
          <w:t>18</w:t>
        </w:r>
        <w:r w:rsidR="00E77132" w:rsidRPr="00E77132">
          <w:rPr>
            <w:noProof/>
            <w:webHidden/>
          </w:rPr>
          <w:fldChar w:fldCharType="end"/>
        </w:r>
      </w:hyperlink>
    </w:p>
    <w:p w14:paraId="2F59B621" w14:textId="43A4A7D1" w:rsidR="00E77132" w:rsidRPr="00E77132" w:rsidRDefault="00322A00">
      <w:pPr>
        <w:pStyle w:val="TableofFigures"/>
        <w:tabs>
          <w:tab w:val="right" w:leader="dot" w:pos="9350"/>
        </w:tabs>
        <w:rPr>
          <w:rFonts w:eastAsiaTheme="minorEastAsia"/>
          <w:noProof/>
        </w:rPr>
      </w:pPr>
      <w:hyperlink w:anchor="_Toc71725934" w:history="1">
        <w:r w:rsidR="00E77132" w:rsidRPr="00E77132">
          <w:rPr>
            <w:rStyle w:val="Hyperlink"/>
            <w:noProof/>
          </w:rPr>
          <w:t>Figure 16: Composition of FGS spending, 2016–20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_Toc71725934 \h </w:instrText>
        </w:r>
        <w:r w:rsidR="00E77132" w:rsidRPr="00E77132">
          <w:rPr>
            <w:noProof/>
            <w:webHidden/>
          </w:rPr>
        </w:r>
        <w:r w:rsidR="00E77132" w:rsidRPr="00E77132">
          <w:rPr>
            <w:noProof/>
            <w:webHidden/>
          </w:rPr>
          <w:fldChar w:fldCharType="separate"/>
        </w:r>
        <w:r w:rsidR="00E77132" w:rsidRPr="00E77132">
          <w:rPr>
            <w:noProof/>
            <w:webHidden/>
          </w:rPr>
          <w:t>20</w:t>
        </w:r>
        <w:r w:rsidR="00E77132" w:rsidRPr="00E77132">
          <w:rPr>
            <w:noProof/>
            <w:webHidden/>
          </w:rPr>
          <w:fldChar w:fldCharType="end"/>
        </w:r>
      </w:hyperlink>
    </w:p>
    <w:p w14:paraId="1FACE0FD" w14:textId="3D5FE6A9" w:rsidR="00E77132" w:rsidRPr="00E77132" w:rsidRDefault="00322A00">
      <w:pPr>
        <w:pStyle w:val="TableofFigures"/>
        <w:tabs>
          <w:tab w:val="right" w:leader="dot" w:pos="9350"/>
        </w:tabs>
        <w:rPr>
          <w:rFonts w:eastAsiaTheme="minorEastAsia"/>
          <w:noProof/>
        </w:rPr>
      </w:pPr>
      <w:hyperlink w:anchor="_Toc71725935" w:history="1">
        <w:r w:rsidR="00E77132" w:rsidRPr="00E77132">
          <w:rPr>
            <w:rStyle w:val="Hyperlink"/>
            <w:noProof/>
          </w:rPr>
          <w:t>Figure 17: Expenditure pressure increased across the FMSs in 2020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_Toc71725935 \h </w:instrText>
        </w:r>
        <w:r w:rsidR="00E77132" w:rsidRPr="00E77132">
          <w:rPr>
            <w:noProof/>
            <w:webHidden/>
          </w:rPr>
        </w:r>
        <w:r w:rsidR="00E77132" w:rsidRPr="00E77132">
          <w:rPr>
            <w:noProof/>
            <w:webHidden/>
          </w:rPr>
          <w:fldChar w:fldCharType="separate"/>
        </w:r>
        <w:r w:rsidR="00E77132" w:rsidRPr="00E77132">
          <w:rPr>
            <w:noProof/>
            <w:webHidden/>
          </w:rPr>
          <w:t>21</w:t>
        </w:r>
        <w:r w:rsidR="00E77132" w:rsidRPr="00E77132">
          <w:rPr>
            <w:noProof/>
            <w:webHidden/>
          </w:rPr>
          <w:fldChar w:fldCharType="end"/>
        </w:r>
      </w:hyperlink>
    </w:p>
    <w:p w14:paraId="46400AF3" w14:textId="19230E32" w:rsidR="00E77132" w:rsidRPr="00E77132" w:rsidRDefault="00322A00">
      <w:pPr>
        <w:pStyle w:val="TableofFigures"/>
        <w:tabs>
          <w:tab w:val="right" w:leader="dot" w:pos="9350"/>
        </w:tabs>
        <w:rPr>
          <w:rFonts w:eastAsiaTheme="minorEastAsia"/>
          <w:noProof/>
        </w:rPr>
      </w:pPr>
      <w:hyperlink w:anchor="_Toc71725936" w:history="1">
        <w:r w:rsidR="00E77132" w:rsidRPr="00E77132">
          <w:rPr>
            <w:rStyle w:val="Hyperlink"/>
            <w:noProof/>
          </w:rPr>
          <w:t>Figure 18: FGS domestic resources are expected to recover; expenditure priorities remain the same</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_Toc71725936 \h </w:instrText>
        </w:r>
        <w:r w:rsidR="00E77132" w:rsidRPr="00E77132">
          <w:rPr>
            <w:noProof/>
            <w:webHidden/>
          </w:rPr>
        </w:r>
        <w:r w:rsidR="00E77132" w:rsidRPr="00E77132">
          <w:rPr>
            <w:noProof/>
            <w:webHidden/>
          </w:rPr>
          <w:fldChar w:fldCharType="separate"/>
        </w:r>
        <w:r w:rsidR="00E77132" w:rsidRPr="00E77132">
          <w:rPr>
            <w:noProof/>
            <w:webHidden/>
          </w:rPr>
          <w:t>23</w:t>
        </w:r>
        <w:r w:rsidR="00E77132" w:rsidRPr="00E77132">
          <w:rPr>
            <w:noProof/>
            <w:webHidden/>
          </w:rPr>
          <w:fldChar w:fldCharType="end"/>
        </w:r>
      </w:hyperlink>
    </w:p>
    <w:p w14:paraId="21F0D93B" w14:textId="6B42F3E7" w:rsidR="00E77132" w:rsidRPr="00E77132" w:rsidRDefault="00322A00">
      <w:pPr>
        <w:pStyle w:val="TableofFigures"/>
        <w:tabs>
          <w:tab w:val="right" w:leader="dot" w:pos="9350"/>
        </w:tabs>
        <w:rPr>
          <w:rFonts w:eastAsiaTheme="minorEastAsia"/>
          <w:noProof/>
        </w:rPr>
      </w:pPr>
      <w:hyperlink w:anchor="_Toc71725937" w:history="1">
        <w:r w:rsidR="00E77132" w:rsidRPr="00E77132">
          <w:rPr>
            <w:rStyle w:val="Hyperlink"/>
            <w:noProof/>
          </w:rPr>
          <w:t>Figure 19: FGS expenditure is set to increase across all sectors in 2021</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_Toc71725937 \h </w:instrText>
        </w:r>
        <w:r w:rsidR="00E77132" w:rsidRPr="00E77132">
          <w:rPr>
            <w:noProof/>
            <w:webHidden/>
          </w:rPr>
        </w:r>
        <w:r w:rsidR="00E77132" w:rsidRPr="00E77132">
          <w:rPr>
            <w:noProof/>
            <w:webHidden/>
          </w:rPr>
          <w:fldChar w:fldCharType="separate"/>
        </w:r>
        <w:r w:rsidR="00E77132" w:rsidRPr="00E77132">
          <w:rPr>
            <w:noProof/>
            <w:webHidden/>
          </w:rPr>
          <w:t>24</w:t>
        </w:r>
        <w:r w:rsidR="00E77132" w:rsidRPr="00E77132">
          <w:rPr>
            <w:noProof/>
            <w:webHidden/>
          </w:rPr>
          <w:fldChar w:fldCharType="end"/>
        </w:r>
      </w:hyperlink>
    </w:p>
    <w:p w14:paraId="2FCA74D1" w14:textId="0A489293" w:rsidR="00E77132" w:rsidRPr="00E77132" w:rsidRDefault="00322A00">
      <w:pPr>
        <w:pStyle w:val="TableofFigures"/>
        <w:tabs>
          <w:tab w:val="right" w:leader="dot" w:pos="9350"/>
        </w:tabs>
        <w:rPr>
          <w:rFonts w:eastAsiaTheme="minorEastAsia"/>
          <w:noProof/>
        </w:rPr>
      </w:pPr>
      <w:hyperlink w:anchor="_Toc71725938" w:history="1">
        <w:r w:rsidR="00E77132" w:rsidRPr="00E77132">
          <w:rPr>
            <w:rStyle w:val="Hyperlink"/>
            <w:noProof/>
          </w:rPr>
          <w:t>Figure 20: Economic recovery will be moderate in 2021 and in the medium-term</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_Toc71725938 \h </w:instrText>
        </w:r>
        <w:r w:rsidR="00E77132" w:rsidRPr="00E77132">
          <w:rPr>
            <w:noProof/>
            <w:webHidden/>
          </w:rPr>
        </w:r>
        <w:r w:rsidR="00E77132" w:rsidRPr="00E77132">
          <w:rPr>
            <w:noProof/>
            <w:webHidden/>
          </w:rPr>
          <w:fldChar w:fldCharType="separate"/>
        </w:r>
        <w:r w:rsidR="00E77132" w:rsidRPr="00E77132">
          <w:rPr>
            <w:noProof/>
            <w:webHidden/>
          </w:rPr>
          <w:t>26</w:t>
        </w:r>
        <w:r w:rsidR="00E77132" w:rsidRPr="00E77132">
          <w:rPr>
            <w:noProof/>
            <w:webHidden/>
          </w:rPr>
          <w:fldChar w:fldCharType="end"/>
        </w:r>
      </w:hyperlink>
    </w:p>
    <w:p w14:paraId="04F03B3D" w14:textId="08CF22F9" w:rsidR="00E77132" w:rsidRPr="00E77132" w:rsidRDefault="00322A00">
      <w:pPr>
        <w:pStyle w:val="TableofFigures"/>
        <w:tabs>
          <w:tab w:val="right" w:leader="dot" w:pos="9350"/>
        </w:tabs>
        <w:rPr>
          <w:rFonts w:eastAsiaTheme="minorEastAsia"/>
          <w:noProof/>
        </w:rPr>
      </w:pPr>
      <w:hyperlink w:anchor="_Toc71725939" w:history="1">
        <w:r w:rsidR="00E77132" w:rsidRPr="00E77132">
          <w:rPr>
            <w:rStyle w:val="Hyperlink"/>
            <w:noProof/>
          </w:rPr>
          <w:t xml:space="preserve">Figure 21: </w:t>
        </w:r>
        <w:r w:rsidR="00E77132" w:rsidRPr="00E77132">
          <w:rPr>
            <w:rStyle w:val="Hyperlink"/>
            <w:rFonts w:cstheme="minorHAnsi"/>
            <w:noProof/>
            <w:lang w:eastAsia="ja-JP"/>
          </w:rPr>
          <w:t>Disability Adjusted Life Years (DALY) per 100,000 population</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_Toc71725939 \h </w:instrText>
        </w:r>
        <w:r w:rsidR="00E77132" w:rsidRPr="00E77132">
          <w:rPr>
            <w:noProof/>
            <w:webHidden/>
          </w:rPr>
        </w:r>
        <w:r w:rsidR="00E77132" w:rsidRPr="00E77132">
          <w:rPr>
            <w:noProof/>
            <w:webHidden/>
          </w:rPr>
          <w:fldChar w:fldCharType="separate"/>
        </w:r>
        <w:r w:rsidR="00E77132" w:rsidRPr="00E77132">
          <w:rPr>
            <w:noProof/>
            <w:webHidden/>
          </w:rPr>
          <w:t>34</w:t>
        </w:r>
        <w:r w:rsidR="00E77132" w:rsidRPr="00E77132">
          <w:rPr>
            <w:noProof/>
            <w:webHidden/>
          </w:rPr>
          <w:fldChar w:fldCharType="end"/>
        </w:r>
      </w:hyperlink>
    </w:p>
    <w:p w14:paraId="0F1D4750" w14:textId="6A42490A" w:rsidR="00E77132" w:rsidRPr="00E77132" w:rsidRDefault="00322A00">
      <w:pPr>
        <w:pStyle w:val="TableofFigures"/>
        <w:tabs>
          <w:tab w:val="right" w:leader="dot" w:pos="9350"/>
        </w:tabs>
        <w:rPr>
          <w:rFonts w:eastAsiaTheme="minorEastAsia"/>
          <w:noProof/>
        </w:rPr>
      </w:pPr>
      <w:hyperlink w:anchor="_Toc71725940" w:history="1">
        <w:r w:rsidR="00E77132" w:rsidRPr="00E77132">
          <w:rPr>
            <w:rStyle w:val="Hyperlink"/>
            <w:noProof/>
          </w:rPr>
          <w:t>Figure 22</w:t>
        </w:r>
        <w:r w:rsidR="00E77132" w:rsidRPr="00E77132">
          <w:rPr>
            <w:rStyle w:val="Hyperlink"/>
            <w:rFonts w:cstheme="minorHAnsi"/>
            <w:noProof/>
            <w:lang w:eastAsia="ja-JP"/>
          </w:rPr>
          <w:t>: Total fertility rates for selected countries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_Toc71725940 \h </w:instrText>
        </w:r>
        <w:r w:rsidR="00E77132" w:rsidRPr="00E77132">
          <w:rPr>
            <w:noProof/>
            <w:webHidden/>
          </w:rPr>
        </w:r>
        <w:r w:rsidR="00E77132" w:rsidRPr="00E77132">
          <w:rPr>
            <w:noProof/>
            <w:webHidden/>
          </w:rPr>
          <w:fldChar w:fldCharType="separate"/>
        </w:r>
        <w:r w:rsidR="00E77132" w:rsidRPr="00E77132">
          <w:rPr>
            <w:noProof/>
            <w:webHidden/>
          </w:rPr>
          <w:t>35</w:t>
        </w:r>
        <w:r w:rsidR="00E77132" w:rsidRPr="00E77132">
          <w:rPr>
            <w:noProof/>
            <w:webHidden/>
          </w:rPr>
          <w:fldChar w:fldCharType="end"/>
        </w:r>
      </w:hyperlink>
    </w:p>
    <w:p w14:paraId="71458BB8" w14:textId="04F98EC7" w:rsidR="00E77132" w:rsidRPr="00E77132" w:rsidRDefault="00322A00">
      <w:pPr>
        <w:pStyle w:val="TableofFigures"/>
        <w:tabs>
          <w:tab w:val="right" w:leader="dot" w:pos="9350"/>
        </w:tabs>
        <w:rPr>
          <w:rFonts w:eastAsiaTheme="minorEastAsia"/>
          <w:noProof/>
        </w:rPr>
      </w:pPr>
      <w:hyperlink w:anchor="_Toc71725941" w:history="1">
        <w:r w:rsidR="00E77132" w:rsidRPr="00E77132">
          <w:rPr>
            <w:rStyle w:val="Hyperlink"/>
            <w:noProof/>
          </w:rPr>
          <w:t xml:space="preserve">Figure 23: </w:t>
        </w:r>
        <w:r w:rsidR="00E77132" w:rsidRPr="00E77132">
          <w:rPr>
            <w:rStyle w:val="Hyperlink"/>
            <w:rFonts w:cstheme="minorHAnsi"/>
            <w:noProof/>
            <w:lang w:eastAsia="ja-JP"/>
          </w:rPr>
          <w:t>Coverage of maternal health services in Somalia</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_Toc71725941 \h </w:instrText>
        </w:r>
        <w:r w:rsidR="00E77132" w:rsidRPr="00E77132">
          <w:rPr>
            <w:noProof/>
            <w:webHidden/>
          </w:rPr>
        </w:r>
        <w:r w:rsidR="00E77132" w:rsidRPr="00E77132">
          <w:rPr>
            <w:noProof/>
            <w:webHidden/>
          </w:rPr>
          <w:fldChar w:fldCharType="separate"/>
        </w:r>
        <w:r w:rsidR="00E77132" w:rsidRPr="00E77132">
          <w:rPr>
            <w:noProof/>
            <w:webHidden/>
          </w:rPr>
          <w:t>36</w:t>
        </w:r>
        <w:r w:rsidR="00E77132" w:rsidRPr="00E77132">
          <w:rPr>
            <w:noProof/>
            <w:webHidden/>
          </w:rPr>
          <w:fldChar w:fldCharType="end"/>
        </w:r>
      </w:hyperlink>
    </w:p>
    <w:p w14:paraId="140E12E0" w14:textId="1E05D3D8" w:rsidR="00E77132" w:rsidRPr="00E77132" w:rsidRDefault="00322A00">
      <w:pPr>
        <w:pStyle w:val="TableofFigures"/>
        <w:tabs>
          <w:tab w:val="right" w:leader="dot" w:pos="9350"/>
        </w:tabs>
        <w:rPr>
          <w:rFonts w:eastAsiaTheme="minorEastAsia"/>
          <w:noProof/>
        </w:rPr>
      </w:pPr>
      <w:hyperlink w:anchor="_Toc71725942" w:history="1">
        <w:r w:rsidR="00E77132" w:rsidRPr="00E77132">
          <w:rPr>
            <w:rStyle w:val="Hyperlink"/>
            <w:noProof/>
          </w:rPr>
          <w:t>Figure 24</w:t>
        </w:r>
        <w:r w:rsidR="00E77132" w:rsidRPr="00E77132">
          <w:rPr>
            <w:rStyle w:val="Hyperlink"/>
            <w:rFonts w:cstheme="minorHAnsi"/>
            <w:noProof/>
            <w:lang w:eastAsia="ja-JP"/>
          </w:rPr>
          <w:t>: Maternal mortality ratio in selected East African countries (maternal deaths per 100,000 live births)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_Toc71725942 \h </w:instrText>
        </w:r>
        <w:r w:rsidR="00E77132" w:rsidRPr="00E77132">
          <w:rPr>
            <w:noProof/>
            <w:webHidden/>
          </w:rPr>
        </w:r>
        <w:r w:rsidR="00E77132" w:rsidRPr="00E77132">
          <w:rPr>
            <w:noProof/>
            <w:webHidden/>
          </w:rPr>
          <w:fldChar w:fldCharType="separate"/>
        </w:r>
        <w:r w:rsidR="00E77132" w:rsidRPr="00E77132">
          <w:rPr>
            <w:noProof/>
            <w:webHidden/>
          </w:rPr>
          <w:t>37</w:t>
        </w:r>
        <w:r w:rsidR="00E77132" w:rsidRPr="00E77132">
          <w:rPr>
            <w:noProof/>
            <w:webHidden/>
          </w:rPr>
          <w:fldChar w:fldCharType="end"/>
        </w:r>
      </w:hyperlink>
    </w:p>
    <w:p w14:paraId="7AF6C6C1" w14:textId="27A93733" w:rsidR="00E77132" w:rsidRPr="00E77132" w:rsidRDefault="00322A00">
      <w:pPr>
        <w:pStyle w:val="TableofFigures"/>
        <w:tabs>
          <w:tab w:val="right" w:leader="dot" w:pos="9350"/>
        </w:tabs>
        <w:rPr>
          <w:rFonts w:eastAsiaTheme="minorEastAsia"/>
          <w:noProof/>
        </w:rPr>
      </w:pPr>
      <w:hyperlink w:anchor="_Toc71725943" w:history="1">
        <w:r w:rsidR="00E77132" w:rsidRPr="00E77132">
          <w:rPr>
            <w:rStyle w:val="Hyperlink"/>
            <w:noProof/>
          </w:rPr>
          <w:t>Figure 25</w:t>
        </w:r>
        <w:r w:rsidR="00E77132" w:rsidRPr="00E77132">
          <w:rPr>
            <w:rStyle w:val="Hyperlink"/>
            <w:rFonts w:cstheme="minorHAnsi"/>
            <w:noProof/>
            <w:lang w:eastAsia="ja-JP"/>
          </w:rPr>
          <w:t>: Distribution of total DALYs in Somalia by type of disease</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_Toc71725943 \h </w:instrText>
        </w:r>
        <w:r w:rsidR="00E77132" w:rsidRPr="00E77132">
          <w:rPr>
            <w:noProof/>
            <w:webHidden/>
          </w:rPr>
        </w:r>
        <w:r w:rsidR="00E77132" w:rsidRPr="00E77132">
          <w:rPr>
            <w:noProof/>
            <w:webHidden/>
          </w:rPr>
          <w:fldChar w:fldCharType="separate"/>
        </w:r>
        <w:r w:rsidR="00E77132" w:rsidRPr="00E77132">
          <w:rPr>
            <w:noProof/>
            <w:webHidden/>
          </w:rPr>
          <w:t>38</w:t>
        </w:r>
        <w:r w:rsidR="00E77132" w:rsidRPr="00E77132">
          <w:rPr>
            <w:noProof/>
            <w:webHidden/>
          </w:rPr>
          <w:fldChar w:fldCharType="end"/>
        </w:r>
      </w:hyperlink>
    </w:p>
    <w:p w14:paraId="6833E0D5" w14:textId="4B7842A7" w:rsidR="00E77132" w:rsidRPr="00E77132" w:rsidRDefault="00322A00">
      <w:pPr>
        <w:pStyle w:val="TableofFigures"/>
        <w:tabs>
          <w:tab w:val="right" w:leader="dot" w:pos="9350"/>
        </w:tabs>
        <w:rPr>
          <w:rFonts w:eastAsiaTheme="minorEastAsia"/>
          <w:noProof/>
        </w:rPr>
      </w:pPr>
      <w:hyperlink w:anchor="_Toc71725944" w:history="1">
        <w:r w:rsidR="00E77132" w:rsidRPr="00E77132">
          <w:rPr>
            <w:rStyle w:val="Hyperlink"/>
            <w:noProof/>
          </w:rPr>
          <w:t>Figure 26</w:t>
        </w:r>
        <w:r w:rsidR="00E77132" w:rsidRPr="00E77132">
          <w:rPr>
            <w:rStyle w:val="Hyperlink"/>
            <w:rFonts w:eastAsia="Segoe UI" w:cstheme="minorHAnsi"/>
            <w:noProof/>
            <w:lang w:eastAsia="ja-JP"/>
          </w:rPr>
          <w:t>: Somalia’s burden of diseases, 2019</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_Toc71725944 \h </w:instrText>
        </w:r>
        <w:r w:rsidR="00E77132" w:rsidRPr="00E77132">
          <w:rPr>
            <w:noProof/>
            <w:webHidden/>
          </w:rPr>
        </w:r>
        <w:r w:rsidR="00E77132" w:rsidRPr="00E77132">
          <w:rPr>
            <w:noProof/>
            <w:webHidden/>
          </w:rPr>
          <w:fldChar w:fldCharType="separate"/>
        </w:r>
        <w:r w:rsidR="00E77132" w:rsidRPr="00E77132">
          <w:rPr>
            <w:noProof/>
            <w:webHidden/>
          </w:rPr>
          <w:t>38</w:t>
        </w:r>
        <w:r w:rsidR="00E77132" w:rsidRPr="00E77132">
          <w:rPr>
            <w:noProof/>
            <w:webHidden/>
          </w:rPr>
          <w:fldChar w:fldCharType="end"/>
        </w:r>
      </w:hyperlink>
    </w:p>
    <w:p w14:paraId="29453BFF" w14:textId="1775326E" w:rsidR="00E77132" w:rsidRPr="00E77132" w:rsidRDefault="00322A00">
      <w:pPr>
        <w:pStyle w:val="TableofFigures"/>
        <w:tabs>
          <w:tab w:val="right" w:leader="dot" w:pos="9350"/>
        </w:tabs>
        <w:rPr>
          <w:rFonts w:eastAsiaTheme="minorEastAsia"/>
          <w:noProof/>
        </w:rPr>
      </w:pPr>
      <w:hyperlink w:anchor="_Toc71725945" w:history="1">
        <w:r w:rsidR="00E77132" w:rsidRPr="00E77132">
          <w:rPr>
            <w:rStyle w:val="Hyperlink"/>
            <w:noProof/>
          </w:rPr>
          <w:t>Figure 27</w:t>
        </w:r>
        <w:r w:rsidR="00E77132" w:rsidRPr="00E77132">
          <w:rPr>
            <w:rStyle w:val="Hyperlink"/>
            <w:rFonts w:eastAsia="Segoe UI" w:cstheme="minorHAnsi"/>
            <w:noProof/>
            <w:lang w:eastAsia="ja-JP"/>
          </w:rPr>
          <w:t>: Disparities in maternal and child health services across geographic areas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_Toc71725945 \h </w:instrText>
        </w:r>
        <w:r w:rsidR="00E77132" w:rsidRPr="00E77132">
          <w:rPr>
            <w:noProof/>
            <w:webHidden/>
          </w:rPr>
        </w:r>
        <w:r w:rsidR="00E77132" w:rsidRPr="00E77132">
          <w:rPr>
            <w:noProof/>
            <w:webHidden/>
          </w:rPr>
          <w:fldChar w:fldCharType="separate"/>
        </w:r>
        <w:r w:rsidR="00E77132" w:rsidRPr="00E77132">
          <w:rPr>
            <w:noProof/>
            <w:webHidden/>
          </w:rPr>
          <w:t>40</w:t>
        </w:r>
        <w:r w:rsidR="00E77132" w:rsidRPr="00E77132">
          <w:rPr>
            <w:noProof/>
            <w:webHidden/>
          </w:rPr>
          <w:fldChar w:fldCharType="end"/>
        </w:r>
      </w:hyperlink>
    </w:p>
    <w:p w14:paraId="601B7FB3" w14:textId="06DA576B" w:rsidR="00E77132" w:rsidRPr="00E77132" w:rsidRDefault="00322A00">
      <w:pPr>
        <w:pStyle w:val="TableofFigures"/>
        <w:tabs>
          <w:tab w:val="right" w:leader="dot" w:pos="9350"/>
        </w:tabs>
        <w:rPr>
          <w:rFonts w:eastAsiaTheme="minorEastAsia"/>
          <w:noProof/>
        </w:rPr>
      </w:pPr>
      <w:hyperlink w:anchor="_Toc71725946" w:history="1">
        <w:r w:rsidR="00E77132" w:rsidRPr="00E77132">
          <w:rPr>
            <w:rStyle w:val="Hyperlink"/>
            <w:noProof/>
          </w:rPr>
          <w:t>Figure 28</w:t>
        </w:r>
        <w:r w:rsidR="00E77132" w:rsidRPr="00E77132">
          <w:rPr>
            <w:rStyle w:val="Hyperlink"/>
            <w:rFonts w:eastAsia="Segoe UI" w:cstheme="minorHAnsi"/>
            <w:noProof/>
            <w:lang w:eastAsia="ja-JP"/>
          </w:rPr>
          <w:t>: Disparities in maternal and child health services across locations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_Toc71725946 \h </w:instrText>
        </w:r>
        <w:r w:rsidR="00E77132" w:rsidRPr="00E77132">
          <w:rPr>
            <w:noProof/>
            <w:webHidden/>
          </w:rPr>
        </w:r>
        <w:r w:rsidR="00E77132" w:rsidRPr="00E77132">
          <w:rPr>
            <w:noProof/>
            <w:webHidden/>
          </w:rPr>
          <w:fldChar w:fldCharType="separate"/>
        </w:r>
        <w:r w:rsidR="00E77132" w:rsidRPr="00E77132">
          <w:rPr>
            <w:noProof/>
            <w:webHidden/>
          </w:rPr>
          <w:t>40</w:t>
        </w:r>
        <w:r w:rsidR="00E77132" w:rsidRPr="00E77132">
          <w:rPr>
            <w:noProof/>
            <w:webHidden/>
          </w:rPr>
          <w:fldChar w:fldCharType="end"/>
        </w:r>
      </w:hyperlink>
    </w:p>
    <w:p w14:paraId="19FEDC9B" w14:textId="2BA025A1" w:rsidR="00E77132" w:rsidRPr="00E77132" w:rsidRDefault="00322A00">
      <w:pPr>
        <w:pStyle w:val="TableofFigures"/>
        <w:tabs>
          <w:tab w:val="right" w:leader="dot" w:pos="9350"/>
        </w:tabs>
        <w:rPr>
          <w:rFonts w:eastAsiaTheme="minorEastAsia"/>
          <w:noProof/>
        </w:rPr>
      </w:pPr>
      <w:hyperlink w:anchor="_Toc71725947" w:history="1">
        <w:r w:rsidR="00E77132" w:rsidRPr="00E77132">
          <w:rPr>
            <w:rStyle w:val="Hyperlink"/>
            <w:noProof/>
          </w:rPr>
          <w:t>Figure 29</w:t>
        </w:r>
        <w:r w:rsidR="00E77132" w:rsidRPr="00E77132">
          <w:rPr>
            <w:rStyle w:val="Hyperlink"/>
            <w:rFonts w:cstheme="minorHAnsi"/>
            <w:noProof/>
            <w:lang w:eastAsia="ja-JP"/>
          </w:rPr>
          <w:t>: Disparities in health-seeking behavior by income groups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_Toc71725947 \h </w:instrText>
        </w:r>
        <w:r w:rsidR="00E77132" w:rsidRPr="00E77132">
          <w:rPr>
            <w:noProof/>
            <w:webHidden/>
          </w:rPr>
        </w:r>
        <w:r w:rsidR="00E77132" w:rsidRPr="00E77132">
          <w:rPr>
            <w:noProof/>
            <w:webHidden/>
          </w:rPr>
          <w:fldChar w:fldCharType="separate"/>
        </w:r>
        <w:r w:rsidR="00E77132" w:rsidRPr="00E77132">
          <w:rPr>
            <w:noProof/>
            <w:webHidden/>
          </w:rPr>
          <w:t>41</w:t>
        </w:r>
        <w:r w:rsidR="00E77132" w:rsidRPr="00E77132">
          <w:rPr>
            <w:noProof/>
            <w:webHidden/>
          </w:rPr>
          <w:fldChar w:fldCharType="end"/>
        </w:r>
      </w:hyperlink>
    </w:p>
    <w:p w14:paraId="6161F355" w14:textId="3CA88C01" w:rsidR="00E77132" w:rsidRPr="00E77132" w:rsidRDefault="00322A00">
      <w:pPr>
        <w:pStyle w:val="TableofFigures"/>
        <w:tabs>
          <w:tab w:val="right" w:leader="dot" w:pos="9350"/>
        </w:tabs>
        <w:rPr>
          <w:rFonts w:eastAsiaTheme="minorEastAsia"/>
          <w:noProof/>
        </w:rPr>
      </w:pPr>
      <w:hyperlink w:anchor="_Toc71725948" w:history="1">
        <w:r w:rsidR="00E77132" w:rsidRPr="00E77132">
          <w:rPr>
            <w:rStyle w:val="Hyperlink"/>
            <w:noProof/>
          </w:rPr>
          <w:t>Figure 30</w:t>
        </w:r>
        <w:r w:rsidR="00E77132" w:rsidRPr="00E77132">
          <w:rPr>
            <w:rStyle w:val="Hyperlink"/>
            <w:rFonts w:cstheme="minorHAnsi"/>
            <w:noProof/>
            <w:lang w:eastAsia="ja-JP"/>
          </w:rPr>
          <w:t>: Global Health Security Index for selected countries, 2019</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_Toc71725948 \h </w:instrText>
        </w:r>
        <w:r w:rsidR="00E77132" w:rsidRPr="00E77132">
          <w:rPr>
            <w:noProof/>
            <w:webHidden/>
          </w:rPr>
        </w:r>
        <w:r w:rsidR="00E77132" w:rsidRPr="00E77132">
          <w:rPr>
            <w:noProof/>
            <w:webHidden/>
          </w:rPr>
          <w:fldChar w:fldCharType="separate"/>
        </w:r>
        <w:r w:rsidR="00E77132" w:rsidRPr="00E77132">
          <w:rPr>
            <w:noProof/>
            <w:webHidden/>
          </w:rPr>
          <w:t>42</w:t>
        </w:r>
        <w:r w:rsidR="00E77132" w:rsidRPr="00E77132">
          <w:rPr>
            <w:noProof/>
            <w:webHidden/>
          </w:rPr>
          <w:fldChar w:fldCharType="end"/>
        </w:r>
      </w:hyperlink>
    </w:p>
    <w:p w14:paraId="05C0F998" w14:textId="48279B73" w:rsidR="00E77132" w:rsidRPr="00E77132" w:rsidRDefault="00322A00">
      <w:pPr>
        <w:pStyle w:val="TableofFigures"/>
        <w:tabs>
          <w:tab w:val="right" w:leader="dot" w:pos="9350"/>
        </w:tabs>
        <w:rPr>
          <w:rFonts w:eastAsiaTheme="minorEastAsia"/>
          <w:noProof/>
        </w:rPr>
      </w:pPr>
      <w:hyperlink w:anchor="_Toc71725949" w:history="1">
        <w:r w:rsidR="00E77132" w:rsidRPr="00E77132">
          <w:rPr>
            <w:rStyle w:val="Hyperlink"/>
            <w:noProof/>
          </w:rPr>
          <w:t>Figure 31</w:t>
        </w:r>
        <w:r w:rsidR="00E77132" w:rsidRPr="00E77132">
          <w:rPr>
            <w:rStyle w:val="Hyperlink"/>
            <w:rFonts w:cstheme="minorHAnsi"/>
            <w:noProof/>
            <w:lang w:eastAsia="ja-JP"/>
          </w:rPr>
          <w:t>: Federal Ministry of Health Spending, 2015–20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_Toc71725949 \h </w:instrText>
        </w:r>
        <w:r w:rsidR="00E77132" w:rsidRPr="00E77132">
          <w:rPr>
            <w:noProof/>
            <w:webHidden/>
          </w:rPr>
        </w:r>
        <w:r w:rsidR="00E77132" w:rsidRPr="00E77132">
          <w:rPr>
            <w:noProof/>
            <w:webHidden/>
          </w:rPr>
          <w:fldChar w:fldCharType="separate"/>
        </w:r>
        <w:r w:rsidR="00E77132" w:rsidRPr="00E77132">
          <w:rPr>
            <w:noProof/>
            <w:webHidden/>
          </w:rPr>
          <w:t>43</w:t>
        </w:r>
        <w:r w:rsidR="00E77132" w:rsidRPr="00E77132">
          <w:rPr>
            <w:noProof/>
            <w:webHidden/>
          </w:rPr>
          <w:fldChar w:fldCharType="end"/>
        </w:r>
      </w:hyperlink>
    </w:p>
    <w:p w14:paraId="5733FD68" w14:textId="46F47026" w:rsidR="00E77132" w:rsidRPr="00E77132" w:rsidRDefault="00322A00">
      <w:pPr>
        <w:pStyle w:val="TableofFigures"/>
        <w:tabs>
          <w:tab w:val="right" w:leader="dot" w:pos="9350"/>
        </w:tabs>
        <w:rPr>
          <w:rFonts w:eastAsiaTheme="minorEastAsia"/>
          <w:noProof/>
        </w:rPr>
      </w:pPr>
      <w:hyperlink w:anchor="_Toc71725950" w:history="1">
        <w:r w:rsidR="00E77132" w:rsidRPr="00E77132">
          <w:rPr>
            <w:rStyle w:val="Hyperlink"/>
            <w:noProof/>
          </w:rPr>
          <w:t>Figure 32</w:t>
        </w:r>
        <w:r w:rsidR="00E77132" w:rsidRPr="00E77132">
          <w:rPr>
            <w:rStyle w:val="Hyperlink"/>
            <w:rFonts w:cstheme="minorHAnsi"/>
            <w:noProof/>
            <w:lang w:eastAsia="ja-JP"/>
          </w:rPr>
          <w:t>: Components of total health spending for selected East African countries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_Toc71725950 \h </w:instrText>
        </w:r>
        <w:r w:rsidR="00E77132" w:rsidRPr="00E77132">
          <w:rPr>
            <w:noProof/>
            <w:webHidden/>
          </w:rPr>
        </w:r>
        <w:r w:rsidR="00E77132" w:rsidRPr="00E77132">
          <w:rPr>
            <w:noProof/>
            <w:webHidden/>
          </w:rPr>
          <w:fldChar w:fldCharType="separate"/>
        </w:r>
        <w:r w:rsidR="00E77132" w:rsidRPr="00E77132">
          <w:rPr>
            <w:noProof/>
            <w:webHidden/>
          </w:rPr>
          <w:t>44</w:t>
        </w:r>
        <w:r w:rsidR="00E77132" w:rsidRPr="00E77132">
          <w:rPr>
            <w:noProof/>
            <w:webHidden/>
          </w:rPr>
          <w:fldChar w:fldCharType="end"/>
        </w:r>
      </w:hyperlink>
    </w:p>
    <w:p w14:paraId="008D59AC" w14:textId="36D7C238" w:rsidR="00E77132" w:rsidRPr="00E77132" w:rsidRDefault="00322A00">
      <w:pPr>
        <w:pStyle w:val="TableofFigures"/>
        <w:tabs>
          <w:tab w:val="right" w:leader="dot" w:pos="9350"/>
        </w:tabs>
        <w:rPr>
          <w:rFonts w:eastAsiaTheme="minorEastAsia"/>
          <w:noProof/>
        </w:rPr>
      </w:pPr>
      <w:hyperlink w:anchor="_Toc71725951" w:history="1">
        <w:r w:rsidR="00E77132" w:rsidRPr="00E77132">
          <w:rPr>
            <w:rStyle w:val="Hyperlink"/>
            <w:noProof/>
          </w:rPr>
          <w:t>Figure 33</w:t>
        </w:r>
        <w:r w:rsidR="00E77132" w:rsidRPr="00E77132">
          <w:rPr>
            <w:rStyle w:val="Hyperlink"/>
            <w:rFonts w:cstheme="minorHAnsi"/>
            <w:noProof/>
            <w:lang w:eastAsia="ja-JP"/>
          </w:rPr>
          <w:t>: Number of inpatient beds per 10,000 population in Somalia</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_Toc71725951 \h </w:instrText>
        </w:r>
        <w:r w:rsidR="00E77132" w:rsidRPr="00E77132">
          <w:rPr>
            <w:noProof/>
            <w:webHidden/>
          </w:rPr>
        </w:r>
        <w:r w:rsidR="00E77132" w:rsidRPr="00E77132">
          <w:rPr>
            <w:noProof/>
            <w:webHidden/>
          </w:rPr>
          <w:fldChar w:fldCharType="separate"/>
        </w:r>
        <w:r w:rsidR="00E77132" w:rsidRPr="00E77132">
          <w:rPr>
            <w:noProof/>
            <w:webHidden/>
          </w:rPr>
          <w:t>45</w:t>
        </w:r>
        <w:r w:rsidR="00E77132" w:rsidRPr="00E77132">
          <w:rPr>
            <w:noProof/>
            <w:webHidden/>
          </w:rPr>
          <w:fldChar w:fldCharType="end"/>
        </w:r>
      </w:hyperlink>
    </w:p>
    <w:p w14:paraId="49B5DB9F" w14:textId="0414FC05" w:rsidR="00E77132" w:rsidRPr="00E77132" w:rsidRDefault="00322A00">
      <w:pPr>
        <w:pStyle w:val="TableofFigures"/>
        <w:tabs>
          <w:tab w:val="right" w:leader="dot" w:pos="9350"/>
        </w:tabs>
        <w:rPr>
          <w:rFonts w:eastAsiaTheme="minorEastAsia"/>
          <w:noProof/>
        </w:rPr>
      </w:pPr>
      <w:hyperlink w:anchor="_Toc71725952" w:history="1">
        <w:r w:rsidR="00E77132" w:rsidRPr="00E77132">
          <w:rPr>
            <w:rStyle w:val="Hyperlink"/>
            <w:noProof/>
          </w:rPr>
          <w:t>Figure 34</w:t>
        </w:r>
        <w:r w:rsidR="00E77132" w:rsidRPr="00E77132">
          <w:rPr>
            <w:rStyle w:val="Hyperlink"/>
            <w:rFonts w:cstheme="minorHAnsi"/>
            <w:noProof/>
            <w:lang w:eastAsia="ja-JP"/>
          </w:rPr>
          <w:t>: Service readiness of facilities in Somalia</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_Toc71725952 \h </w:instrText>
        </w:r>
        <w:r w:rsidR="00E77132" w:rsidRPr="00E77132">
          <w:rPr>
            <w:noProof/>
            <w:webHidden/>
          </w:rPr>
        </w:r>
        <w:r w:rsidR="00E77132" w:rsidRPr="00E77132">
          <w:rPr>
            <w:noProof/>
            <w:webHidden/>
          </w:rPr>
          <w:fldChar w:fldCharType="separate"/>
        </w:r>
        <w:r w:rsidR="00E77132" w:rsidRPr="00E77132">
          <w:rPr>
            <w:noProof/>
            <w:webHidden/>
          </w:rPr>
          <w:t>46</w:t>
        </w:r>
        <w:r w:rsidR="00E77132" w:rsidRPr="00E77132">
          <w:rPr>
            <w:noProof/>
            <w:webHidden/>
          </w:rPr>
          <w:fldChar w:fldCharType="end"/>
        </w:r>
      </w:hyperlink>
    </w:p>
    <w:p w14:paraId="60B74F2F" w14:textId="2FF17EBC" w:rsidR="00E77132" w:rsidRPr="00E77132" w:rsidRDefault="00322A00">
      <w:pPr>
        <w:pStyle w:val="TableofFigures"/>
        <w:tabs>
          <w:tab w:val="right" w:leader="dot" w:pos="9350"/>
        </w:tabs>
        <w:rPr>
          <w:rFonts w:eastAsiaTheme="minorEastAsia"/>
          <w:noProof/>
        </w:rPr>
      </w:pPr>
      <w:hyperlink w:anchor="_Toc71725953" w:history="1">
        <w:r w:rsidR="00E77132" w:rsidRPr="00E77132">
          <w:rPr>
            <w:rStyle w:val="Hyperlink"/>
            <w:noProof/>
          </w:rPr>
          <w:t>Figure 35</w:t>
        </w:r>
        <w:r w:rsidR="00E77132" w:rsidRPr="00E77132">
          <w:rPr>
            <w:rStyle w:val="Hyperlink"/>
            <w:rFonts w:eastAsia="Segoe UI"/>
            <w:noProof/>
            <w:lang w:eastAsia="ja-JP"/>
          </w:rPr>
          <w:t>: Core health worker density per 10,000 population in Somalia</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_Toc71725953 \h </w:instrText>
        </w:r>
        <w:r w:rsidR="00E77132" w:rsidRPr="00E77132">
          <w:rPr>
            <w:noProof/>
            <w:webHidden/>
          </w:rPr>
        </w:r>
        <w:r w:rsidR="00E77132" w:rsidRPr="00E77132">
          <w:rPr>
            <w:noProof/>
            <w:webHidden/>
          </w:rPr>
          <w:fldChar w:fldCharType="separate"/>
        </w:r>
        <w:r w:rsidR="00E77132" w:rsidRPr="00E77132">
          <w:rPr>
            <w:noProof/>
            <w:webHidden/>
          </w:rPr>
          <w:t>47</w:t>
        </w:r>
        <w:r w:rsidR="00E77132" w:rsidRPr="00E77132">
          <w:rPr>
            <w:noProof/>
            <w:webHidden/>
          </w:rPr>
          <w:fldChar w:fldCharType="end"/>
        </w:r>
      </w:hyperlink>
    </w:p>
    <w:p w14:paraId="73659D01" w14:textId="77052B71" w:rsidR="00E77132" w:rsidRPr="00E77132" w:rsidRDefault="00322A00">
      <w:pPr>
        <w:pStyle w:val="TableofFigures"/>
        <w:tabs>
          <w:tab w:val="right" w:leader="dot" w:pos="9350"/>
        </w:tabs>
        <w:rPr>
          <w:rFonts w:eastAsiaTheme="minorEastAsia"/>
          <w:noProof/>
        </w:rPr>
      </w:pPr>
      <w:hyperlink w:anchor="_Toc71725954" w:history="1">
        <w:r w:rsidR="00E77132" w:rsidRPr="00E77132">
          <w:rPr>
            <w:rStyle w:val="Hyperlink"/>
            <w:noProof/>
          </w:rPr>
          <w:t>Figure 36</w:t>
        </w:r>
        <w:r w:rsidR="00E77132" w:rsidRPr="00E77132">
          <w:rPr>
            <w:rStyle w:val="Hyperlink"/>
            <w:rFonts w:eastAsia="Segoe UI" w:cstheme="minorHAnsi"/>
            <w:noProof/>
            <w:lang w:eastAsia="ja-JP"/>
          </w:rPr>
          <w:t>: Key health systems functions to purchase and deliver basic PHC services</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_Toc71725954 \h </w:instrText>
        </w:r>
        <w:r w:rsidR="00E77132" w:rsidRPr="00E77132">
          <w:rPr>
            <w:noProof/>
            <w:webHidden/>
          </w:rPr>
        </w:r>
        <w:r w:rsidR="00E77132" w:rsidRPr="00E77132">
          <w:rPr>
            <w:noProof/>
            <w:webHidden/>
          </w:rPr>
          <w:fldChar w:fldCharType="separate"/>
        </w:r>
        <w:r w:rsidR="00E77132" w:rsidRPr="00E77132">
          <w:rPr>
            <w:noProof/>
            <w:webHidden/>
          </w:rPr>
          <w:t>50</w:t>
        </w:r>
        <w:r w:rsidR="00E77132" w:rsidRPr="00E77132">
          <w:rPr>
            <w:noProof/>
            <w:webHidden/>
          </w:rPr>
          <w:fldChar w:fldCharType="end"/>
        </w:r>
      </w:hyperlink>
    </w:p>
    <w:p w14:paraId="2CCB45E6" w14:textId="77777777" w:rsidR="00E77132" w:rsidRDefault="00954115" w:rsidP="00954115">
      <w:pPr>
        <w:spacing w:before="120" w:after="0"/>
        <w:rPr>
          <w:noProof/>
        </w:rPr>
      </w:pPr>
      <w:r w:rsidRPr="00E77132">
        <w:rPr>
          <w:rFonts w:asciiTheme="majorHAnsi" w:eastAsiaTheme="majorEastAsia" w:hAnsiTheme="majorHAnsi" w:cstheme="majorBidi"/>
          <w:color w:val="2F5496" w:themeColor="accent1" w:themeShade="BF"/>
          <w:sz w:val="32"/>
          <w:szCs w:val="32"/>
        </w:rPr>
        <w:fldChar w:fldCharType="end"/>
      </w:r>
      <w:r w:rsidRPr="002F28B7">
        <w:rPr>
          <w:rFonts w:asciiTheme="majorHAnsi" w:eastAsiaTheme="majorEastAsia" w:hAnsiTheme="majorHAnsi" w:cstheme="majorBidi"/>
          <w:color w:val="2F5496" w:themeColor="accent1" w:themeShade="BF"/>
          <w:sz w:val="32"/>
          <w:szCs w:val="32"/>
        </w:rPr>
        <w:t>Tables</w:t>
      </w:r>
      <w:r w:rsidRPr="002F28B7">
        <w:rPr>
          <w:rFonts w:asciiTheme="majorHAnsi" w:eastAsiaTheme="majorEastAsia" w:hAnsiTheme="majorHAnsi" w:cstheme="majorBidi"/>
          <w:color w:val="2F5496" w:themeColor="accent1" w:themeShade="BF"/>
          <w:sz w:val="32"/>
          <w:szCs w:val="32"/>
        </w:rPr>
        <w:fldChar w:fldCharType="begin"/>
      </w:r>
      <w:r w:rsidRPr="002F28B7">
        <w:rPr>
          <w:rFonts w:asciiTheme="majorHAnsi" w:eastAsiaTheme="majorEastAsia" w:hAnsiTheme="majorHAnsi" w:cstheme="majorBidi"/>
          <w:color w:val="2F5496" w:themeColor="accent1" w:themeShade="BF"/>
          <w:sz w:val="32"/>
          <w:szCs w:val="32"/>
        </w:rPr>
        <w:instrText xml:space="preserve"> TOC \h \z \c "Table" </w:instrText>
      </w:r>
      <w:r w:rsidRPr="002F28B7">
        <w:rPr>
          <w:rFonts w:asciiTheme="majorHAnsi" w:eastAsiaTheme="majorEastAsia" w:hAnsiTheme="majorHAnsi" w:cstheme="majorBidi"/>
          <w:color w:val="2F5496" w:themeColor="accent1" w:themeShade="BF"/>
          <w:sz w:val="32"/>
          <w:szCs w:val="32"/>
        </w:rPr>
        <w:fldChar w:fldCharType="separate"/>
      </w:r>
    </w:p>
    <w:p w14:paraId="0D456325" w14:textId="0A2BBF7E" w:rsidR="00E77132" w:rsidRDefault="00322A00">
      <w:pPr>
        <w:pStyle w:val="TableofFigures"/>
        <w:tabs>
          <w:tab w:val="right" w:leader="dot" w:pos="9350"/>
        </w:tabs>
        <w:rPr>
          <w:rFonts w:eastAsiaTheme="minorEastAsia"/>
          <w:noProof/>
        </w:rPr>
      </w:pPr>
      <w:hyperlink w:anchor="_Toc71725958" w:history="1">
        <w:r w:rsidR="00E77132" w:rsidRPr="009E2D11">
          <w:rPr>
            <w:rStyle w:val="Hyperlink"/>
            <w:noProof/>
          </w:rPr>
          <w:t>Table 1</w:t>
        </w:r>
        <w:r w:rsidR="00E77132" w:rsidRPr="009E2D11">
          <w:rPr>
            <w:rStyle w:val="Hyperlink"/>
            <w:bCs/>
            <w:noProof/>
          </w:rPr>
          <w:t>: Summary of Recommended Actions in the Short and Medium Term</w:t>
        </w:r>
        <w:r w:rsidR="00E77132">
          <w:rPr>
            <w:noProof/>
            <w:webHidden/>
          </w:rPr>
          <w:tab/>
        </w:r>
        <w:r w:rsidR="00E77132">
          <w:rPr>
            <w:noProof/>
            <w:webHidden/>
          </w:rPr>
          <w:fldChar w:fldCharType="begin"/>
        </w:r>
        <w:r w:rsidR="00E77132">
          <w:rPr>
            <w:noProof/>
            <w:webHidden/>
          </w:rPr>
          <w:instrText xml:space="preserve"> PAGEREF _Toc71725958 \h </w:instrText>
        </w:r>
        <w:r w:rsidR="00E77132">
          <w:rPr>
            <w:noProof/>
            <w:webHidden/>
          </w:rPr>
        </w:r>
        <w:r w:rsidR="00E77132">
          <w:rPr>
            <w:noProof/>
            <w:webHidden/>
          </w:rPr>
          <w:fldChar w:fldCharType="separate"/>
        </w:r>
        <w:r w:rsidR="00E77132">
          <w:rPr>
            <w:noProof/>
            <w:webHidden/>
          </w:rPr>
          <w:t>vii</w:t>
        </w:r>
        <w:r w:rsidR="00E77132">
          <w:rPr>
            <w:noProof/>
            <w:webHidden/>
          </w:rPr>
          <w:fldChar w:fldCharType="end"/>
        </w:r>
      </w:hyperlink>
    </w:p>
    <w:p w14:paraId="39F94D12" w14:textId="7F8CB3B5" w:rsidR="00E77132" w:rsidRDefault="00322A00">
      <w:pPr>
        <w:pStyle w:val="TableofFigures"/>
        <w:tabs>
          <w:tab w:val="right" w:leader="dot" w:pos="9350"/>
        </w:tabs>
        <w:rPr>
          <w:rFonts w:eastAsiaTheme="minorEastAsia"/>
          <w:noProof/>
        </w:rPr>
      </w:pPr>
      <w:hyperlink w:anchor="_Toc71725959" w:history="1">
        <w:r w:rsidR="00E77132" w:rsidRPr="009E2D11">
          <w:rPr>
            <w:rStyle w:val="Hyperlink"/>
            <w:noProof/>
          </w:rPr>
          <w:t>Table 2:  Selected Economic and Financial Indicators, 2018–23</w:t>
        </w:r>
        <w:r w:rsidR="00E77132">
          <w:rPr>
            <w:noProof/>
            <w:webHidden/>
          </w:rPr>
          <w:tab/>
        </w:r>
        <w:r w:rsidR="00E77132">
          <w:rPr>
            <w:noProof/>
            <w:webHidden/>
          </w:rPr>
          <w:fldChar w:fldCharType="begin"/>
        </w:r>
        <w:r w:rsidR="00E77132">
          <w:rPr>
            <w:noProof/>
            <w:webHidden/>
          </w:rPr>
          <w:instrText xml:space="preserve"> PAGEREF _Toc71725959 \h </w:instrText>
        </w:r>
        <w:r w:rsidR="00E77132">
          <w:rPr>
            <w:noProof/>
            <w:webHidden/>
          </w:rPr>
        </w:r>
        <w:r w:rsidR="00E77132">
          <w:rPr>
            <w:noProof/>
            <w:webHidden/>
          </w:rPr>
          <w:fldChar w:fldCharType="separate"/>
        </w:r>
        <w:r w:rsidR="00E77132">
          <w:rPr>
            <w:noProof/>
            <w:webHidden/>
          </w:rPr>
          <w:t>4</w:t>
        </w:r>
        <w:r w:rsidR="00E77132">
          <w:rPr>
            <w:noProof/>
            <w:webHidden/>
          </w:rPr>
          <w:fldChar w:fldCharType="end"/>
        </w:r>
      </w:hyperlink>
    </w:p>
    <w:p w14:paraId="2C0E8215" w14:textId="30592C1F" w:rsidR="00E77132" w:rsidRDefault="00322A00">
      <w:pPr>
        <w:pStyle w:val="TableofFigures"/>
        <w:tabs>
          <w:tab w:val="right" w:leader="dot" w:pos="9350"/>
        </w:tabs>
        <w:rPr>
          <w:rFonts w:eastAsiaTheme="minorEastAsia"/>
          <w:noProof/>
        </w:rPr>
      </w:pPr>
      <w:hyperlink w:anchor="_Toc71725960" w:history="1">
        <w:r w:rsidR="00E77132" w:rsidRPr="009E2D11">
          <w:rPr>
            <w:rStyle w:val="Hyperlink"/>
            <w:noProof/>
          </w:rPr>
          <w:t>Table 3</w:t>
        </w:r>
        <w:r w:rsidR="00E77132" w:rsidRPr="009E2D11">
          <w:rPr>
            <w:rStyle w:val="Hyperlink"/>
            <w:bCs/>
            <w:noProof/>
          </w:rPr>
          <w:t>: Impact of COVID19 on Firms Operations</w:t>
        </w:r>
        <w:r w:rsidR="00E77132">
          <w:rPr>
            <w:noProof/>
            <w:webHidden/>
          </w:rPr>
          <w:tab/>
        </w:r>
        <w:r w:rsidR="00E77132">
          <w:rPr>
            <w:noProof/>
            <w:webHidden/>
          </w:rPr>
          <w:fldChar w:fldCharType="begin"/>
        </w:r>
        <w:r w:rsidR="00E77132">
          <w:rPr>
            <w:noProof/>
            <w:webHidden/>
          </w:rPr>
          <w:instrText xml:space="preserve"> PAGEREF _Toc71725960 \h </w:instrText>
        </w:r>
        <w:r w:rsidR="00E77132">
          <w:rPr>
            <w:noProof/>
            <w:webHidden/>
          </w:rPr>
        </w:r>
        <w:r w:rsidR="00E77132">
          <w:rPr>
            <w:noProof/>
            <w:webHidden/>
          </w:rPr>
          <w:fldChar w:fldCharType="separate"/>
        </w:r>
        <w:r w:rsidR="00E77132">
          <w:rPr>
            <w:noProof/>
            <w:webHidden/>
          </w:rPr>
          <w:t>7</w:t>
        </w:r>
        <w:r w:rsidR="00E77132">
          <w:rPr>
            <w:noProof/>
            <w:webHidden/>
          </w:rPr>
          <w:fldChar w:fldCharType="end"/>
        </w:r>
      </w:hyperlink>
    </w:p>
    <w:p w14:paraId="43A1319A" w14:textId="3BFD5D9A" w:rsidR="00E77132" w:rsidRPr="00E77132" w:rsidRDefault="00322A00">
      <w:pPr>
        <w:pStyle w:val="TableofFigures"/>
        <w:tabs>
          <w:tab w:val="right" w:leader="dot" w:pos="9350"/>
        </w:tabs>
        <w:rPr>
          <w:rFonts w:eastAsiaTheme="minorEastAsia"/>
          <w:noProof/>
        </w:rPr>
      </w:pPr>
      <w:hyperlink w:anchor="_Toc71725961" w:history="1">
        <w:r w:rsidR="00E77132" w:rsidRPr="00E77132">
          <w:rPr>
            <w:rStyle w:val="Hyperlink"/>
            <w:noProof/>
          </w:rPr>
          <w:t>Table 4: Banking Sector Performance in Somalia, 2019–20</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_Toc71725961 \h </w:instrText>
        </w:r>
        <w:r w:rsidR="00E77132" w:rsidRPr="00E77132">
          <w:rPr>
            <w:noProof/>
            <w:webHidden/>
          </w:rPr>
        </w:r>
        <w:r w:rsidR="00E77132" w:rsidRPr="00E77132">
          <w:rPr>
            <w:noProof/>
            <w:webHidden/>
          </w:rPr>
          <w:fldChar w:fldCharType="separate"/>
        </w:r>
        <w:r w:rsidR="00E77132" w:rsidRPr="00E77132">
          <w:rPr>
            <w:noProof/>
            <w:webHidden/>
          </w:rPr>
          <w:t>14</w:t>
        </w:r>
        <w:r w:rsidR="00E77132" w:rsidRPr="00E77132">
          <w:rPr>
            <w:noProof/>
            <w:webHidden/>
          </w:rPr>
          <w:fldChar w:fldCharType="end"/>
        </w:r>
      </w:hyperlink>
    </w:p>
    <w:p w14:paraId="19F8AFD9" w14:textId="7AED4052" w:rsidR="00E77132" w:rsidRPr="00E77132" w:rsidRDefault="00322A00">
      <w:pPr>
        <w:pStyle w:val="TableofFigures"/>
        <w:tabs>
          <w:tab w:val="right" w:leader="dot" w:pos="9350"/>
        </w:tabs>
        <w:rPr>
          <w:rFonts w:eastAsiaTheme="minorEastAsia"/>
          <w:noProof/>
        </w:rPr>
      </w:pPr>
      <w:hyperlink w:anchor="_Toc71725962" w:history="1">
        <w:r w:rsidR="00E77132" w:rsidRPr="00E77132">
          <w:rPr>
            <w:rStyle w:val="Hyperlink"/>
            <w:noProof/>
          </w:rPr>
          <w:t>Table 5: FGS Fiscal Operations, 2018–21</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_Toc71725962 \h </w:instrText>
        </w:r>
        <w:r w:rsidR="00E77132" w:rsidRPr="00E77132">
          <w:rPr>
            <w:noProof/>
            <w:webHidden/>
          </w:rPr>
        </w:r>
        <w:r w:rsidR="00E77132" w:rsidRPr="00E77132">
          <w:rPr>
            <w:noProof/>
            <w:webHidden/>
          </w:rPr>
          <w:fldChar w:fldCharType="separate"/>
        </w:r>
        <w:r w:rsidR="00E77132" w:rsidRPr="00E77132">
          <w:rPr>
            <w:noProof/>
            <w:webHidden/>
          </w:rPr>
          <w:t>17</w:t>
        </w:r>
        <w:r w:rsidR="00E77132" w:rsidRPr="00E77132">
          <w:rPr>
            <w:noProof/>
            <w:webHidden/>
          </w:rPr>
          <w:fldChar w:fldCharType="end"/>
        </w:r>
      </w:hyperlink>
    </w:p>
    <w:p w14:paraId="747ED592" w14:textId="378D8173" w:rsidR="00E77132" w:rsidRPr="00E77132" w:rsidRDefault="00322A00">
      <w:pPr>
        <w:pStyle w:val="TableofFigures"/>
        <w:tabs>
          <w:tab w:val="right" w:leader="dot" w:pos="9350"/>
        </w:tabs>
        <w:rPr>
          <w:rFonts w:eastAsiaTheme="minorEastAsia"/>
          <w:noProof/>
        </w:rPr>
      </w:pPr>
      <w:hyperlink w:anchor="_Toc71725963" w:history="1">
        <w:r w:rsidR="00E77132" w:rsidRPr="00E77132">
          <w:rPr>
            <w:rStyle w:val="Hyperlink"/>
            <w:noProof/>
          </w:rPr>
          <w:t>Table 6: FGS Revenue and Expenditure Outturn, first quarter 2020 and 2021</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_Toc71725963 \h </w:instrText>
        </w:r>
        <w:r w:rsidR="00E77132" w:rsidRPr="00E77132">
          <w:rPr>
            <w:noProof/>
            <w:webHidden/>
          </w:rPr>
        </w:r>
        <w:r w:rsidR="00E77132" w:rsidRPr="00E77132">
          <w:rPr>
            <w:noProof/>
            <w:webHidden/>
          </w:rPr>
          <w:fldChar w:fldCharType="separate"/>
        </w:r>
        <w:r w:rsidR="00E77132" w:rsidRPr="00E77132">
          <w:rPr>
            <w:noProof/>
            <w:webHidden/>
          </w:rPr>
          <w:t>25</w:t>
        </w:r>
        <w:r w:rsidR="00E77132" w:rsidRPr="00E77132">
          <w:rPr>
            <w:noProof/>
            <w:webHidden/>
          </w:rPr>
          <w:fldChar w:fldCharType="end"/>
        </w:r>
      </w:hyperlink>
    </w:p>
    <w:p w14:paraId="40D435A7" w14:textId="7115C1AC" w:rsidR="00E77132" w:rsidRPr="00E77132" w:rsidRDefault="00322A00">
      <w:pPr>
        <w:pStyle w:val="TableofFigures"/>
        <w:tabs>
          <w:tab w:val="right" w:leader="dot" w:pos="9350"/>
        </w:tabs>
        <w:rPr>
          <w:rFonts w:eastAsiaTheme="minorEastAsia"/>
          <w:noProof/>
        </w:rPr>
      </w:pPr>
      <w:hyperlink w:anchor="_Toc71725964" w:history="1">
        <w:r w:rsidR="00E77132" w:rsidRPr="00E77132">
          <w:rPr>
            <w:rStyle w:val="Hyperlink"/>
            <w:noProof/>
            <w:lang w:eastAsia="ja-JP"/>
          </w:rPr>
          <w:t>Table 7: Summary of Recommended Actions in the Short and Medium Term</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_Toc71725964 \h </w:instrText>
        </w:r>
        <w:r w:rsidR="00E77132" w:rsidRPr="00E77132">
          <w:rPr>
            <w:noProof/>
            <w:webHidden/>
          </w:rPr>
        </w:r>
        <w:r w:rsidR="00E77132" w:rsidRPr="00E77132">
          <w:rPr>
            <w:noProof/>
            <w:webHidden/>
          </w:rPr>
          <w:fldChar w:fldCharType="separate"/>
        </w:r>
        <w:r w:rsidR="00E77132" w:rsidRPr="00E77132">
          <w:rPr>
            <w:noProof/>
            <w:webHidden/>
          </w:rPr>
          <w:t>56</w:t>
        </w:r>
        <w:r w:rsidR="00E77132" w:rsidRPr="00E77132">
          <w:rPr>
            <w:noProof/>
            <w:webHidden/>
          </w:rPr>
          <w:fldChar w:fldCharType="end"/>
        </w:r>
      </w:hyperlink>
    </w:p>
    <w:p w14:paraId="62D155EF" w14:textId="77777777" w:rsidR="00954115" w:rsidRPr="002F28B7" w:rsidRDefault="00954115" w:rsidP="00954115">
      <w:pPr>
        <w:spacing w:after="0"/>
        <w:rPr>
          <w:rFonts w:asciiTheme="majorHAnsi" w:eastAsiaTheme="majorEastAsia" w:hAnsiTheme="majorHAnsi" w:cstheme="majorBidi"/>
          <w:color w:val="2F5496" w:themeColor="accent1" w:themeShade="BF"/>
          <w:sz w:val="32"/>
          <w:szCs w:val="32"/>
        </w:rPr>
      </w:pPr>
      <w:r w:rsidRPr="002F28B7">
        <w:rPr>
          <w:rFonts w:asciiTheme="majorHAnsi" w:eastAsiaTheme="majorEastAsia" w:hAnsiTheme="majorHAnsi" w:cstheme="majorBidi"/>
          <w:color w:val="2F5496" w:themeColor="accent1" w:themeShade="BF"/>
          <w:sz w:val="32"/>
          <w:szCs w:val="32"/>
        </w:rPr>
        <w:fldChar w:fldCharType="end"/>
      </w:r>
    </w:p>
    <w:p w14:paraId="36A34F8D" w14:textId="77777777" w:rsidR="00E77132" w:rsidRPr="00E77132" w:rsidRDefault="00954115" w:rsidP="00954115">
      <w:pPr>
        <w:spacing w:after="0"/>
        <w:rPr>
          <w:noProof/>
        </w:rPr>
      </w:pPr>
      <w:r w:rsidRPr="002F28B7">
        <w:rPr>
          <w:rFonts w:asciiTheme="majorHAnsi" w:eastAsiaTheme="majorEastAsia" w:hAnsiTheme="majorHAnsi" w:cstheme="majorBidi"/>
          <w:color w:val="2F5496" w:themeColor="accent1" w:themeShade="BF"/>
          <w:sz w:val="32"/>
          <w:szCs w:val="32"/>
        </w:rPr>
        <w:t>Boxes</w:t>
      </w:r>
      <w:r w:rsidRPr="00E77132">
        <w:rPr>
          <w:rFonts w:asciiTheme="majorHAnsi" w:eastAsiaTheme="majorEastAsia" w:hAnsiTheme="majorHAnsi" w:cstheme="majorBidi"/>
          <w:color w:val="2F5496" w:themeColor="accent1" w:themeShade="BF"/>
          <w:sz w:val="32"/>
          <w:szCs w:val="32"/>
        </w:rPr>
        <w:fldChar w:fldCharType="begin"/>
      </w:r>
      <w:r w:rsidRPr="00E77132">
        <w:rPr>
          <w:rFonts w:asciiTheme="majorHAnsi" w:eastAsiaTheme="majorEastAsia" w:hAnsiTheme="majorHAnsi" w:cstheme="majorBidi"/>
          <w:color w:val="2F5496" w:themeColor="accent1" w:themeShade="BF"/>
          <w:sz w:val="32"/>
          <w:szCs w:val="32"/>
        </w:rPr>
        <w:instrText xml:space="preserve"> TOC \h \z \c "Box" </w:instrText>
      </w:r>
      <w:r w:rsidRPr="00E77132">
        <w:rPr>
          <w:rFonts w:asciiTheme="majorHAnsi" w:eastAsiaTheme="majorEastAsia" w:hAnsiTheme="majorHAnsi" w:cstheme="majorBidi"/>
          <w:color w:val="2F5496" w:themeColor="accent1" w:themeShade="BF"/>
          <w:sz w:val="32"/>
          <w:szCs w:val="32"/>
        </w:rPr>
        <w:fldChar w:fldCharType="separate"/>
      </w:r>
    </w:p>
    <w:p w14:paraId="322FACCA" w14:textId="67696868" w:rsidR="00E77132" w:rsidRPr="00E77132" w:rsidRDefault="00322A00">
      <w:pPr>
        <w:pStyle w:val="TableofFigures"/>
        <w:tabs>
          <w:tab w:val="right" w:leader="dot" w:pos="9350"/>
        </w:tabs>
        <w:rPr>
          <w:rFonts w:eastAsiaTheme="minorEastAsia"/>
          <w:noProof/>
        </w:rPr>
      </w:pPr>
      <w:hyperlink w:anchor="_Toc71725965" w:history="1">
        <w:r w:rsidR="00E77132" w:rsidRPr="00E77132">
          <w:rPr>
            <w:rStyle w:val="Hyperlink"/>
            <w:noProof/>
          </w:rPr>
          <w:t>Box 1: FGS proposed tax measures are expected to yield about US$30 million in 2021</w:t>
        </w:r>
        <w:r w:rsidR="00E77132" w:rsidRPr="00E77132">
          <w:rPr>
            <w:noProof/>
            <w:webHidden/>
          </w:rPr>
          <w:tab/>
        </w:r>
        <w:r w:rsidR="00E77132" w:rsidRPr="00E77132">
          <w:rPr>
            <w:noProof/>
            <w:webHidden/>
          </w:rPr>
          <w:fldChar w:fldCharType="begin"/>
        </w:r>
        <w:r w:rsidR="00E77132" w:rsidRPr="00E77132">
          <w:rPr>
            <w:noProof/>
            <w:webHidden/>
          </w:rPr>
          <w:instrText xml:space="preserve"> PAGEREF _Toc71725965 \h </w:instrText>
        </w:r>
        <w:r w:rsidR="00E77132" w:rsidRPr="00E77132">
          <w:rPr>
            <w:noProof/>
            <w:webHidden/>
          </w:rPr>
        </w:r>
        <w:r w:rsidR="00E77132" w:rsidRPr="00E77132">
          <w:rPr>
            <w:noProof/>
            <w:webHidden/>
          </w:rPr>
          <w:fldChar w:fldCharType="separate"/>
        </w:r>
        <w:r w:rsidR="00E77132" w:rsidRPr="00E77132">
          <w:rPr>
            <w:noProof/>
            <w:webHidden/>
          </w:rPr>
          <w:t>23</w:t>
        </w:r>
        <w:r w:rsidR="00E77132" w:rsidRPr="00E77132">
          <w:rPr>
            <w:noProof/>
            <w:webHidden/>
          </w:rPr>
          <w:fldChar w:fldCharType="end"/>
        </w:r>
      </w:hyperlink>
    </w:p>
    <w:p w14:paraId="47CA1884" w14:textId="1AB38CA4" w:rsidR="00954115" w:rsidRPr="00E77132" w:rsidRDefault="00954115">
      <w:pPr>
        <w:rPr>
          <w:rFonts w:asciiTheme="majorHAnsi" w:eastAsiaTheme="majorEastAsia" w:hAnsiTheme="majorHAnsi" w:cstheme="majorBidi"/>
          <w:color w:val="2F5496" w:themeColor="accent1" w:themeShade="BF"/>
          <w:sz w:val="32"/>
          <w:szCs w:val="32"/>
        </w:rPr>
      </w:pPr>
      <w:r w:rsidRPr="00E77132">
        <w:rPr>
          <w:rFonts w:asciiTheme="majorHAnsi" w:eastAsiaTheme="majorEastAsia" w:hAnsiTheme="majorHAnsi" w:cstheme="majorBidi"/>
          <w:color w:val="2F5496" w:themeColor="accent1" w:themeShade="BF"/>
          <w:sz w:val="32"/>
          <w:szCs w:val="32"/>
        </w:rPr>
        <w:fldChar w:fldCharType="end"/>
      </w:r>
      <w:r w:rsidRPr="00E77132">
        <w:rPr>
          <w:rFonts w:asciiTheme="majorHAnsi" w:eastAsiaTheme="majorEastAsia" w:hAnsiTheme="majorHAnsi" w:cstheme="majorBidi"/>
          <w:color w:val="2F5496" w:themeColor="accent1" w:themeShade="BF"/>
          <w:sz w:val="32"/>
          <w:szCs w:val="32"/>
        </w:rPr>
        <w:br w:type="page"/>
      </w:r>
    </w:p>
    <w:p w14:paraId="63B29384" w14:textId="78BC9472" w:rsidR="00271A0A" w:rsidRPr="008E6ED9" w:rsidRDefault="00271A0A" w:rsidP="008E6ED9">
      <w:pPr>
        <w:pStyle w:val="Heading1"/>
        <w:spacing w:after="120"/>
        <w:jc w:val="center"/>
      </w:pPr>
      <w:bookmarkStart w:id="0" w:name="_Toc71725877"/>
      <w:r w:rsidRPr="008E6ED9">
        <w:lastRenderedPageBreak/>
        <w:t>Executive Summary</w:t>
      </w:r>
      <w:bookmarkEnd w:id="0"/>
    </w:p>
    <w:p w14:paraId="54D21827" w14:textId="45AFADD7" w:rsidR="00271A0A" w:rsidRDefault="00271A0A" w:rsidP="00271A0A">
      <w:pPr>
        <w:jc w:val="both"/>
        <w:rPr>
          <w:rFonts w:cs="Adobe Garamond Pro"/>
          <w:color w:val="000000"/>
        </w:rPr>
      </w:pPr>
      <w:r w:rsidRPr="00C42064">
        <w:rPr>
          <w:rFonts w:cs="Adobe Garamond Pro"/>
          <w:b/>
          <w:bCs/>
          <w:color w:val="000000"/>
        </w:rPr>
        <w:t>Somalia is still contending with an unprecedented health and economic crisis which began in 2020.</w:t>
      </w:r>
      <w:r w:rsidRPr="00C42064">
        <w:rPr>
          <w:rFonts w:cs="Adobe Garamond Pro"/>
          <w:color w:val="000000"/>
        </w:rPr>
        <w:t xml:space="preserve"> The COVID-19 pandemic forced a national lockdown and mobility restriction</w:t>
      </w:r>
      <w:r w:rsidR="002144BA" w:rsidRPr="008E6ED9">
        <w:rPr>
          <w:rFonts w:cs="Adobe Garamond Pro"/>
          <w:color w:val="000000"/>
        </w:rPr>
        <w:t>s</w:t>
      </w:r>
      <w:r w:rsidRPr="008E6ED9">
        <w:rPr>
          <w:rFonts w:cs="Adobe Garamond Pro"/>
          <w:color w:val="000000"/>
        </w:rPr>
        <w:t xml:space="preserve"> which had deleterious effect on the economy prompting a contraction. The containment measures implemented in 2020 were economically costly and</w:t>
      </w:r>
      <w:r w:rsidRPr="008E6ED9">
        <w:t xml:space="preserve"> plunged the vulnerable groups, such as the poor, informal sector workers, women, and youth, suffering disproportionately from reduced opportunities. Under the COVAX</w:t>
      </w:r>
      <w:r w:rsidRPr="00C42064">
        <w:rPr>
          <w:rFonts w:cstheme="minorHAnsi"/>
          <w:color w:val="000000"/>
        </w:rPr>
        <w:t xml:space="preserve"> facility, the country has received 300,000 </w:t>
      </w:r>
      <w:r w:rsidR="00B04445" w:rsidRPr="008E6ED9">
        <w:rPr>
          <w:rFonts w:cstheme="minorHAnsi"/>
          <w:color w:val="000000"/>
        </w:rPr>
        <w:t>doses</w:t>
      </w:r>
      <w:r w:rsidRPr="008E6ED9">
        <w:rPr>
          <w:rFonts w:cstheme="minorHAnsi"/>
          <w:color w:val="000000"/>
        </w:rPr>
        <w:t xml:space="preserve"> of vaccine to protect frontline workers and elderly </w:t>
      </w:r>
      <w:r w:rsidR="00B04445" w:rsidRPr="008E6ED9">
        <w:rPr>
          <w:rFonts w:cstheme="minorHAnsi"/>
          <w:color w:val="000000"/>
        </w:rPr>
        <w:t>population</w:t>
      </w:r>
      <w:r w:rsidRPr="008E6ED9">
        <w:rPr>
          <w:rFonts w:cstheme="minorHAnsi"/>
          <w:color w:val="000000"/>
        </w:rPr>
        <w:t xml:space="preserve"> with chronic health conditions from COVID</w:t>
      </w:r>
      <w:r w:rsidR="00B04445" w:rsidRPr="008E6ED9">
        <w:rPr>
          <w:rFonts w:cstheme="minorHAnsi"/>
          <w:color w:val="000000"/>
        </w:rPr>
        <w:t>-</w:t>
      </w:r>
      <w:r w:rsidRPr="008E6ED9">
        <w:rPr>
          <w:rFonts w:cstheme="minorHAnsi"/>
          <w:color w:val="000000"/>
        </w:rPr>
        <w:t xml:space="preserve">19. However, vaccine hesitancy, </w:t>
      </w:r>
      <w:r w:rsidRPr="008E6ED9">
        <w:rPr>
          <w:rFonts w:cs="Adobe Garamond Pro"/>
          <w:color w:val="000000"/>
        </w:rPr>
        <w:t xml:space="preserve">the weak and </w:t>
      </w:r>
      <w:r w:rsidR="00B04445" w:rsidRPr="008E6ED9">
        <w:rPr>
          <w:rFonts w:cs="Adobe Garamond Pro"/>
          <w:color w:val="000000"/>
        </w:rPr>
        <w:t>over</w:t>
      </w:r>
      <w:r w:rsidRPr="008E6ED9">
        <w:rPr>
          <w:rFonts w:cs="Adobe Garamond Pro"/>
          <w:color w:val="000000"/>
        </w:rPr>
        <w:t>stretched health</w:t>
      </w:r>
      <w:r w:rsidR="00B04445" w:rsidRPr="008E6ED9">
        <w:rPr>
          <w:rFonts w:cs="Adobe Garamond Pro"/>
          <w:color w:val="000000"/>
        </w:rPr>
        <w:t>care</w:t>
      </w:r>
      <w:r w:rsidRPr="008E6ED9">
        <w:rPr>
          <w:rFonts w:cs="Adobe Garamond Pro"/>
          <w:color w:val="000000"/>
        </w:rPr>
        <w:t xml:space="preserve"> system, and poor distribution infrastructure given the fragile environment</w:t>
      </w:r>
      <w:r w:rsidR="00B04445" w:rsidRPr="008E6ED9">
        <w:rPr>
          <w:rFonts w:cs="Adobe Garamond Pro"/>
          <w:color w:val="000000"/>
        </w:rPr>
        <w:t>, are</w:t>
      </w:r>
      <w:r w:rsidRPr="008E6ED9">
        <w:rPr>
          <w:rFonts w:cs="Adobe Garamond Pro"/>
          <w:color w:val="000000"/>
        </w:rPr>
        <w:t xml:space="preserve"> hampering the vaccine rollout. As such Somalia will struggle to reach herd immunity before the end of 2023, leaving them exposed to new, more virulent strains of the disease, and raising the prospect that COVID-19 will become a permanent, endemic problem across the country.</w:t>
      </w:r>
    </w:p>
    <w:p w14:paraId="1A9B22A0" w14:textId="56D7EE38" w:rsidR="003807FB" w:rsidRPr="00045867" w:rsidRDefault="003807FB" w:rsidP="00135976">
      <w:pPr>
        <w:jc w:val="both"/>
      </w:pPr>
      <w:r>
        <w:rPr>
          <w:b/>
          <w:bCs/>
        </w:rPr>
        <w:t>Somalia’s</w:t>
      </w:r>
      <w:r w:rsidRPr="00045867">
        <w:rPr>
          <w:b/>
          <w:bCs/>
        </w:rPr>
        <w:t xml:space="preserve"> economy contracted by </w:t>
      </w:r>
      <w:r>
        <w:rPr>
          <w:b/>
          <w:bCs/>
        </w:rPr>
        <w:t xml:space="preserve">an estimated </w:t>
      </w:r>
      <w:r w:rsidRPr="00045867">
        <w:rPr>
          <w:b/>
          <w:bCs/>
        </w:rPr>
        <w:t xml:space="preserve">0.4 percent in 2020, </w:t>
      </w:r>
      <w:r w:rsidRPr="00045867">
        <w:t xml:space="preserve">less severe than </w:t>
      </w:r>
      <w:r>
        <w:t xml:space="preserve">the 1.5 percent decline forecast in the 2020 </w:t>
      </w:r>
      <w:r w:rsidRPr="00D40BC6">
        <w:rPr>
          <w:i/>
          <w:iCs/>
        </w:rPr>
        <w:t>Somalia Economic Update</w:t>
      </w:r>
      <w:r>
        <w:t xml:space="preserve">. </w:t>
      </w:r>
      <w:r w:rsidRPr="00045867">
        <w:t xml:space="preserve">The Somalia economy performed better than expected </w:t>
      </w:r>
      <w:proofErr w:type="gramStart"/>
      <w:r w:rsidRPr="00045867">
        <w:t>as a result of</w:t>
      </w:r>
      <w:proofErr w:type="gramEnd"/>
      <w:r w:rsidR="00F557E5">
        <w:t xml:space="preserve"> official aid flows,</w:t>
      </w:r>
      <w:r w:rsidRPr="00045867">
        <w:t xml:space="preserve"> fiscal policy measures put in place by the government to aid businesses</w:t>
      </w:r>
      <w:r>
        <w:t>,</w:t>
      </w:r>
      <w:r w:rsidRPr="00045867">
        <w:t xml:space="preserve"> and social protection measures </w:t>
      </w:r>
      <w:r>
        <w:t>cushion</w:t>
      </w:r>
      <w:r w:rsidRPr="00045867">
        <w:t xml:space="preserve"> vulnerable households. </w:t>
      </w:r>
      <w:r w:rsidR="007F0AE5">
        <w:t>M</w:t>
      </w:r>
      <w:r w:rsidRPr="00045867">
        <w:t xml:space="preserve">uch of </w:t>
      </w:r>
      <w:r w:rsidR="007F0AE5">
        <w:t xml:space="preserve">the economic contraction </w:t>
      </w:r>
      <w:r w:rsidRPr="00045867">
        <w:t xml:space="preserve">occurred in the second and third quarter. </w:t>
      </w:r>
      <w:r w:rsidR="005755E9">
        <w:t xml:space="preserve">Economic </w:t>
      </w:r>
      <w:r w:rsidR="00D65758">
        <w:t>activities were</w:t>
      </w:r>
      <w:r>
        <w:t xml:space="preserve"> supported by </w:t>
      </w:r>
      <w:r w:rsidRPr="00045867">
        <w:t xml:space="preserve">stronger-than-expected recovery </w:t>
      </w:r>
      <w:r>
        <w:t xml:space="preserve">with </w:t>
      </w:r>
      <w:r w:rsidRPr="00045867">
        <w:t xml:space="preserve">the easing </w:t>
      </w:r>
      <w:r>
        <w:t>COVID-19 containment measures</w:t>
      </w:r>
      <w:r w:rsidRPr="00045867">
        <w:t xml:space="preserve"> in August 2020 and rising credit to the private sector.</w:t>
      </w:r>
      <w:r w:rsidR="00135976">
        <w:t xml:space="preserve"> Even though official data from the Central Bank shows that r</w:t>
      </w:r>
      <w:r w:rsidRPr="00045867">
        <w:t xml:space="preserve">emittance inflows </w:t>
      </w:r>
      <w:r>
        <w:t>rose</w:t>
      </w:r>
      <w:r w:rsidRPr="00045867">
        <w:t xml:space="preserve"> y-o-y by an estimated 18 per-cent in 2020</w:t>
      </w:r>
      <w:r>
        <w:t>,</w:t>
      </w:r>
      <w:r w:rsidRPr="00045867">
        <w:t xml:space="preserve"> largely due to improvements in the recording of official flows</w:t>
      </w:r>
      <w:r w:rsidR="00135976">
        <w:t xml:space="preserve">, </w:t>
      </w:r>
      <w:r w:rsidR="00905239">
        <w:t>d</w:t>
      </w:r>
      <w:r w:rsidR="00135976">
        <w:t xml:space="preserve">ata from the Somalia High Frequency Poverty </w:t>
      </w:r>
      <w:r w:rsidR="00EB280B">
        <w:t>S</w:t>
      </w:r>
      <w:r w:rsidR="00135976">
        <w:t>urvey show the frequency and the amount of remittances flows declined for households by 20 and 31 percent respectively.</w:t>
      </w:r>
      <w:r w:rsidRPr="00FF701C">
        <w:t xml:space="preserve">. </w:t>
      </w:r>
      <w:r w:rsidRPr="00045867">
        <w:t>Remittances</w:t>
      </w:r>
      <w:r>
        <w:t xml:space="preserve"> provide an important source of financing for household consumption, business investment, and imports</w:t>
      </w:r>
      <w:r w:rsidRPr="00045867">
        <w:t xml:space="preserve"> i</w:t>
      </w:r>
      <w:r>
        <w:t>n</w:t>
      </w:r>
      <w:r w:rsidRPr="00045867">
        <w:t xml:space="preserve"> Somalia</w:t>
      </w:r>
      <w:r>
        <w:t xml:space="preserve">, and historically they have been </w:t>
      </w:r>
      <w:r w:rsidRPr="00FF701C">
        <w:t>tightly linked to global</w:t>
      </w:r>
      <w:r>
        <w:t xml:space="preserve"> economic</w:t>
      </w:r>
      <w:r w:rsidRPr="00FF701C">
        <w:t xml:space="preserve"> </w:t>
      </w:r>
      <w:r>
        <w:t>performance</w:t>
      </w:r>
      <w:r w:rsidRPr="00045867">
        <w:t>.</w:t>
      </w:r>
      <w:r w:rsidRPr="00FF701C">
        <w:t xml:space="preserve"> </w:t>
      </w:r>
    </w:p>
    <w:p w14:paraId="17417838" w14:textId="77777777" w:rsidR="00271A0A" w:rsidRPr="008E6ED9" w:rsidRDefault="00271A0A" w:rsidP="00271A0A">
      <w:pPr>
        <w:jc w:val="both"/>
        <w:rPr>
          <w:rFonts w:asciiTheme="majorHAnsi" w:eastAsiaTheme="majorEastAsia" w:hAnsiTheme="majorHAnsi" w:cstheme="majorBidi"/>
          <w:color w:val="2F5496" w:themeColor="accent1" w:themeShade="BF"/>
          <w:sz w:val="26"/>
          <w:szCs w:val="26"/>
        </w:rPr>
      </w:pPr>
      <w:r w:rsidRPr="008E6ED9">
        <w:rPr>
          <w:rFonts w:asciiTheme="majorHAnsi" w:eastAsiaTheme="majorEastAsia" w:hAnsiTheme="majorHAnsi" w:cstheme="majorBidi"/>
          <w:color w:val="2F5496" w:themeColor="accent1" w:themeShade="BF"/>
          <w:sz w:val="26"/>
          <w:szCs w:val="26"/>
        </w:rPr>
        <w:t>Medium outlook and risks</w:t>
      </w:r>
    </w:p>
    <w:p w14:paraId="023A0525" w14:textId="6551F409" w:rsidR="00720A29" w:rsidRPr="00271A0A" w:rsidRDefault="00720A29" w:rsidP="008E6ED9">
      <w:pPr>
        <w:autoSpaceDE w:val="0"/>
        <w:autoSpaceDN w:val="0"/>
        <w:adjustRightInd w:val="0"/>
        <w:spacing w:after="120"/>
        <w:jc w:val="both"/>
      </w:pPr>
      <w:r w:rsidRPr="00DA737F">
        <w:rPr>
          <w:b/>
          <w:bCs/>
        </w:rPr>
        <w:t xml:space="preserve">The economy is expected to enjoy a moderate recovery over the medium term. </w:t>
      </w:r>
      <w:r w:rsidRPr="00DA737F">
        <w:t>Real GDP is forecast to grow by 2.4 percent in 2021</w:t>
      </w:r>
      <w:r>
        <w:t xml:space="preserve"> in the baseline scenario, accelerating slightly </w:t>
      </w:r>
      <w:r w:rsidRPr="00023DBB">
        <w:t>in 2022</w:t>
      </w:r>
      <w:r>
        <w:t>–</w:t>
      </w:r>
      <w:r w:rsidRPr="00023DBB">
        <w:t>23</w:t>
      </w:r>
      <w:r>
        <w:t xml:space="preserve">. </w:t>
      </w:r>
      <w:r>
        <w:rPr>
          <w:rFonts w:cs="Calibri"/>
        </w:rPr>
        <w:t>A</w:t>
      </w:r>
      <w:r w:rsidRPr="00023DBB">
        <w:rPr>
          <w:rFonts w:cs="Calibri"/>
        </w:rPr>
        <w:t xml:space="preserve">s economic activities </w:t>
      </w:r>
      <w:r w:rsidR="00CB0249">
        <w:rPr>
          <w:rFonts w:cs="Calibri"/>
        </w:rPr>
        <w:t>gain</w:t>
      </w:r>
      <w:r>
        <w:rPr>
          <w:rFonts w:cs="Calibri"/>
        </w:rPr>
        <w:t xml:space="preserve"> momentum, growth will </w:t>
      </w:r>
      <w:r w:rsidRPr="00023DBB">
        <w:rPr>
          <w:rFonts w:cs="Calibri"/>
        </w:rPr>
        <w:t>reach pre-C</w:t>
      </w:r>
      <w:r>
        <w:rPr>
          <w:rFonts w:cs="Calibri"/>
        </w:rPr>
        <w:t>OVID</w:t>
      </w:r>
      <w:r w:rsidRPr="00023DBB">
        <w:rPr>
          <w:rFonts w:cs="Calibri"/>
        </w:rPr>
        <w:t xml:space="preserve">-19 levels of 3.2 percent in 2023. The baseline scenario assumes Somalia will </w:t>
      </w:r>
      <w:r>
        <w:rPr>
          <w:rFonts w:cs="Calibri"/>
        </w:rPr>
        <w:t>weather</w:t>
      </w:r>
      <w:r w:rsidRPr="00023DBB">
        <w:rPr>
          <w:rFonts w:cs="Calibri"/>
        </w:rPr>
        <w:t xml:space="preserve"> the pandemic </w:t>
      </w:r>
      <w:r>
        <w:rPr>
          <w:rFonts w:cs="Calibri"/>
        </w:rPr>
        <w:t>without the need to reimpose</w:t>
      </w:r>
      <w:r w:rsidRPr="00023DBB">
        <w:rPr>
          <w:rFonts w:cs="Calibri"/>
        </w:rPr>
        <w:t xml:space="preserve"> </w:t>
      </w:r>
      <w:r>
        <w:rPr>
          <w:rFonts w:cs="Calibri"/>
        </w:rPr>
        <w:t>the stringent</w:t>
      </w:r>
      <w:r w:rsidRPr="00023DBB">
        <w:rPr>
          <w:rFonts w:cs="Calibri"/>
        </w:rPr>
        <w:t xml:space="preserve"> lockdowns and serious travel restriction </w:t>
      </w:r>
      <w:r>
        <w:rPr>
          <w:rFonts w:cs="Calibri"/>
        </w:rPr>
        <w:t>that</w:t>
      </w:r>
      <w:r w:rsidRPr="00023DBB">
        <w:rPr>
          <w:rFonts w:cs="Calibri"/>
        </w:rPr>
        <w:t xml:space="preserve"> were lifted in August 2020</w:t>
      </w:r>
      <w:r>
        <w:rPr>
          <w:rFonts w:cs="Calibri"/>
        </w:rPr>
        <w:t>. It assumes a slow update of vaccinations due to hesitancy (even though vaccines are available under COVAX facility)</w:t>
      </w:r>
      <w:r w:rsidRPr="00023DBB">
        <w:rPr>
          <w:rFonts w:cs="Calibri"/>
        </w:rPr>
        <w:t>.</w:t>
      </w:r>
      <w:r>
        <w:rPr>
          <w:rStyle w:val="FootnoteReference"/>
          <w:rFonts w:cs="Calibri"/>
        </w:rPr>
        <w:footnoteReference w:id="2"/>
      </w:r>
      <w:r w:rsidRPr="00023DBB">
        <w:rPr>
          <w:rFonts w:cs="Calibri"/>
        </w:rPr>
        <w:t xml:space="preserve"> </w:t>
      </w:r>
      <w:r w:rsidRPr="00023DBB">
        <w:t>It assumes a g</w:t>
      </w:r>
      <w:r w:rsidRPr="008255AD">
        <w:t>radual pick-up in economic activities</w:t>
      </w:r>
      <w:r w:rsidRPr="00023DBB">
        <w:t xml:space="preserve"> and b</w:t>
      </w:r>
      <w:r w:rsidRPr="008255AD">
        <w:t>usinesses and firms gradually return to their normal levels of sales</w:t>
      </w:r>
      <w:r>
        <w:t>—</w:t>
      </w:r>
      <w:r w:rsidRPr="008255AD">
        <w:t>enabling steady recovery</w:t>
      </w:r>
      <w:r w:rsidRPr="00023DBB">
        <w:t>. It also assume</w:t>
      </w:r>
      <w:r>
        <w:t>s</w:t>
      </w:r>
      <w:r w:rsidRPr="00023DBB">
        <w:t xml:space="preserve"> that there is c</w:t>
      </w:r>
      <w:r w:rsidRPr="008255AD">
        <w:t xml:space="preserve">ontinued support to firms </w:t>
      </w:r>
      <w:r>
        <w:t>and</w:t>
      </w:r>
      <w:r w:rsidRPr="008255AD">
        <w:t xml:space="preserve"> vulnerable households through </w:t>
      </w:r>
      <w:r>
        <w:t xml:space="preserve">the </w:t>
      </w:r>
      <w:proofErr w:type="spellStart"/>
      <w:r w:rsidRPr="009D61DE">
        <w:t>Garg</w:t>
      </w:r>
      <w:r>
        <w:t>a</w:t>
      </w:r>
      <w:r w:rsidRPr="009D61DE">
        <w:t>ara</w:t>
      </w:r>
      <w:proofErr w:type="spellEnd"/>
      <w:r w:rsidRPr="009D61DE">
        <w:t xml:space="preserve"> lending facility </w:t>
      </w:r>
      <w:r>
        <w:t xml:space="preserve">and </w:t>
      </w:r>
      <w:proofErr w:type="spellStart"/>
      <w:r w:rsidRPr="008255AD">
        <w:t>Baxnaano</w:t>
      </w:r>
      <w:proofErr w:type="spellEnd"/>
      <w:r>
        <w:t xml:space="preserve"> programs. </w:t>
      </w:r>
      <w:r w:rsidR="00135976">
        <w:t>Growth</w:t>
      </w:r>
      <w:r w:rsidR="00135976" w:rsidRPr="008255AD">
        <w:t xml:space="preserve"> </w:t>
      </w:r>
      <w:r w:rsidRPr="008255AD">
        <w:t>in remittances will help firms' recovery and boost households' incomes</w:t>
      </w:r>
      <w:r w:rsidRPr="00023DBB">
        <w:t xml:space="preserve"> and </w:t>
      </w:r>
      <w:r w:rsidR="00135976">
        <w:t xml:space="preserve">livestock </w:t>
      </w:r>
      <w:r w:rsidRPr="008255AD">
        <w:t>export demand</w:t>
      </w:r>
      <w:r>
        <w:t xml:space="preserve"> will rebound</w:t>
      </w:r>
      <w:r w:rsidRPr="00023DBB">
        <w:t xml:space="preserve">. </w:t>
      </w:r>
      <w:r w:rsidRPr="00023DBB">
        <w:rPr>
          <w:rFonts w:cs="Calibri"/>
        </w:rPr>
        <w:t>It also assumes no further climatic shocks affecting mainly the agricultural sector during this period.</w:t>
      </w:r>
    </w:p>
    <w:p w14:paraId="504525A4" w14:textId="09CB6025" w:rsidR="00367E10" w:rsidRDefault="00565188" w:rsidP="00565188">
      <w:pPr>
        <w:autoSpaceDE w:val="0"/>
        <w:autoSpaceDN w:val="0"/>
        <w:adjustRightInd w:val="0"/>
        <w:spacing w:after="120"/>
        <w:jc w:val="both"/>
        <w:rPr>
          <w:rFonts w:eastAsia="Calibri-Bold" w:cs="Calibri"/>
          <w:color w:val="000000"/>
        </w:rPr>
      </w:pPr>
      <w:r w:rsidRPr="00CE0649">
        <w:rPr>
          <w:rFonts w:eastAsia="Calibri-Bold" w:cs="Calibri-Bold"/>
          <w:b/>
          <w:bCs/>
          <w:color w:val="000000" w:themeColor="text1"/>
        </w:rPr>
        <w:t xml:space="preserve">In the downside scenario, </w:t>
      </w:r>
      <w:r>
        <w:rPr>
          <w:rFonts w:eastAsia="Calibri-Bold" w:cs="Calibri-Bold"/>
          <w:b/>
          <w:bCs/>
          <w:color w:val="000000" w:themeColor="text1"/>
        </w:rPr>
        <w:t>the economy would grow at</w:t>
      </w:r>
      <w:r w:rsidRPr="00CE0649">
        <w:rPr>
          <w:rFonts w:eastAsia="Calibri-Bold" w:cs="Calibri-Bold"/>
          <w:b/>
          <w:bCs/>
          <w:color w:val="000000" w:themeColor="text1"/>
        </w:rPr>
        <w:t xml:space="preserve"> </w:t>
      </w:r>
      <w:r>
        <w:rPr>
          <w:rFonts w:eastAsia="Calibri-Bold" w:cs="Calibri-Bold"/>
          <w:b/>
          <w:bCs/>
          <w:color w:val="000000" w:themeColor="text1"/>
        </w:rPr>
        <w:t>1.1</w:t>
      </w:r>
      <w:r w:rsidRPr="00CE0649">
        <w:rPr>
          <w:rFonts w:eastAsia="Calibri-Bold" w:cs="Calibri-Bold"/>
          <w:b/>
          <w:bCs/>
          <w:color w:val="000000" w:themeColor="text1"/>
        </w:rPr>
        <w:t xml:space="preserve"> percent in 202</w:t>
      </w:r>
      <w:r>
        <w:rPr>
          <w:rFonts w:eastAsia="Calibri-Bold" w:cs="Calibri-Bold"/>
          <w:b/>
          <w:bCs/>
          <w:color w:val="000000" w:themeColor="text1"/>
        </w:rPr>
        <w:t xml:space="preserve">1, increasing to only 2.2 </w:t>
      </w:r>
      <w:r w:rsidRPr="00CE0649">
        <w:rPr>
          <w:rFonts w:eastAsia="Calibri-Bold" w:cs="Calibri-Bold"/>
          <w:b/>
          <w:bCs/>
          <w:color w:val="000000" w:themeColor="text1"/>
        </w:rPr>
        <w:t xml:space="preserve">percent </w:t>
      </w:r>
      <w:r>
        <w:rPr>
          <w:rFonts w:eastAsia="Calibri-Bold" w:cs="Calibri-Bold"/>
          <w:b/>
          <w:bCs/>
          <w:color w:val="000000" w:themeColor="text1"/>
        </w:rPr>
        <w:t>in 2023</w:t>
      </w:r>
      <w:r w:rsidRPr="00CE0649">
        <w:rPr>
          <w:rFonts w:eastAsia="Calibri-Bold" w:cs="Calibri-Bold"/>
          <w:b/>
          <w:bCs/>
          <w:color w:val="000000" w:themeColor="text1"/>
        </w:rPr>
        <w:t xml:space="preserve">. </w:t>
      </w:r>
      <w:r w:rsidRPr="008E6ED9">
        <w:rPr>
          <w:rFonts w:eastAsia="Calibri-Bold" w:cs="Calibri-Bold"/>
          <w:color w:val="000000" w:themeColor="text1"/>
        </w:rPr>
        <w:t xml:space="preserve">This </w:t>
      </w:r>
      <w:r>
        <w:rPr>
          <w:rFonts w:eastAsia="Calibri-Bold" w:cs="Calibri-Bold"/>
          <w:color w:val="000000" w:themeColor="text1"/>
        </w:rPr>
        <w:t>is premised</w:t>
      </w:r>
      <w:r w:rsidRPr="008E6ED9">
        <w:rPr>
          <w:rFonts w:eastAsia="Calibri-Bold" w:cs="Calibri-Bold"/>
          <w:color w:val="000000" w:themeColor="text1"/>
        </w:rPr>
        <w:t xml:space="preserve"> on </w:t>
      </w:r>
      <w:r>
        <w:rPr>
          <w:rFonts w:eastAsia="Calibri-Bold" w:cs="Calibri-Bold"/>
          <w:color w:val="000000" w:themeColor="text1"/>
        </w:rPr>
        <w:t xml:space="preserve">an </w:t>
      </w:r>
      <w:r w:rsidRPr="008E6ED9">
        <w:rPr>
          <w:rFonts w:eastAsia="Calibri-Bold" w:cs="Calibri-Bold"/>
          <w:color w:val="000000" w:themeColor="text1"/>
        </w:rPr>
        <w:t xml:space="preserve">upsurge in COVID-19 cases, </w:t>
      </w:r>
      <w:r w:rsidRPr="0053615E">
        <w:rPr>
          <w:rFonts w:eastAsia="Calibri-Bold" w:cs="Calibri-Bold"/>
          <w:color w:val="000000" w:themeColor="text1"/>
        </w:rPr>
        <w:t>suppressed</w:t>
      </w:r>
      <w:r w:rsidRPr="008E6ED9">
        <w:rPr>
          <w:rFonts w:eastAsia="Calibri-Bold" w:cs="Calibri-Bold"/>
          <w:color w:val="000000" w:themeColor="text1"/>
        </w:rPr>
        <w:t xml:space="preserve"> rainfall and prolonged locusts’ threat, </w:t>
      </w:r>
      <w:r>
        <w:rPr>
          <w:rFonts w:eastAsia="Calibri-Bold" w:cs="Calibri-Bold"/>
          <w:color w:val="000000" w:themeColor="text1"/>
        </w:rPr>
        <w:t xml:space="preserve">and </w:t>
      </w:r>
      <w:r w:rsidRPr="008E6ED9">
        <w:rPr>
          <w:rFonts w:eastAsia="Calibri-Bold" w:cs="Calibri-Bold"/>
          <w:color w:val="000000" w:themeColor="text1"/>
        </w:rPr>
        <w:t>deterioration of the political climate.</w:t>
      </w:r>
      <w:r>
        <w:rPr>
          <w:rFonts w:eastAsia="Calibri-Bold" w:cs="Calibri-Bold"/>
          <w:b/>
          <w:bCs/>
          <w:color w:val="000000" w:themeColor="text1"/>
        </w:rPr>
        <w:t xml:space="preserve"> </w:t>
      </w:r>
      <w:r w:rsidR="007A3DB8">
        <w:rPr>
          <w:rFonts w:eastAsia="Calibri-Bold" w:cs="Calibri"/>
          <w:color w:val="000000"/>
        </w:rPr>
        <w:t>T</w:t>
      </w:r>
      <w:r>
        <w:rPr>
          <w:rFonts w:eastAsia="Calibri-Bold" w:cs="Calibri"/>
          <w:color w:val="000000"/>
        </w:rPr>
        <w:t xml:space="preserve">he delaying elections </w:t>
      </w:r>
      <w:r w:rsidR="001E1B0E">
        <w:rPr>
          <w:rFonts w:eastAsia="Calibri-Bold" w:cs="Calibri"/>
          <w:color w:val="000000"/>
        </w:rPr>
        <w:t>beyond 2021</w:t>
      </w:r>
      <w:r w:rsidR="00C94BA0">
        <w:rPr>
          <w:rFonts w:eastAsia="Calibri-Bold" w:cs="Calibri"/>
          <w:color w:val="000000"/>
        </w:rPr>
        <w:t xml:space="preserve"> as constitutionally </w:t>
      </w:r>
      <w:r w:rsidR="00656F27">
        <w:rPr>
          <w:rFonts w:eastAsia="Calibri-Bold" w:cs="Calibri"/>
          <w:color w:val="000000"/>
        </w:rPr>
        <w:lastRenderedPageBreak/>
        <w:t>mandated is</w:t>
      </w:r>
      <w:r>
        <w:rPr>
          <w:rFonts w:eastAsia="Calibri-Bold" w:cs="Calibri"/>
          <w:color w:val="000000"/>
        </w:rPr>
        <w:t xml:space="preserve"> likely to create political tensions leading to</w:t>
      </w:r>
      <w:r w:rsidRPr="00CE0D9A">
        <w:t xml:space="preserve"> </w:t>
      </w:r>
      <w:r>
        <w:rPr>
          <w:rFonts w:eastAsia="Calibri-Bold" w:cs="Calibri"/>
          <w:color w:val="000000"/>
        </w:rPr>
        <w:t>increased in</w:t>
      </w:r>
      <w:r w:rsidRPr="00CE0D9A">
        <w:rPr>
          <w:rFonts w:eastAsia="Calibri-Bold" w:cs="Calibri"/>
          <w:color w:val="000000"/>
        </w:rPr>
        <w:t>security and insurgence activities</w:t>
      </w:r>
      <w:r>
        <w:rPr>
          <w:rFonts w:eastAsia="Calibri-Bold" w:cs="Calibri"/>
          <w:color w:val="000000"/>
        </w:rPr>
        <w:t>. This will affect economic activities and erode business confidence. External assistance is assumed to decline in this scenario</w:t>
      </w:r>
      <w:r w:rsidRPr="00893212">
        <w:rPr>
          <w:rFonts w:eastAsia="Calibri-Bold" w:cs="Calibri"/>
          <w:color w:val="000000"/>
        </w:rPr>
        <w:t>.</w:t>
      </w:r>
      <w:r w:rsidR="00F54405" w:rsidRPr="00893212">
        <w:rPr>
          <w:rFonts w:eastAsia="Calibri-Bold" w:cs="Calibri"/>
          <w:color w:val="000000"/>
        </w:rPr>
        <w:t xml:space="preserve"> </w:t>
      </w:r>
      <w:r w:rsidR="00367E10" w:rsidRPr="001E09E9">
        <w:rPr>
          <w:rFonts w:eastAsia="Calibri-Bold" w:cs="Calibri"/>
          <w:color w:val="000000"/>
        </w:rPr>
        <w:t>In the upside scenario, growth will be more robust, at 2.8 percent in 2021.</w:t>
      </w:r>
      <w:r w:rsidR="00367E10">
        <w:rPr>
          <w:rFonts w:eastAsia="Calibri-Bold" w:cs="Calibri"/>
          <w:b/>
          <w:bCs/>
          <w:color w:val="000000"/>
        </w:rPr>
        <w:t xml:space="preserve"> </w:t>
      </w:r>
      <w:r w:rsidR="00367E10" w:rsidRPr="008E6ED9">
        <w:rPr>
          <w:rFonts w:eastAsia="Calibri-Bold" w:cs="Calibri"/>
          <w:color w:val="000000"/>
        </w:rPr>
        <w:t xml:space="preserve">This </w:t>
      </w:r>
      <w:r w:rsidR="00367E10">
        <w:rPr>
          <w:rFonts w:eastAsia="Calibri-Bold" w:cs="Calibri"/>
          <w:color w:val="000000"/>
        </w:rPr>
        <w:t xml:space="preserve">is </w:t>
      </w:r>
      <w:r w:rsidR="00367E10" w:rsidRPr="008E6ED9">
        <w:rPr>
          <w:rFonts w:eastAsia="Calibri-Bold" w:cs="Calibri"/>
          <w:color w:val="000000"/>
        </w:rPr>
        <w:t>anchored on improved weather conditions, no further COVID-19 restrictions, and the election impasse is resolved</w:t>
      </w:r>
      <w:r w:rsidR="00100298">
        <w:rPr>
          <w:rFonts w:eastAsia="Calibri-Bold" w:cs="Calibri"/>
          <w:color w:val="000000"/>
        </w:rPr>
        <w:t xml:space="preserve"> and held in 2021</w:t>
      </w:r>
      <w:r w:rsidR="00367E10" w:rsidRPr="008E6ED9">
        <w:rPr>
          <w:rFonts w:eastAsia="Calibri-Bold" w:cs="Calibri"/>
          <w:color w:val="000000"/>
        </w:rPr>
        <w:t>.</w:t>
      </w:r>
      <w:r w:rsidR="00367E10">
        <w:rPr>
          <w:rFonts w:eastAsia="Calibri-Bold" w:cs="Calibri"/>
          <w:color w:val="000000"/>
        </w:rPr>
        <w:t xml:space="preserve"> Economic recovery </w:t>
      </w:r>
      <w:r w:rsidR="0057155E">
        <w:rPr>
          <w:rFonts w:eastAsia="Calibri-Bold" w:cs="Calibri"/>
          <w:color w:val="000000"/>
        </w:rPr>
        <w:t xml:space="preserve">will </w:t>
      </w:r>
      <w:r w:rsidR="00367E10">
        <w:rPr>
          <w:rFonts w:eastAsia="Calibri-Bold" w:cs="Calibri"/>
          <w:color w:val="000000"/>
        </w:rPr>
        <w:t>be robust</w:t>
      </w:r>
      <w:r w:rsidR="00367E10" w:rsidRPr="007D39AC">
        <w:rPr>
          <w:rFonts w:eastAsia="Calibri-Bold" w:cs="Calibri"/>
          <w:color w:val="000000"/>
        </w:rPr>
        <w:t xml:space="preserve"> in 2021 </w:t>
      </w:r>
      <w:r w:rsidR="00367E10">
        <w:rPr>
          <w:rFonts w:eastAsia="Calibri-Bold" w:cs="Calibri"/>
          <w:color w:val="000000"/>
        </w:rPr>
        <w:t xml:space="preserve">if rainfall is </w:t>
      </w:r>
      <w:r w:rsidR="00367E10" w:rsidRPr="007D39AC">
        <w:rPr>
          <w:rFonts w:eastAsia="Calibri-Bold" w:cs="Calibri"/>
          <w:color w:val="000000"/>
        </w:rPr>
        <w:t xml:space="preserve">adequate </w:t>
      </w:r>
      <w:r w:rsidR="00367E10">
        <w:rPr>
          <w:rFonts w:eastAsia="Calibri-Bold" w:cs="Calibri"/>
          <w:color w:val="000000"/>
        </w:rPr>
        <w:t>with less floods</w:t>
      </w:r>
      <w:r w:rsidR="00367E10" w:rsidRPr="007D39AC">
        <w:rPr>
          <w:rFonts w:eastAsia="Calibri-Bold" w:cs="Calibri"/>
          <w:color w:val="000000"/>
        </w:rPr>
        <w:t>, no lockdowns and</w:t>
      </w:r>
      <w:r w:rsidR="00367E10">
        <w:rPr>
          <w:rFonts w:eastAsia="Calibri-Bold" w:cs="Calibri"/>
          <w:color w:val="000000"/>
        </w:rPr>
        <w:t xml:space="preserve"> mobility restrictions, and the current social protection programs are expanded to include vulnerable households in urban areas. As a result, the economy will grow at 3.2 percent and 3.5 percent in 2022 and 2023 respectively.</w:t>
      </w:r>
    </w:p>
    <w:p w14:paraId="40663C53" w14:textId="77777777" w:rsidR="00271A0A" w:rsidRPr="008E6ED9" w:rsidRDefault="00271A0A" w:rsidP="008E6ED9">
      <w:pPr>
        <w:jc w:val="both"/>
        <w:rPr>
          <w:rFonts w:asciiTheme="majorHAnsi" w:eastAsiaTheme="majorEastAsia" w:hAnsiTheme="majorHAnsi" w:cstheme="majorBidi"/>
          <w:color w:val="2F5496" w:themeColor="accent1" w:themeShade="BF"/>
          <w:sz w:val="26"/>
          <w:szCs w:val="26"/>
        </w:rPr>
      </w:pPr>
      <w:r w:rsidRPr="008E6ED9">
        <w:rPr>
          <w:rFonts w:asciiTheme="majorHAnsi" w:eastAsiaTheme="majorEastAsia" w:hAnsiTheme="majorHAnsi" w:cstheme="majorBidi"/>
          <w:color w:val="2F5496" w:themeColor="accent1" w:themeShade="BF"/>
          <w:sz w:val="26"/>
          <w:szCs w:val="26"/>
        </w:rPr>
        <w:t>Policy options for economic recovery</w:t>
      </w:r>
    </w:p>
    <w:p w14:paraId="15A8445E" w14:textId="52A73D20" w:rsidR="008D7742" w:rsidRDefault="008D7742" w:rsidP="008D7742">
      <w:pPr>
        <w:spacing w:after="120"/>
        <w:jc w:val="both"/>
        <w:rPr>
          <w:rFonts w:cs="Adobe Garamond Pro"/>
          <w:color w:val="000000"/>
        </w:rPr>
      </w:pPr>
      <w:r>
        <w:rPr>
          <w:rFonts w:cs="Adobe Garamond Pro"/>
          <w:b/>
          <w:bCs/>
        </w:rPr>
        <w:t xml:space="preserve">The </w:t>
      </w:r>
      <w:r w:rsidRPr="004E5301">
        <w:rPr>
          <w:rFonts w:cs="Adobe Garamond Pro"/>
          <w:b/>
          <w:bCs/>
        </w:rPr>
        <w:t>COVID</w:t>
      </w:r>
      <w:r>
        <w:rPr>
          <w:rFonts w:cs="Adobe Garamond Pro"/>
          <w:b/>
          <w:bCs/>
        </w:rPr>
        <w:t>-</w:t>
      </w:r>
      <w:r w:rsidRPr="004E5301">
        <w:rPr>
          <w:rFonts w:cs="Adobe Garamond Pro"/>
          <w:b/>
          <w:bCs/>
        </w:rPr>
        <w:t xml:space="preserve">19 </w:t>
      </w:r>
      <w:r>
        <w:rPr>
          <w:rFonts w:cs="Adobe Garamond Pro"/>
          <w:b/>
          <w:bCs/>
        </w:rPr>
        <w:t xml:space="preserve">global </w:t>
      </w:r>
      <w:r w:rsidRPr="004E5301">
        <w:rPr>
          <w:rFonts w:cs="Adobe Garamond Pro"/>
          <w:b/>
          <w:bCs/>
        </w:rPr>
        <w:t xml:space="preserve">pandemic exposed the </w:t>
      </w:r>
      <w:r w:rsidR="0022239A">
        <w:rPr>
          <w:rFonts w:cs="Adobe Garamond Pro"/>
          <w:b/>
          <w:bCs/>
        </w:rPr>
        <w:t>costs</w:t>
      </w:r>
      <w:r w:rsidR="0022239A" w:rsidRPr="004E5301">
        <w:rPr>
          <w:rFonts w:cs="Adobe Garamond Pro"/>
          <w:b/>
          <w:bCs/>
        </w:rPr>
        <w:t xml:space="preserve"> </w:t>
      </w:r>
      <w:r w:rsidRPr="004E5301">
        <w:rPr>
          <w:rFonts w:cs="Adobe Garamond Pro"/>
          <w:b/>
          <w:bCs/>
        </w:rPr>
        <w:t xml:space="preserve">of not investing in </w:t>
      </w:r>
      <w:r w:rsidR="009A01A8">
        <w:rPr>
          <w:rFonts w:cs="Adobe Garamond Pro"/>
          <w:b/>
          <w:bCs/>
        </w:rPr>
        <w:t xml:space="preserve">a </w:t>
      </w:r>
      <w:r w:rsidRPr="004E5301">
        <w:rPr>
          <w:rFonts w:cs="Adobe Garamond Pro"/>
          <w:b/>
          <w:bCs/>
        </w:rPr>
        <w:t>public health system.</w:t>
      </w:r>
      <w:r w:rsidRPr="004E5301">
        <w:rPr>
          <w:rFonts w:cs="Adobe Garamond Pro"/>
        </w:rPr>
        <w:t xml:space="preserve"> </w:t>
      </w:r>
      <w:r w:rsidRPr="004E5301">
        <w:rPr>
          <w:rFonts w:cs="Adobe Garamond Pro"/>
          <w:color w:val="000000"/>
        </w:rPr>
        <w:t xml:space="preserve">The near-term economic prospects for the Somalia depend on the pandemic’s path. Added spending to contain the pandemic will necessarily come at the expense of other budget priorities, including vital spending on other key health areas and much-needed capital </w:t>
      </w:r>
      <w:r>
        <w:rPr>
          <w:rFonts w:cs="Adobe Garamond Pro"/>
          <w:color w:val="000000"/>
        </w:rPr>
        <w:t>investment</w:t>
      </w:r>
      <w:r w:rsidRPr="004E5301">
        <w:rPr>
          <w:rFonts w:cs="Adobe Garamond Pro"/>
          <w:color w:val="000000"/>
        </w:rPr>
        <w:t xml:space="preserve">. </w:t>
      </w:r>
      <w:r w:rsidRPr="004E5301">
        <w:rPr>
          <w:rFonts w:cs="Adobe Garamond Pro"/>
        </w:rPr>
        <w:t xml:space="preserve">The need for </w:t>
      </w:r>
      <w:r w:rsidRPr="004E5301">
        <w:rPr>
          <w:rFonts w:cs="Adobe Garamond Pro"/>
          <w:color w:val="000000"/>
        </w:rPr>
        <w:t>add</w:t>
      </w:r>
      <w:r w:rsidRPr="004E5301">
        <w:rPr>
          <w:rFonts w:cs="Adobe Garamond Pro"/>
        </w:rPr>
        <w:t>itional public</w:t>
      </w:r>
      <w:r w:rsidRPr="004E5301">
        <w:rPr>
          <w:rFonts w:cs="Adobe Garamond Pro"/>
          <w:color w:val="000000"/>
        </w:rPr>
        <w:t xml:space="preserve"> spending</w:t>
      </w:r>
      <w:r w:rsidRPr="004E5301">
        <w:rPr>
          <w:rFonts w:cs="Adobe Garamond Pro"/>
        </w:rPr>
        <w:t xml:space="preserve"> on health</w:t>
      </w:r>
      <w:r w:rsidRPr="004E5301">
        <w:rPr>
          <w:rFonts w:cs="Adobe Garamond Pro"/>
          <w:color w:val="000000"/>
        </w:rPr>
        <w:t xml:space="preserve">, not only to scale up the resilience of local health systems </w:t>
      </w:r>
      <w:r w:rsidRPr="004E5301">
        <w:rPr>
          <w:rFonts w:cs="Adobe Garamond Pro"/>
        </w:rPr>
        <w:t>and public infrastructure is key in</w:t>
      </w:r>
      <w:r w:rsidRPr="004E5301">
        <w:rPr>
          <w:rFonts w:cs="Adobe Garamond Pro"/>
          <w:color w:val="000000"/>
        </w:rPr>
        <w:t xml:space="preserve"> support</w:t>
      </w:r>
      <w:r w:rsidRPr="004E5301">
        <w:rPr>
          <w:rFonts w:cs="Adobe Garamond Pro"/>
        </w:rPr>
        <w:t>ing</w:t>
      </w:r>
      <w:r w:rsidRPr="004E5301">
        <w:rPr>
          <w:rFonts w:cs="Adobe Garamond Pro"/>
          <w:color w:val="000000"/>
        </w:rPr>
        <w:t xml:space="preserve"> the testing and tracing, but also to ensure that the logistical, administrative, and financial requirements of mass vaccination are in place. The</w:t>
      </w:r>
      <w:r>
        <w:rPr>
          <w:rFonts w:cs="Adobe Garamond Pro"/>
          <w:color w:val="000000"/>
        </w:rPr>
        <w:t xml:space="preserve"> slower the pace of vaccination </w:t>
      </w:r>
      <w:r w:rsidRPr="004E5301">
        <w:rPr>
          <w:rFonts w:cs="Adobe Garamond Pro"/>
          <w:color w:val="000000"/>
        </w:rPr>
        <w:t>a</w:t>
      </w:r>
      <w:r>
        <w:rPr>
          <w:rFonts w:cs="Adobe Garamond Pro"/>
          <w:color w:val="000000"/>
        </w:rPr>
        <w:t>nd</w:t>
      </w:r>
      <w:r w:rsidRPr="004E5301">
        <w:rPr>
          <w:rFonts w:cs="Adobe Garamond Pro"/>
          <w:color w:val="000000"/>
        </w:rPr>
        <w:t xml:space="preserve"> large</w:t>
      </w:r>
      <w:r>
        <w:rPr>
          <w:rFonts w:cs="Adobe Garamond Pro"/>
          <w:color w:val="000000"/>
        </w:rPr>
        <w:t>r the</w:t>
      </w:r>
      <w:r w:rsidRPr="004E5301">
        <w:rPr>
          <w:rFonts w:cs="Adobe Garamond Pro"/>
          <w:color w:val="000000"/>
        </w:rPr>
        <w:t xml:space="preserve"> </w:t>
      </w:r>
      <w:r>
        <w:rPr>
          <w:rFonts w:cs="Adobe Garamond Pro"/>
          <w:color w:val="000000"/>
        </w:rPr>
        <w:t>unvaccinated</w:t>
      </w:r>
      <w:r w:rsidRPr="004E5301">
        <w:rPr>
          <w:rFonts w:cs="Adobe Garamond Pro"/>
          <w:color w:val="000000"/>
        </w:rPr>
        <w:t xml:space="preserve"> population, the greater the possibility that new variants of the virus will develop, adding to the prospect of a more protracted pandemic in the country. </w:t>
      </w:r>
    </w:p>
    <w:p w14:paraId="4C3CC6E6" w14:textId="2730C8DC" w:rsidR="00F11B3D" w:rsidRDefault="00F11B3D" w:rsidP="00F11B3D">
      <w:pPr>
        <w:autoSpaceDE w:val="0"/>
        <w:autoSpaceDN w:val="0"/>
        <w:adjustRightInd w:val="0"/>
        <w:spacing w:after="120"/>
        <w:jc w:val="both"/>
        <w:rPr>
          <w:rFonts w:cs="Times New Roman"/>
          <w:color w:val="000000"/>
        </w:rPr>
      </w:pPr>
      <w:r w:rsidRPr="004E5301">
        <w:rPr>
          <w:rFonts w:cs="Adobe Garamond Pro"/>
          <w:b/>
          <w:bCs/>
          <w:color w:val="000000"/>
        </w:rPr>
        <w:t xml:space="preserve">Building a </w:t>
      </w:r>
      <w:r>
        <w:rPr>
          <w:rFonts w:cs="Adobe Garamond Pro"/>
          <w:b/>
          <w:bCs/>
          <w:color w:val="000000"/>
        </w:rPr>
        <w:t>sustainable,</w:t>
      </w:r>
      <w:r w:rsidRPr="004E5301">
        <w:rPr>
          <w:rFonts w:cs="Adobe Garamond Pro"/>
          <w:b/>
          <w:bCs/>
          <w:color w:val="000000"/>
        </w:rPr>
        <w:t xml:space="preserve"> resilient,</w:t>
      </w:r>
      <w:r>
        <w:rPr>
          <w:rFonts w:cs="Adobe Garamond Pro"/>
          <w:b/>
          <w:bCs/>
          <w:color w:val="000000"/>
        </w:rPr>
        <w:t xml:space="preserve"> and</w:t>
      </w:r>
      <w:r w:rsidRPr="004E5301">
        <w:rPr>
          <w:rFonts w:cs="Adobe Garamond Pro"/>
          <w:b/>
          <w:bCs/>
          <w:color w:val="000000"/>
        </w:rPr>
        <w:t xml:space="preserve"> inclusive economy.</w:t>
      </w:r>
      <w:r w:rsidRPr="004E5301">
        <w:rPr>
          <w:rFonts w:cs="Adobe Garamond Pro"/>
          <w:color w:val="000000"/>
        </w:rPr>
        <w:t xml:space="preserve"> With limited fiscal space, Somalia needs to prioriti</w:t>
      </w:r>
      <w:r>
        <w:rPr>
          <w:rFonts w:cs="Adobe Garamond Pro"/>
          <w:color w:val="000000"/>
        </w:rPr>
        <w:t>ze</w:t>
      </w:r>
      <w:r w:rsidRPr="004E5301">
        <w:rPr>
          <w:rFonts w:cs="Adobe Garamond Pro"/>
          <w:color w:val="000000"/>
        </w:rPr>
        <w:t xml:space="preserve"> reforms that boost resilience to future shocks, and that emphasize sectors with the </w:t>
      </w:r>
      <w:r>
        <w:rPr>
          <w:rFonts w:cs="Adobe Garamond Pro"/>
          <w:color w:val="000000"/>
        </w:rPr>
        <w:t>greater</w:t>
      </w:r>
      <w:r w:rsidRPr="004E5301">
        <w:rPr>
          <w:rFonts w:cs="Adobe Garamond Pro"/>
          <w:color w:val="000000"/>
        </w:rPr>
        <w:t xml:space="preserve"> return on growth and employment. </w:t>
      </w:r>
      <w:r w:rsidRPr="00243F13">
        <w:rPr>
          <w:rFonts w:cs="Calibri"/>
        </w:rPr>
        <w:t>Accelerating the pace of poverty reduction will require policy interventions to raise productivity, create jobs, and expand pro-poor programs. Such interventions could include, expansion of social protection programs, increased agricultural productivity</w:t>
      </w:r>
      <w:r w:rsidR="00672C65">
        <w:rPr>
          <w:rFonts w:cs="Calibri"/>
        </w:rPr>
        <w:t xml:space="preserve"> through infrastructure and sanitation</w:t>
      </w:r>
      <w:r w:rsidRPr="00243F13">
        <w:rPr>
          <w:rFonts w:cs="Calibri"/>
        </w:rPr>
        <w:t xml:space="preserve"> and increases in public investments.</w:t>
      </w:r>
      <w:r>
        <w:rPr>
          <w:rFonts w:cs="Calibri"/>
        </w:rPr>
        <w:t xml:space="preserve"> </w:t>
      </w:r>
      <w:r>
        <w:rPr>
          <w:rFonts w:cs="Adobe Garamond Pro"/>
          <w:color w:val="000000"/>
        </w:rPr>
        <w:t>C</w:t>
      </w:r>
      <w:r w:rsidRPr="004E5301">
        <w:rPr>
          <w:rFonts w:cs="Adobe Garamond Pro"/>
          <w:color w:val="000000"/>
        </w:rPr>
        <w:t>reating a better investment climate is key.</w:t>
      </w:r>
      <w:r w:rsidRPr="004E5301">
        <w:rPr>
          <w:rFonts w:ascii="Adobe Garamond Pro" w:hAnsi="Adobe Garamond Pro" w:cs="Adobe Garamond Pro"/>
          <w:color w:val="000000"/>
        </w:rPr>
        <w:t xml:space="preserve"> </w:t>
      </w:r>
      <w:r w:rsidRPr="004E5301">
        <w:rPr>
          <w:rFonts w:cs="Adobe Garamond Pro"/>
          <w:color w:val="000000"/>
        </w:rPr>
        <w:t>Reform initiatives to improve the country’s business climate and attract more private investment should now be urgent for the post-election government. These reforms could include reducing the cost</w:t>
      </w:r>
      <w:r>
        <w:rPr>
          <w:rFonts w:cs="Adobe Garamond Pro"/>
          <w:color w:val="000000"/>
        </w:rPr>
        <w:t xml:space="preserve"> </w:t>
      </w:r>
      <w:r w:rsidRPr="004E5301">
        <w:rPr>
          <w:rFonts w:cs="Adobe Garamond Pro"/>
          <w:color w:val="000000"/>
        </w:rPr>
        <w:t xml:space="preserve">and improving the reliable of electricity, leveling the playing field among the private firms (new and old entrants into the market), aligning the treatment of firms in the formal and informal sectors, reducing red tape, and broadening financial inclusion. </w:t>
      </w:r>
      <w:r w:rsidRPr="004E5301">
        <w:rPr>
          <w:rFonts w:cs="Times New Roman"/>
          <w:color w:val="000000"/>
        </w:rPr>
        <w:t xml:space="preserve">As Somalia embark on the road to recovery from the triple shocks, these structural reforms will </w:t>
      </w:r>
      <w:r>
        <w:rPr>
          <w:rFonts w:cs="Times New Roman"/>
          <w:color w:val="000000"/>
        </w:rPr>
        <w:t>enable</w:t>
      </w:r>
      <w:r w:rsidRPr="004E5301">
        <w:rPr>
          <w:rFonts w:cs="Times New Roman"/>
          <w:color w:val="000000"/>
        </w:rPr>
        <w:t xml:space="preserve"> jobs to be at the center of policy action and private sector response.</w:t>
      </w:r>
    </w:p>
    <w:p w14:paraId="2D445582" w14:textId="487F6307" w:rsidR="00EC71D5" w:rsidRDefault="00EC71D5" w:rsidP="00EC71D5">
      <w:pPr>
        <w:autoSpaceDE w:val="0"/>
        <w:autoSpaceDN w:val="0"/>
        <w:adjustRightInd w:val="0"/>
        <w:spacing w:before="120" w:after="120"/>
        <w:jc w:val="both"/>
        <w:rPr>
          <w:rFonts w:cs="Adobe Garamond Pro"/>
          <w:color w:val="000000"/>
        </w:rPr>
      </w:pPr>
      <w:r w:rsidRPr="004E5301">
        <w:rPr>
          <w:rFonts w:cs="Adobe Garamond Pro"/>
          <w:b/>
          <w:bCs/>
          <w:color w:val="000000"/>
        </w:rPr>
        <w:t>Supporting vulnerable population.</w:t>
      </w:r>
      <w:r w:rsidRPr="004E5301">
        <w:rPr>
          <w:rFonts w:cs="Adobe Garamond Pro"/>
          <w:color w:val="000000"/>
        </w:rPr>
        <w:t xml:space="preserve"> The </w:t>
      </w:r>
      <w:proofErr w:type="spellStart"/>
      <w:r>
        <w:rPr>
          <w:rFonts w:cs="Adobe Garamond Pro"/>
          <w:color w:val="000000"/>
        </w:rPr>
        <w:t>Baxnaano</w:t>
      </w:r>
      <w:proofErr w:type="spellEnd"/>
      <w:r>
        <w:rPr>
          <w:rFonts w:cs="Adobe Garamond Pro"/>
          <w:color w:val="000000"/>
        </w:rPr>
        <w:t xml:space="preserve"> </w:t>
      </w:r>
      <w:proofErr w:type="spellStart"/>
      <w:r w:rsidR="001E09E9">
        <w:rPr>
          <w:rFonts w:cs="Adobe Garamond Pro"/>
          <w:color w:val="000000"/>
        </w:rPr>
        <w:t>p</w:t>
      </w:r>
      <w:r>
        <w:rPr>
          <w:rFonts w:cs="Adobe Garamond Pro"/>
          <w:color w:val="000000"/>
        </w:rPr>
        <w:t>rogramme</w:t>
      </w:r>
      <w:proofErr w:type="spellEnd"/>
      <w:r>
        <w:rPr>
          <w:rFonts w:cs="Adobe Garamond Pro"/>
          <w:color w:val="000000"/>
        </w:rPr>
        <w:t xml:space="preserve"> </w:t>
      </w:r>
      <w:r w:rsidRPr="004E5301">
        <w:rPr>
          <w:rFonts w:cs="Adobe Garamond Pro"/>
          <w:color w:val="000000"/>
        </w:rPr>
        <w:t>has highlighted the importance of being able to channel support quickly and efficiently to those most in need during the COVID</w:t>
      </w:r>
      <w:r>
        <w:rPr>
          <w:rFonts w:cs="Adobe Garamond Pro"/>
          <w:color w:val="000000"/>
        </w:rPr>
        <w:t>-</w:t>
      </w:r>
      <w:r w:rsidRPr="004E5301">
        <w:rPr>
          <w:rFonts w:cs="Adobe Garamond Pro"/>
          <w:color w:val="000000"/>
        </w:rPr>
        <w:t xml:space="preserve">19 </w:t>
      </w:r>
      <w:r>
        <w:rPr>
          <w:rFonts w:cs="Adobe Garamond Pro"/>
          <w:color w:val="000000"/>
        </w:rPr>
        <w:t>crisis</w:t>
      </w:r>
      <w:r w:rsidRPr="004E5301">
        <w:rPr>
          <w:rFonts w:cs="Adobe Garamond Pro"/>
          <w:color w:val="000000"/>
        </w:rPr>
        <w:t xml:space="preserve"> and after the </w:t>
      </w:r>
      <w:proofErr w:type="gramStart"/>
      <w:r w:rsidRPr="004E5301">
        <w:rPr>
          <w:rFonts w:cs="Adobe Garamond Pro"/>
          <w:color w:val="000000"/>
        </w:rPr>
        <w:t>locusts</w:t>
      </w:r>
      <w:proofErr w:type="gramEnd"/>
      <w:r w:rsidRPr="004E5301">
        <w:rPr>
          <w:rFonts w:cs="Adobe Garamond Pro"/>
          <w:color w:val="000000"/>
        </w:rPr>
        <w:t xml:space="preserve"> infestation. Extending the reach and responsiveness of </w:t>
      </w:r>
      <w:r>
        <w:rPr>
          <w:rFonts w:cs="Adobe Garamond Pro"/>
          <w:color w:val="000000"/>
        </w:rPr>
        <w:t>such</w:t>
      </w:r>
      <w:r w:rsidRPr="004E5301">
        <w:rPr>
          <w:rFonts w:cs="Adobe Garamond Pro"/>
          <w:color w:val="000000"/>
        </w:rPr>
        <w:t xml:space="preserve"> social protection </w:t>
      </w:r>
      <w:r>
        <w:rPr>
          <w:rFonts w:cs="Adobe Garamond Pro"/>
          <w:color w:val="000000"/>
        </w:rPr>
        <w:t>programs</w:t>
      </w:r>
      <w:r w:rsidRPr="004E5301">
        <w:rPr>
          <w:rFonts w:cs="Adobe Garamond Pro"/>
          <w:color w:val="000000"/>
        </w:rPr>
        <w:t xml:space="preserve"> through the innovative and cost-effective use of mobile money, electronic cash transfers, and virtual engagement is key in supporting Somali</w:t>
      </w:r>
      <w:r>
        <w:rPr>
          <w:rFonts w:cs="Adobe Garamond Pro"/>
          <w:color w:val="000000"/>
        </w:rPr>
        <w:t>a’s vulnerable population</w:t>
      </w:r>
      <w:r w:rsidRPr="004E5301">
        <w:rPr>
          <w:rFonts w:cs="Adobe Garamond Pro"/>
          <w:color w:val="000000"/>
        </w:rPr>
        <w:t xml:space="preserve">. Building on </w:t>
      </w:r>
      <w:r>
        <w:rPr>
          <w:rFonts w:cs="Adobe Garamond Pro"/>
          <w:color w:val="000000"/>
        </w:rPr>
        <w:t xml:space="preserve">the </w:t>
      </w:r>
      <w:proofErr w:type="spellStart"/>
      <w:r>
        <w:rPr>
          <w:rFonts w:cs="Adobe Garamond Pro"/>
          <w:color w:val="000000"/>
        </w:rPr>
        <w:t>Baxnaano</w:t>
      </w:r>
      <w:proofErr w:type="spellEnd"/>
      <w:r>
        <w:rPr>
          <w:rFonts w:cs="Adobe Garamond Pro"/>
          <w:color w:val="000000"/>
        </w:rPr>
        <w:t xml:space="preserve"> </w:t>
      </w:r>
      <w:proofErr w:type="spellStart"/>
      <w:r w:rsidR="001E09E9">
        <w:rPr>
          <w:rFonts w:cs="Adobe Garamond Pro"/>
          <w:color w:val="000000"/>
        </w:rPr>
        <w:t>p</w:t>
      </w:r>
      <w:r>
        <w:rPr>
          <w:rFonts w:cs="Adobe Garamond Pro"/>
          <w:color w:val="000000"/>
        </w:rPr>
        <w:t>rogramme</w:t>
      </w:r>
      <w:proofErr w:type="spellEnd"/>
      <w:r>
        <w:rPr>
          <w:rFonts w:cs="Adobe Garamond Pro"/>
          <w:color w:val="000000"/>
        </w:rPr>
        <w:t xml:space="preserve"> </w:t>
      </w:r>
      <w:r w:rsidRPr="004E5301">
        <w:rPr>
          <w:rFonts w:cs="Adobe Garamond Pro"/>
          <w:color w:val="000000"/>
        </w:rPr>
        <w:t>to further enhance the safety nets in Somalia is key. This could be done by adopting national social safety net strategy, which clearly sets out target populations and delivery mechanisms, and is capable of being scaled up rapidly in response to economic shocks or reforms.</w:t>
      </w:r>
    </w:p>
    <w:p w14:paraId="319116BF" w14:textId="0EF4D3A8" w:rsidR="00EC71D5" w:rsidRDefault="00EC71D5" w:rsidP="00EC71D5">
      <w:pPr>
        <w:autoSpaceDE w:val="0"/>
        <w:autoSpaceDN w:val="0"/>
        <w:adjustRightInd w:val="0"/>
        <w:spacing w:before="120" w:after="120"/>
        <w:jc w:val="both"/>
      </w:pPr>
      <w:r w:rsidRPr="006B497F">
        <w:rPr>
          <w:rFonts w:cs="Times New Roman"/>
          <w:b/>
          <w:bCs/>
        </w:rPr>
        <w:t>Increasing exports</w:t>
      </w:r>
      <w:r>
        <w:rPr>
          <w:rFonts w:cs="Times New Roman"/>
          <w:b/>
          <w:bCs/>
        </w:rPr>
        <w:t xml:space="preserve"> of current products</w:t>
      </w:r>
      <w:r>
        <w:rPr>
          <w:rFonts w:cs="Times New Roman"/>
        </w:rPr>
        <w:t xml:space="preserve">. </w:t>
      </w:r>
      <w:r>
        <w:t xml:space="preserve">In the short to medium term, Somalia’s trade strategy should focus on increasing exports of products in which Somalia currently has a comparative advantage. Although most of these exports are primary products (like live animals and vegetables), other manufactured </w:t>
      </w:r>
      <w:r w:rsidRPr="001E09E9">
        <w:lastRenderedPageBreak/>
        <w:t>products (like fish oil and processed fish) on the lower end of the complexity spectrum seem feasible given Somalia’s capability stock. These products</w:t>
      </w:r>
      <w:r>
        <w:t xml:space="preserve"> are within Somalia’s current reach; fostering them would increase manufacturing skills that are a prerequisite for accelerated diversification into more sophisticated products. This strategy can lay the foundation for acquiring the more sophisticated technical skills necessary for large-scale manufacturing.</w:t>
      </w:r>
      <w:r>
        <w:rPr>
          <w:rStyle w:val="FootnoteReference"/>
        </w:rPr>
        <w:t xml:space="preserve"> </w:t>
      </w:r>
      <w:r>
        <w:t>Labor</w:t>
      </w:r>
      <w:r w:rsidRPr="006B497F">
        <w:rPr>
          <w:sz w:val="24"/>
        </w:rPr>
        <w:t>-intensive light manufacturing led the economic transformation of many of the most successful developing countries</w:t>
      </w:r>
      <w:r>
        <w:rPr>
          <w:sz w:val="24"/>
        </w:rPr>
        <w:t xml:space="preserve"> (see World Bank 2021)</w:t>
      </w:r>
      <w:r w:rsidRPr="006B497F">
        <w:rPr>
          <w:sz w:val="24"/>
        </w:rPr>
        <w:t>.</w:t>
      </w:r>
      <w:r>
        <w:t xml:space="preserve"> </w:t>
      </w:r>
    </w:p>
    <w:p w14:paraId="26C3B53F" w14:textId="1818EF41" w:rsidR="00CF1E90" w:rsidRPr="001E09E9" w:rsidRDefault="00CF1E90" w:rsidP="00EC71D5">
      <w:pPr>
        <w:autoSpaceDE w:val="0"/>
        <w:autoSpaceDN w:val="0"/>
        <w:adjustRightInd w:val="0"/>
        <w:spacing w:before="120" w:after="120"/>
        <w:jc w:val="both"/>
        <w:rPr>
          <w:rFonts w:asciiTheme="majorHAnsi" w:eastAsiaTheme="majorEastAsia" w:hAnsiTheme="majorHAnsi" w:cstheme="majorBidi"/>
          <w:color w:val="2F5496" w:themeColor="accent1" w:themeShade="BF"/>
          <w:sz w:val="26"/>
          <w:szCs w:val="26"/>
        </w:rPr>
      </w:pPr>
      <w:r w:rsidRPr="001E09E9">
        <w:rPr>
          <w:rFonts w:asciiTheme="majorHAnsi" w:eastAsiaTheme="majorEastAsia" w:hAnsiTheme="majorHAnsi" w:cstheme="majorBidi"/>
          <w:color w:val="2F5496" w:themeColor="accent1" w:themeShade="BF"/>
          <w:sz w:val="26"/>
          <w:szCs w:val="26"/>
        </w:rPr>
        <w:t>Investing in health in Somalia</w:t>
      </w:r>
    </w:p>
    <w:p w14:paraId="26246A1D" w14:textId="42A5DA5A" w:rsidR="00CF1E90" w:rsidRPr="008607C9" w:rsidRDefault="00CF1E90" w:rsidP="001E09E9">
      <w:pPr>
        <w:jc w:val="both"/>
        <w:rPr>
          <w:rFonts w:cstheme="minorHAnsi"/>
        </w:rPr>
      </w:pPr>
      <w:r w:rsidRPr="00355007">
        <w:rPr>
          <w:b/>
          <w:bCs/>
        </w:rPr>
        <w:t>Investing in health in Somalia is a means to invest in the Country’s economy and economic development.</w:t>
      </w:r>
      <w:r>
        <w:t xml:space="preserve"> </w:t>
      </w:r>
      <w:r w:rsidR="004606F2">
        <w:t>A r</w:t>
      </w:r>
      <w:r w:rsidR="004606F2" w:rsidRPr="00BB3309">
        <w:rPr>
          <w:rFonts w:cstheme="minorHAnsi"/>
        </w:rPr>
        <w:t>ecent study estimates that every dollar invested in health in a developing country yields between two to four dollars in economic returns.</w:t>
      </w:r>
      <w:bookmarkStart w:id="1" w:name="_Ref69322654"/>
      <w:r w:rsidR="004606F2" w:rsidRPr="00BB3309">
        <w:rPr>
          <w:rStyle w:val="FootnoteReference"/>
          <w:rFonts w:cstheme="minorHAnsi"/>
        </w:rPr>
        <w:footnoteReference w:id="3"/>
      </w:r>
      <w:bookmarkEnd w:id="1"/>
      <w:r w:rsidR="004606F2">
        <w:rPr>
          <w:rFonts w:cstheme="minorHAnsi"/>
        </w:rPr>
        <w:t xml:space="preserve">  </w:t>
      </w:r>
      <w:r>
        <w:t xml:space="preserve"> Investments in health are demonstrated to increase life expectancy and productivity resulting in growths in GDP and economic development. </w:t>
      </w:r>
      <w:r w:rsidR="00E9600F">
        <w:t xml:space="preserve">The COVID19 </w:t>
      </w:r>
      <w:r w:rsidR="001A0733">
        <w:t>p</w:t>
      </w:r>
      <w:r w:rsidR="00E9600F">
        <w:t xml:space="preserve">andemic has </w:t>
      </w:r>
      <w:r w:rsidR="00F67823">
        <w:t xml:space="preserve">reminded policy makers of the importance of this sector and the country is </w:t>
      </w:r>
      <w:r>
        <w:rPr>
          <w:rFonts w:cstheme="minorHAnsi"/>
        </w:rPr>
        <w:t>currently well positioned to increase investments in its health system towards economic development.</w:t>
      </w:r>
      <w:r w:rsidR="008607C9">
        <w:rPr>
          <w:rFonts w:cstheme="minorHAnsi"/>
        </w:rPr>
        <w:t xml:space="preserve"> </w:t>
      </w:r>
      <w:r>
        <w:rPr>
          <w:rFonts w:cstheme="minorHAnsi"/>
        </w:rPr>
        <w:t xml:space="preserve">Robust health systems with the capacity to detect and respond cases are a cornerstone of pandemic and emergency preparedness towards maintaining economic stability and growth. </w:t>
      </w:r>
    </w:p>
    <w:p w14:paraId="5E079919" w14:textId="09419C35" w:rsidR="00CF1E90" w:rsidRDefault="00CF1E90" w:rsidP="001E09E9">
      <w:pPr>
        <w:jc w:val="both"/>
      </w:pPr>
      <w:r w:rsidRPr="00282652">
        <w:rPr>
          <w:b/>
          <w:bCs/>
        </w:rPr>
        <w:t xml:space="preserve">Somalia’s health outcomes </w:t>
      </w:r>
      <w:r>
        <w:rPr>
          <w:b/>
          <w:bCs/>
        </w:rPr>
        <w:t>lag in comparison to neighboring countries</w:t>
      </w:r>
      <w:r>
        <w:t>, as demonstrated by low life expectancy (57 years, compared to 66.3 years in Kenya), high fertility rates (6.9 children per women, compared to 4.6 in Ethiopia), and high maternal mortality (692 per 100,000, compared to an average of 534 in sub-Saharan Africa).  Poor health outcomes are underlined by lagging health service delivery.  In Somalia only 32</w:t>
      </w:r>
      <w:r w:rsidR="00820142">
        <w:t xml:space="preserve"> percent</w:t>
      </w:r>
      <w:r>
        <w:t xml:space="preserve"> of all births are delivered by a skilled health provider, 24</w:t>
      </w:r>
      <w:r w:rsidR="00820142">
        <w:t xml:space="preserve"> percent</w:t>
      </w:r>
      <w:r>
        <w:t xml:space="preserve"> of women receive antenatal, preventative care visits during pregnancy, and 12</w:t>
      </w:r>
      <w:r w:rsidR="00820142">
        <w:t xml:space="preserve"> percent</w:t>
      </w:r>
      <w:r>
        <w:t xml:space="preserve"> of children are fully immunized for Diphtheria, Pertussis, and Tetanus (DPT3).  </w:t>
      </w:r>
    </w:p>
    <w:p w14:paraId="6489479F" w14:textId="0B74A20D" w:rsidR="00CF1E90" w:rsidRDefault="00CF1E90" w:rsidP="001E09E9">
      <w:pPr>
        <w:jc w:val="both"/>
      </w:pPr>
      <w:r w:rsidRPr="00B57D3B">
        <w:rPr>
          <w:b/>
          <w:bCs/>
        </w:rPr>
        <w:t xml:space="preserve">Somalia’s Ministry of Health is nascent and health </w:t>
      </w:r>
      <w:r>
        <w:rPr>
          <w:b/>
          <w:bCs/>
        </w:rPr>
        <w:t>g</w:t>
      </w:r>
      <w:r w:rsidRPr="00B57D3B">
        <w:rPr>
          <w:b/>
          <w:bCs/>
        </w:rPr>
        <w:t>overnance and financing capacities are not yet fully developed.</w:t>
      </w:r>
      <w:r>
        <w:t xml:space="preserve">  Somalia currently has limited capacity for health sector regulation, data collection and use, and oversight of health services.</w:t>
      </w:r>
      <w:r w:rsidR="001E09E9">
        <w:t xml:space="preserve"> </w:t>
      </w:r>
      <w:r>
        <w:t xml:space="preserve">Similarly, Government health service delivery capacity is underdeveloped. Further, most health service financing is off the Government’s budget.  As a result, systems for fund flows through the Government have not been fully developed, leaving the Government with limited Public Financial Management (PFM) capacity.  </w:t>
      </w:r>
    </w:p>
    <w:p w14:paraId="018D7C0D" w14:textId="3D0DECF7" w:rsidR="00CF1E90" w:rsidRPr="00ED0DCF" w:rsidRDefault="00CF1E90" w:rsidP="00ED0DCF">
      <w:pPr>
        <w:spacing w:after="120"/>
        <w:jc w:val="both"/>
      </w:pPr>
      <w:r w:rsidRPr="00B57D3B">
        <w:rPr>
          <w:b/>
          <w:bCs/>
        </w:rPr>
        <w:t xml:space="preserve">Targeted investments in health service delivery, financing, and </w:t>
      </w:r>
      <w:r>
        <w:rPr>
          <w:b/>
          <w:bCs/>
        </w:rPr>
        <w:t>stewardship</w:t>
      </w:r>
      <w:r w:rsidRPr="00B57D3B">
        <w:rPr>
          <w:b/>
          <w:bCs/>
        </w:rPr>
        <w:t xml:space="preserve"> are needed to strengthen Somalia’s health system towards improved health outcome and economic growth.</w:t>
      </w:r>
      <w:r>
        <w:t xml:space="preserve"> Health service delivery investments focusing on high-impact, cost-effective services will help to improve health outcomes and attract additional resources to health services.  Health services can be delivered through Government contracting of health service providers to rapidly accelerate health service outcomes in the context of limited Government capacity.  Health service contracting is also a means to clarify health service delivery roles between the purchaser (the Government) and the provider (Contractor) towards improved PFM systems.  Additionally, to strengthen health financing use of a harmonized, output-based formula for paying health service providers will help to ensure equity in health service delivery. Such a harmonized, output based formula for health service provider payments could be used to focus providers on health service outcomes, giving providers flexibility on inputs while holding providers accountable for health service results.  Further, a harmonized, output based formula could be used both by the Government and </w:t>
      </w:r>
      <w:r>
        <w:lastRenderedPageBreak/>
        <w:t xml:space="preserve">partners as an interim step towards pooling of health resources. </w:t>
      </w:r>
      <w:r w:rsidRPr="00F26B65">
        <w:t>Capacity development to build Government stewardship would help to solidify the Government’s role in guiding the health sector.</w:t>
      </w:r>
      <w:r>
        <w:t xml:space="preserve">  Capacity development in public financial management, health management and information systems, and regulation would support the Government to execute its core functions to oversee and regulate the health sector.  Core actions to strengthen the health sector in the short and medium term are </w:t>
      </w:r>
      <w:r w:rsidRPr="00ED0DCF">
        <w:t xml:space="preserve">detailed in </w:t>
      </w:r>
      <w:r w:rsidR="00ED0DCF" w:rsidRPr="00ED0DCF">
        <w:fldChar w:fldCharType="begin"/>
      </w:r>
      <w:r w:rsidR="00ED0DCF" w:rsidRPr="00ED0DCF">
        <w:instrText xml:space="preserve"> REF _Ref71566578 \h </w:instrText>
      </w:r>
      <w:r w:rsidR="00ED0DCF">
        <w:instrText xml:space="preserve"> \* MERGEFORMAT </w:instrText>
      </w:r>
      <w:r w:rsidR="00ED0DCF" w:rsidRPr="00ED0DCF">
        <w:fldChar w:fldCharType="separate"/>
      </w:r>
      <w:r w:rsidR="00ED0DCF" w:rsidRPr="00ED0DCF">
        <w:t xml:space="preserve">Table </w:t>
      </w:r>
      <w:r w:rsidR="00ED0DCF" w:rsidRPr="00ED0DCF">
        <w:rPr>
          <w:noProof/>
        </w:rPr>
        <w:t>1</w:t>
      </w:r>
      <w:r w:rsidR="00ED0DCF" w:rsidRPr="00ED0DCF">
        <w:fldChar w:fldCharType="end"/>
      </w:r>
      <w:r w:rsidRPr="00ED0DCF">
        <w:t>.</w:t>
      </w:r>
    </w:p>
    <w:p w14:paraId="2BDCB7AB" w14:textId="7669A943" w:rsidR="00CF1E90" w:rsidRPr="001C421F" w:rsidRDefault="00ED0DCF" w:rsidP="00ED0DCF">
      <w:pPr>
        <w:pStyle w:val="Caption"/>
        <w:spacing w:before="0"/>
        <w:rPr>
          <w:b w:val="0"/>
          <w:bCs/>
        </w:rPr>
      </w:pPr>
      <w:bookmarkStart w:id="2" w:name="_Ref71566578"/>
      <w:bookmarkStart w:id="3" w:name="_Toc71725958"/>
      <w:r>
        <w:t xml:space="preserve">Table </w:t>
      </w:r>
      <w:fldSimple w:instr=" SEQ Table \* ARABIC ">
        <w:r w:rsidR="00EF1142">
          <w:rPr>
            <w:noProof/>
          </w:rPr>
          <w:t>1</w:t>
        </w:r>
      </w:fldSimple>
      <w:bookmarkEnd w:id="2"/>
      <w:r w:rsidR="00CF1E90" w:rsidRPr="001C421F">
        <w:rPr>
          <w:bCs/>
        </w:rPr>
        <w:t>: Summary of Recommended Actions in the Short and Medium Term</w:t>
      </w:r>
      <w:bookmarkEnd w:id="3"/>
    </w:p>
    <w:tbl>
      <w:tblPr>
        <w:tblStyle w:val="GridTable2-Accent5"/>
        <w:tblW w:w="0" w:type="auto"/>
        <w:tblLook w:val="04A0" w:firstRow="1" w:lastRow="0" w:firstColumn="1" w:lastColumn="0" w:noHBand="0" w:noVBand="1"/>
      </w:tblPr>
      <w:tblGrid>
        <w:gridCol w:w="1435"/>
        <w:gridCol w:w="4320"/>
        <w:gridCol w:w="3469"/>
      </w:tblGrid>
      <w:tr w:rsidR="00CF1E90" w:rsidRPr="00CC3663" w14:paraId="6628C78D" w14:textId="77777777" w:rsidTr="00CC3663">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35" w:type="dxa"/>
          </w:tcPr>
          <w:p w14:paraId="4D7EF6C2" w14:textId="77777777" w:rsidR="00CF1E90" w:rsidRPr="00CC3663" w:rsidRDefault="00CF1E90" w:rsidP="00441AD4">
            <w:r w:rsidRPr="00CC3663">
              <w:t>Area</w:t>
            </w:r>
          </w:p>
        </w:tc>
        <w:tc>
          <w:tcPr>
            <w:tcW w:w="4320" w:type="dxa"/>
          </w:tcPr>
          <w:p w14:paraId="1ACD5B70" w14:textId="77777777" w:rsidR="00CF1E90" w:rsidRPr="00CC3663" w:rsidRDefault="00CF1E90" w:rsidP="00441AD4">
            <w:pPr>
              <w:cnfStyle w:val="100000000000" w:firstRow="1" w:lastRow="0" w:firstColumn="0" w:lastColumn="0" w:oddVBand="0" w:evenVBand="0" w:oddHBand="0" w:evenHBand="0" w:firstRowFirstColumn="0" w:firstRowLastColumn="0" w:lastRowFirstColumn="0" w:lastRowLastColumn="0"/>
            </w:pPr>
            <w:r w:rsidRPr="00CC3663">
              <w:t>Short Term Recommendations</w:t>
            </w:r>
          </w:p>
        </w:tc>
        <w:tc>
          <w:tcPr>
            <w:tcW w:w="3469" w:type="dxa"/>
          </w:tcPr>
          <w:p w14:paraId="5339A982" w14:textId="77777777" w:rsidR="00CF1E90" w:rsidRPr="00CC3663" w:rsidRDefault="00CF1E90" w:rsidP="00441AD4">
            <w:pPr>
              <w:cnfStyle w:val="100000000000" w:firstRow="1" w:lastRow="0" w:firstColumn="0" w:lastColumn="0" w:oddVBand="0" w:evenVBand="0" w:oddHBand="0" w:evenHBand="0" w:firstRowFirstColumn="0" w:firstRowLastColumn="0" w:lastRowFirstColumn="0" w:lastRowLastColumn="0"/>
            </w:pPr>
            <w:r w:rsidRPr="00CC3663">
              <w:t>Medium-Term Recommendations</w:t>
            </w:r>
          </w:p>
        </w:tc>
      </w:tr>
      <w:tr w:rsidR="00CF1E90" w:rsidRPr="001E09E9" w14:paraId="7E671FDB" w14:textId="77777777" w:rsidTr="00CC3663">
        <w:trPr>
          <w:cnfStyle w:val="000000100000" w:firstRow="0" w:lastRow="0" w:firstColumn="0" w:lastColumn="0" w:oddVBand="0" w:evenVBand="0" w:oddHBand="1"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1435" w:type="dxa"/>
          </w:tcPr>
          <w:p w14:paraId="457C5892" w14:textId="77777777" w:rsidR="00CF1E90" w:rsidRPr="001E09E9" w:rsidRDefault="00CF1E90" w:rsidP="00441AD4">
            <w:pPr>
              <w:rPr>
                <w:b w:val="0"/>
                <w:bCs w:val="0"/>
              </w:rPr>
            </w:pPr>
            <w:r w:rsidRPr="001E09E9">
              <w:rPr>
                <w:b w:val="0"/>
                <w:bCs w:val="0"/>
              </w:rPr>
              <w:t>Health Financing</w:t>
            </w:r>
          </w:p>
        </w:tc>
        <w:tc>
          <w:tcPr>
            <w:tcW w:w="4320" w:type="dxa"/>
          </w:tcPr>
          <w:p w14:paraId="4E5EA58A" w14:textId="77777777" w:rsidR="00CF1E90" w:rsidRPr="001E09E9" w:rsidRDefault="00CF1E90" w:rsidP="00E1129B">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E09E9">
              <w:rPr>
                <w:rFonts w:cstheme="minorHAnsi"/>
              </w:rPr>
              <w:t>Use of a harmonized, output-based provider payment formula</w:t>
            </w:r>
          </w:p>
          <w:p w14:paraId="20018A6F" w14:textId="77777777" w:rsidR="00CF1E90" w:rsidRPr="001E09E9" w:rsidRDefault="00CF1E90" w:rsidP="00E1129B">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E09E9">
              <w:rPr>
                <w:rFonts w:cstheme="minorHAnsi"/>
              </w:rPr>
              <w:t>Contracting of NGOs to deliver health services</w:t>
            </w:r>
          </w:p>
        </w:tc>
        <w:tc>
          <w:tcPr>
            <w:tcW w:w="3469" w:type="dxa"/>
          </w:tcPr>
          <w:p w14:paraId="76287BFE" w14:textId="77777777" w:rsidR="00CF1E90" w:rsidRPr="001E09E9" w:rsidRDefault="00CF1E90" w:rsidP="00E1129B">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E09E9">
              <w:t>Harmonized, output based provider payment formula used by financers as a step towards pooling</w:t>
            </w:r>
          </w:p>
          <w:p w14:paraId="0A29BDE8" w14:textId="77777777" w:rsidR="00CF1E90" w:rsidRPr="001E09E9" w:rsidRDefault="00CF1E90" w:rsidP="00E1129B">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E09E9">
              <w:t>Government contracting of for-profit, private sector health service providers using harmonized payment formula</w:t>
            </w:r>
          </w:p>
        </w:tc>
      </w:tr>
      <w:tr w:rsidR="00CF1E90" w:rsidRPr="001E09E9" w14:paraId="06F6D670" w14:textId="77777777" w:rsidTr="00CC3663">
        <w:trPr>
          <w:trHeight w:val="1011"/>
        </w:trPr>
        <w:tc>
          <w:tcPr>
            <w:cnfStyle w:val="001000000000" w:firstRow="0" w:lastRow="0" w:firstColumn="1" w:lastColumn="0" w:oddVBand="0" w:evenVBand="0" w:oddHBand="0" w:evenHBand="0" w:firstRowFirstColumn="0" w:firstRowLastColumn="0" w:lastRowFirstColumn="0" w:lastRowLastColumn="0"/>
            <w:tcW w:w="1435" w:type="dxa"/>
          </w:tcPr>
          <w:p w14:paraId="553E05B3" w14:textId="77777777" w:rsidR="00CF1E90" w:rsidRPr="001E09E9" w:rsidRDefault="00CF1E90" w:rsidP="00441AD4">
            <w:pPr>
              <w:rPr>
                <w:b w:val="0"/>
                <w:bCs w:val="0"/>
              </w:rPr>
            </w:pPr>
            <w:r w:rsidRPr="001E09E9">
              <w:rPr>
                <w:b w:val="0"/>
                <w:bCs w:val="0"/>
              </w:rPr>
              <w:t>Health Service Delivery</w:t>
            </w:r>
          </w:p>
        </w:tc>
        <w:tc>
          <w:tcPr>
            <w:tcW w:w="4320" w:type="dxa"/>
          </w:tcPr>
          <w:p w14:paraId="476D88A8" w14:textId="77777777" w:rsidR="00CF1E90" w:rsidRPr="001E09E9" w:rsidRDefault="00CF1E90" w:rsidP="00E1129B">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E09E9">
              <w:t>Finance high-impact, cost-effective interventions to rapidly improve health outcomes</w:t>
            </w:r>
          </w:p>
        </w:tc>
        <w:tc>
          <w:tcPr>
            <w:tcW w:w="3469" w:type="dxa"/>
          </w:tcPr>
          <w:p w14:paraId="50206CB2" w14:textId="77777777" w:rsidR="00CF1E90" w:rsidRPr="001E09E9" w:rsidRDefault="00CF1E90" w:rsidP="00E1129B">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E09E9">
              <w:t>Finance additional interventions as additional resources become available and health outcomes improve</w:t>
            </w:r>
          </w:p>
        </w:tc>
      </w:tr>
      <w:tr w:rsidR="00CF1E90" w:rsidRPr="001E09E9" w14:paraId="79FD9E88" w14:textId="77777777" w:rsidTr="00CC3663">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435" w:type="dxa"/>
          </w:tcPr>
          <w:p w14:paraId="468D3E22" w14:textId="77777777" w:rsidR="00CF1E90" w:rsidRPr="001E09E9" w:rsidRDefault="00CF1E90" w:rsidP="00441AD4">
            <w:pPr>
              <w:rPr>
                <w:b w:val="0"/>
                <w:bCs w:val="0"/>
              </w:rPr>
            </w:pPr>
            <w:r w:rsidRPr="001E09E9">
              <w:rPr>
                <w:b w:val="0"/>
                <w:bCs w:val="0"/>
              </w:rPr>
              <w:t>Stewardship</w:t>
            </w:r>
          </w:p>
        </w:tc>
        <w:tc>
          <w:tcPr>
            <w:tcW w:w="4320" w:type="dxa"/>
          </w:tcPr>
          <w:p w14:paraId="33958814" w14:textId="77777777" w:rsidR="00CF1E90" w:rsidRPr="001E09E9" w:rsidRDefault="00CF1E90" w:rsidP="00E112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E09E9">
              <w:t>Capacity development of FGS and FMS</w:t>
            </w:r>
          </w:p>
          <w:p w14:paraId="0A92260F" w14:textId="77777777" w:rsidR="00CF1E90" w:rsidRPr="001E09E9" w:rsidRDefault="00CF1E90" w:rsidP="00E112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E09E9">
              <w:t>Delineation of service delivery roles and responsibilities</w:t>
            </w:r>
          </w:p>
          <w:p w14:paraId="23CAC92B" w14:textId="77777777" w:rsidR="00CF1E90" w:rsidRPr="001E09E9" w:rsidRDefault="00CF1E90" w:rsidP="00E112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E09E9">
              <w:t>Contracting of health service providers by FGS with day to day monitoring from FMS</w:t>
            </w:r>
          </w:p>
        </w:tc>
        <w:tc>
          <w:tcPr>
            <w:tcW w:w="3469" w:type="dxa"/>
          </w:tcPr>
          <w:p w14:paraId="3594478B" w14:textId="77777777" w:rsidR="00CF1E90" w:rsidRPr="001E09E9" w:rsidRDefault="00CF1E90" w:rsidP="00E112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E09E9">
              <w:t>Continued FGS and FMS capacity development</w:t>
            </w:r>
          </w:p>
          <w:p w14:paraId="14897FEF" w14:textId="77777777" w:rsidR="00CF1E90" w:rsidRPr="001E09E9" w:rsidRDefault="00CF1E90" w:rsidP="00E112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E09E9">
              <w:t>Increasing contracting role for FMS, dependent on direction of constitutional discussions</w:t>
            </w:r>
          </w:p>
        </w:tc>
      </w:tr>
    </w:tbl>
    <w:p w14:paraId="0F9F504E" w14:textId="4FC55C33" w:rsidR="00CF1E90" w:rsidRPr="006B497F" w:rsidRDefault="00CF1E90" w:rsidP="00ED0DCF">
      <w:pPr>
        <w:autoSpaceDE w:val="0"/>
        <w:autoSpaceDN w:val="0"/>
        <w:adjustRightInd w:val="0"/>
        <w:spacing w:before="240" w:after="120"/>
        <w:jc w:val="both"/>
        <w:rPr>
          <w:rFonts w:cs="Adobe Garamond Pro"/>
          <w:color w:val="000000"/>
        </w:rPr>
      </w:pPr>
      <w:r w:rsidRPr="00F26B65">
        <w:rPr>
          <w:b/>
          <w:bCs/>
        </w:rPr>
        <w:t>Investments in Somalia’s health sector are expected to have long-term benefits towards economic growth in Somalia.</w:t>
      </w:r>
      <w:r>
        <w:t xml:space="preserve">  Further, such investments can contribute to a stable and resilient health system to respond to health emergencies, such as the ongoing COVID-19 pandemic, which threatens to destabilize the Country’s economic growth.  Targeted investments in health service delivery, financing, and health sector stewardship are projected to strengthen the health sector, improving health </w:t>
      </w:r>
      <w:proofErr w:type="gramStart"/>
      <w:r>
        <w:t>outcomes</w:t>
      </w:r>
      <w:proofErr w:type="gramEnd"/>
      <w:r>
        <w:t xml:space="preserve"> and increasing emergency and epidemic preparedness towards economic stability and growth.</w:t>
      </w:r>
    </w:p>
    <w:p w14:paraId="3DCC025C" w14:textId="5DC8AF3F" w:rsidR="00410ACE" w:rsidRPr="006559F7" w:rsidRDefault="00410ACE" w:rsidP="001E09E9">
      <w:pPr>
        <w:sectPr w:rsidR="00410ACE" w:rsidRPr="006559F7" w:rsidSect="00BD30A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fmt="lowerRoman" w:start="0"/>
          <w:cols w:space="720"/>
          <w:titlePg/>
          <w:docGrid w:linePitch="360"/>
        </w:sectPr>
      </w:pPr>
    </w:p>
    <w:p w14:paraId="1B72D7F4" w14:textId="7B7E77EF" w:rsidR="00B00E3E" w:rsidRPr="008E6ED9" w:rsidRDefault="00453A4D" w:rsidP="00F260BC">
      <w:pPr>
        <w:pStyle w:val="Heading1"/>
        <w:spacing w:after="120"/>
      </w:pPr>
      <w:bookmarkStart w:id="4" w:name="_Toc71725878"/>
      <w:r w:rsidRPr="008E6ED9">
        <w:lastRenderedPageBreak/>
        <w:t>The Global and Regional Context</w:t>
      </w:r>
      <w:bookmarkEnd w:id="4"/>
    </w:p>
    <w:p w14:paraId="7A6DCE35" w14:textId="261109E6" w:rsidR="006D5C86" w:rsidRDefault="006D5C86" w:rsidP="001E09E9">
      <w:pPr>
        <w:autoSpaceDE w:val="0"/>
        <w:autoSpaceDN w:val="0"/>
        <w:adjustRightInd w:val="0"/>
        <w:spacing w:after="120" w:line="240" w:lineRule="auto"/>
        <w:jc w:val="both"/>
      </w:pPr>
      <w:r w:rsidRPr="008E6ED9">
        <w:rPr>
          <w:b/>
          <w:bCs/>
        </w:rPr>
        <w:t xml:space="preserve">The global economy is projected to grow at </w:t>
      </w:r>
      <w:r w:rsidR="00C15605">
        <w:rPr>
          <w:b/>
          <w:bCs/>
        </w:rPr>
        <w:t>5.3</w:t>
      </w:r>
      <w:r w:rsidR="00305246">
        <w:rPr>
          <w:b/>
          <w:bCs/>
        </w:rPr>
        <w:t xml:space="preserve"> </w:t>
      </w:r>
      <w:r w:rsidRPr="008E6ED9">
        <w:rPr>
          <w:b/>
          <w:bCs/>
        </w:rPr>
        <w:t xml:space="preserve">percent in 2021 </w:t>
      </w:r>
      <w:r>
        <w:rPr>
          <w:b/>
          <w:bCs/>
        </w:rPr>
        <w:t>after</w:t>
      </w:r>
      <w:r w:rsidRPr="008E6ED9">
        <w:rPr>
          <w:b/>
          <w:bCs/>
        </w:rPr>
        <w:t xml:space="preserve"> a</w:t>
      </w:r>
      <w:r w:rsidR="00305246">
        <w:rPr>
          <w:b/>
          <w:bCs/>
        </w:rPr>
        <w:t>n historic</w:t>
      </w:r>
      <w:r w:rsidRPr="008E6ED9">
        <w:rPr>
          <w:b/>
          <w:bCs/>
        </w:rPr>
        <w:t xml:space="preserve"> </w:t>
      </w:r>
      <w:r w:rsidR="001E09E9" w:rsidRPr="008E6ED9">
        <w:rPr>
          <w:b/>
          <w:bCs/>
        </w:rPr>
        <w:t xml:space="preserve">contraction </w:t>
      </w:r>
      <w:r w:rsidR="001E09E9">
        <w:rPr>
          <w:b/>
          <w:bCs/>
        </w:rPr>
        <w:t>3.5</w:t>
      </w:r>
      <w:r w:rsidR="00C15605">
        <w:rPr>
          <w:b/>
          <w:bCs/>
        </w:rPr>
        <w:t xml:space="preserve"> </w:t>
      </w:r>
      <w:r w:rsidRPr="008E6ED9">
        <w:rPr>
          <w:b/>
          <w:bCs/>
        </w:rPr>
        <w:t>percent in 2020</w:t>
      </w:r>
      <w:r w:rsidR="00E0301A">
        <w:rPr>
          <w:b/>
          <w:bCs/>
        </w:rPr>
        <w:t xml:space="preserve"> induced by the COVID-19 pandemic</w:t>
      </w:r>
      <w:r w:rsidRPr="008E6ED9">
        <w:rPr>
          <w:b/>
          <w:bCs/>
        </w:rPr>
        <w:t>.</w:t>
      </w:r>
      <w:r w:rsidRPr="006D5C86">
        <w:t xml:space="preserve"> This growth is forecasted to moderate to 4.</w:t>
      </w:r>
      <w:r w:rsidR="00C15605">
        <w:t>2</w:t>
      </w:r>
      <w:r w:rsidRPr="006D5C86">
        <w:t xml:space="preserve"> percent</w:t>
      </w:r>
      <w:r w:rsidR="00C15605">
        <w:t xml:space="preserve"> </w:t>
      </w:r>
      <w:r w:rsidRPr="006D5C86">
        <w:t>in 2022</w:t>
      </w:r>
      <w:r w:rsidR="00C15605">
        <w:t xml:space="preserve">Global Economic Prospects, June 2021) </w:t>
      </w:r>
      <w:r w:rsidRPr="006D5C86">
        <w:t>.</w:t>
      </w:r>
      <w:r w:rsidR="004C573A">
        <w:rPr>
          <w:rStyle w:val="FootnoteReference"/>
        </w:rPr>
        <w:footnoteReference w:id="4"/>
      </w:r>
      <w:r w:rsidRPr="006D5C86">
        <w:t xml:space="preserve"> </w:t>
      </w:r>
      <w:r w:rsidR="00E0301A" w:rsidRPr="00E0301A">
        <w:t xml:space="preserve"> </w:t>
      </w:r>
      <w:r w:rsidR="00E0301A">
        <w:t xml:space="preserve">New data released in the first half of the year point to a somewhat less severe contraction in 2020 and much stronger growth in 2021 than was previously forecast. </w:t>
      </w:r>
      <w:r w:rsidRPr="006D5C86">
        <w:t xml:space="preserve">The higher-than-expected growth outturn is a result of easing of lockdowns and mobility restriction, </w:t>
      </w:r>
      <w:r w:rsidR="00425558" w:rsidRPr="004F3A05">
        <w:t>s</w:t>
      </w:r>
      <w:r w:rsidR="00425558" w:rsidRPr="001E09E9">
        <w:t xml:space="preserve">trengthening external demand, </w:t>
      </w:r>
      <w:r w:rsidRPr="006D5C86">
        <w:t xml:space="preserve">rebounding of commodity prices, </w:t>
      </w:r>
      <w:r w:rsidR="00E0301A">
        <w:t xml:space="preserve">a faster </w:t>
      </w:r>
      <w:r w:rsidR="00E0301A" w:rsidRPr="006D5C86">
        <w:t xml:space="preserve">start of vaccine rollout </w:t>
      </w:r>
      <w:r w:rsidR="00E0301A">
        <w:t xml:space="preserve">in early 2021, </w:t>
      </w:r>
      <w:r w:rsidRPr="006D5C86">
        <w:t xml:space="preserve">and </w:t>
      </w:r>
      <w:r w:rsidR="00E0301A">
        <w:t>the</w:t>
      </w:r>
      <w:r w:rsidRPr="006D5C86">
        <w:t xml:space="preserve"> additional fiscal support </w:t>
      </w:r>
      <w:r w:rsidR="00E0301A">
        <w:t>provided by</w:t>
      </w:r>
      <w:r w:rsidRPr="006D5C86">
        <w:t xml:space="preserve"> a few large economies. </w:t>
      </w:r>
      <w:r w:rsidRPr="006D5C86">
        <w:rPr>
          <w:rFonts w:cs="Helvetica"/>
          <w:color w:val="000000"/>
        </w:rPr>
        <w:t xml:space="preserve">The outlook depends on </w:t>
      </w:r>
      <w:r w:rsidR="00E0301A">
        <w:rPr>
          <w:rFonts w:cs="Helvetica"/>
          <w:color w:val="000000"/>
        </w:rPr>
        <w:t>expansion</w:t>
      </w:r>
      <w:r w:rsidRPr="006D5C86">
        <w:rPr>
          <w:rFonts w:cs="Helvetica"/>
          <w:color w:val="000000"/>
        </w:rPr>
        <w:t xml:space="preserve"> on vaccine rollout, the pandemic-induced disruptions and on how effectively economic policies deployed under high uncertainty can limit lasting damage from COVID</w:t>
      </w:r>
      <w:r w:rsidR="008F376B">
        <w:rPr>
          <w:rFonts w:cs="Helvetica"/>
          <w:color w:val="000000"/>
        </w:rPr>
        <w:t>-</w:t>
      </w:r>
      <w:r w:rsidRPr="006D5C86">
        <w:rPr>
          <w:rFonts w:cs="Helvetica"/>
          <w:color w:val="000000"/>
        </w:rPr>
        <w:t>19.</w:t>
      </w:r>
      <w:r w:rsidR="00425558">
        <w:rPr>
          <w:rFonts w:cs="Helvetica"/>
          <w:color w:val="000000"/>
        </w:rPr>
        <w:t xml:space="preserve"> </w:t>
      </w:r>
      <w:r w:rsidR="00425558">
        <w:t xml:space="preserve">  </w:t>
      </w:r>
    </w:p>
    <w:p w14:paraId="618CBE50" w14:textId="198FD458" w:rsidR="006D5C86" w:rsidRDefault="006D5C86" w:rsidP="001E09E9">
      <w:pPr>
        <w:spacing w:after="120"/>
        <w:jc w:val="both"/>
      </w:pPr>
      <w:r w:rsidRPr="006D5C86">
        <w:rPr>
          <w:rFonts w:cs="Adobe Garamond Pro"/>
          <w:b/>
          <w:bCs/>
          <w:color w:val="000000"/>
        </w:rPr>
        <w:t>Despite a more buoyant external environment, sub-Saharan Africa will be the world’s slowest growing region in 2021.</w:t>
      </w:r>
      <w:r w:rsidRPr="006D5C86">
        <w:rPr>
          <w:rFonts w:cs="Adobe Garamond Pro"/>
          <w:color w:val="000000"/>
        </w:rPr>
        <w:t xml:space="preserve"> The region </w:t>
      </w:r>
      <w:r w:rsidR="00F61AE5">
        <w:rPr>
          <w:rFonts w:cs="Adobe Garamond Pro"/>
          <w:color w:val="000000"/>
        </w:rPr>
        <w:t>is forecast to</w:t>
      </w:r>
      <w:r w:rsidRPr="006D5C86">
        <w:rPr>
          <w:rFonts w:cs="Adobe Garamond Pro"/>
          <w:color w:val="000000"/>
        </w:rPr>
        <w:t xml:space="preserve"> grow by </w:t>
      </w:r>
      <w:r w:rsidRPr="006D5C86">
        <w:t>2.</w:t>
      </w:r>
      <w:r w:rsidR="006230BB">
        <w:t>6</w:t>
      </w:r>
      <w:r w:rsidRPr="006D5C86">
        <w:t xml:space="preserve"> </w:t>
      </w:r>
      <w:r w:rsidRPr="006D5C86">
        <w:rPr>
          <w:rFonts w:cs="Adobe Garamond Pro"/>
          <w:color w:val="000000"/>
        </w:rPr>
        <w:t xml:space="preserve">percent in 2021, up from </w:t>
      </w:r>
      <w:r w:rsidR="00F61AE5">
        <w:rPr>
          <w:rFonts w:cs="Adobe Garamond Pro"/>
          <w:color w:val="000000"/>
        </w:rPr>
        <w:t>2.</w:t>
      </w:r>
      <w:r w:rsidR="008B3C55">
        <w:rPr>
          <w:rFonts w:cs="Adobe Garamond Pro"/>
          <w:color w:val="000000"/>
        </w:rPr>
        <w:t>4</w:t>
      </w:r>
      <w:r w:rsidRPr="006D5C86">
        <w:rPr>
          <w:rFonts w:cs="Adobe Garamond Pro"/>
          <w:color w:val="000000"/>
        </w:rPr>
        <w:t xml:space="preserve"> percent projected in October,</w:t>
      </w:r>
      <w:r w:rsidR="001E134F">
        <w:rPr>
          <w:rFonts w:cs="Adobe Garamond Pro"/>
          <w:color w:val="000000"/>
        </w:rPr>
        <w:t xml:space="preserve"> </w:t>
      </w:r>
      <w:r w:rsidRPr="006D5C86">
        <w:rPr>
          <w:rFonts w:cs="Adobe Garamond Pro"/>
          <w:color w:val="000000"/>
        </w:rPr>
        <w:t>supported by improved exports and commodity prices, along with a recovery in both private consumption and investment.</w:t>
      </w:r>
      <w:r w:rsidR="00F61AE5">
        <w:rPr>
          <w:rStyle w:val="FootnoteReference"/>
          <w:rFonts w:cs="Adobe Garamond Pro"/>
          <w:color w:val="000000"/>
        </w:rPr>
        <w:footnoteReference w:id="5"/>
      </w:r>
      <w:r w:rsidRPr="006D5C86">
        <w:rPr>
          <w:rFonts w:cs="Adobe Garamond Pro"/>
          <w:color w:val="000000"/>
        </w:rPr>
        <w:t xml:space="preserve"> Sub-Saharan Africa is still in the grip of </w:t>
      </w:r>
      <w:r w:rsidR="001E134F">
        <w:rPr>
          <w:rFonts w:cs="Adobe Garamond Pro"/>
          <w:color w:val="000000"/>
        </w:rPr>
        <w:t xml:space="preserve">COVID-19 </w:t>
      </w:r>
      <w:r w:rsidRPr="006D5C86">
        <w:rPr>
          <w:rFonts w:cs="Adobe Garamond Pro"/>
          <w:color w:val="000000"/>
        </w:rPr>
        <w:t xml:space="preserve">health and economic emergency. After implementing national lockdowns to contain the virus and spare the region from the worst of the crisis, these measures had a dramatic impact on local economies, prompting </w:t>
      </w:r>
      <w:r w:rsidR="001E134F">
        <w:rPr>
          <w:rFonts w:cs="Adobe Garamond Pro"/>
          <w:color w:val="000000"/>
        </w:rPr>
        <w:t>the region</w:t>
      </w:r>
      <w:r w:rsidRPr="006D5C86">
        <w:rPr>
          <w:rFonts w:cs="Adobe Garamond Pro"/>
          <w:color w:val="000000"/>
        </w:rPr>
        <w:t xml:space="preserve"> to shrink by an extraordinary </w:t>
      </w:r>
      <w:r w:rsidRPr="006D5C86">
        <w:t>2.</w:t>
      </w:r>
      <w:r w:rsidR="008B3C55">
        <w:t>4</w:t>
      </w:r>
      <w:r w:rsidRPr="006D5C86">
        <w:t xml:space="preserve"> </w:t>
      </w:r>
      <w:r w:rsidRPr="006D5C86">
        <w:rPr>
          <w:rFonts w:cs="Adobe Garamond Pro"/>
          <w:color w:val="000000"/>
        </w:rPr>
        <w:t>percent in 2020—the worst outcome on record. Th</w:t>
      </w:r>
      <w:r w:rsidR="00F61AE5">
        <w:rPr>
          <w:rFonts w:cs="Adobe Garamond Pro"/>
          <w:color w:val="000000"/>
        </w:rPr>
        <w:t>is</w:t>
      </w:r>
      <w:r w:rsidRPr="006D5C86">
        <w:rPr>
          <w:rFonts w:cs="Adobe Garamond Pro"/>
          <w:color w:val="000000"/>
        </w:rPr>
        <w:t xml:space="preserve"> </w:t>
      </w:r>
      <w:r w:rsidR="00F61AE5">
        <w:rPr>
          <w:rFonts w:cs="Adobe Garamond Pro"/>
          <w:color w:val="000000"/>
        </w:rPr>
        <w:t>contraction</w:t>
      </w:r>
      <w:r w:rsidRPr="006D5C86">
        <w:rPr>
          <w:rFonts w:cs="Adobe Garamond Pro"/>
          <w:color w:val="000000"/>
        </w:rPr>
        <w:t xml:space="preserve"> in 2020 was </w:t>
      </w:r>
      <w:r w:rsidR="00F61AE5">
        <w:rPr>
          <w:rFonts w:cs="Adobe Garamond Pro"/>
          <w:color w:val="000000"/>
        </w:rPr>
        <w:t>less severe</w:t>
      </w:r>
      <w:r w:rsidRPr="006D5C86">
        <w:rPr>
          <w:rFonts w:cs="Adobe Garamond Pro"/>
          <w:color w:val="000000"/>
        </w:rPr>
        <w:t xml:space="preserve"> than </w:t>
      </w:r>
      <w:r w:rsidR="00F61AE5">
        <w:rPr>
          <w:rFonts w:cs="Adobe Garamond Pro"/>
          <w:color w:val="000000"/>
        </w:rPr>
        <w:t xml:space="preserve">the </w:t>
      </w:r>
      <w:r w:rsidRPr="006D5C86">
        <w:rPr>
          <w:rFonts w:cs="Adobe Garamond Pro"/>
          <w:color w:val="000000"/>
        </w:rPr>
        <w:t>3.</w:t>
      </w:r>
      <w:r w:rsidR="00F61AE5">
        <w:rPr>
          <w:rFonts w:cs="Adobe Garamond Pro"/>
          <w:color w:val="000000"/>
        </w:rPr>
        <w:t>3</w:t>
      </w:r>
      <w:r w:rsidRPr="006D5C86">
        <w:rPr>
          <w:rFonts w:cs="Adobe Garamond Pro"/>
          <w:color w:val="000000"/>
        </w:rPr>
        <w:t xml:space="preserve"> percent anticipated </w:t>
      </w:r>
      <w:r w:rsidR="003A0BCD">
        <w:rPr>
          <w:rFonts w:cs="Adobe Garamond Pro"/>
          <w:color w:val="000000"/>
        </w:rPr>
        <w:t>in</w:t>
      </w:r>
      <w:r w:rsidRPr="006D5C86">
        <w:rPr>
          <w:rFonts w:cs="Adobe Garamond Pro"/>
          <w:color w:val="000000"/>
        </w:rPr>
        <w:t xml:space="preserve"> October 2020 </w:t>
      </w:r>
      <w:r w:rsidRPr="006D5C86">
        <w:t xml:space="preserve">reflecting a slower spread of the virus and lower COVID-19-related mortality in the region, strong agricultural growth, and a faster-than-expected recovery in commodity prices. </w:t>
      </w:r>
      <w:r w:rsidRPr="006D5C86">
        <w:rPr>
          <w:rFonts w:cs="Adobe Garamond Pro"/>
          <w:color w:val="000000"/>
        </w:rPr>
        <w:t>For the region as a whole, per capita output is not expected to return to 2019 levels until after 2022—and in many countries, per capita incomes will not return to pre</w:t>
      </w:r>
      <w:r w:rsidR="003A0BCD">
        <w:rPr>
          <w:rFonts w:cs="Adobe Garamond Pro"/>
          <w:color w:val="000000"/>
        </w:rPr>
        <w:t xml:space="preserve">-COVID-19 </w:t>
      </w:r>
      <w:r w:rsidRPr="006D5C86">
        <w:rPr>
          <w:rFonts w:cs="Adobe Garamond Pro"/>
          <w:color w:val="000000"/>
        </w:rPr>
        <w:t>levels</w:t>
      </w:r>
      <w:r w:rsidR="00F61AE5">
        <w:rPr>
          <w:rFonts w:cs="Adobe Garamond Pro"/>
          <w:color w:val="000000"/>
        </w:rPr>
        <w:t xml:space="preserve"> until 2024 or later</w:t>
      </w:r>
      <w:r w:rsidRPr="006D5C86">
        <w:rPr>
          <w:rFonts w:cs="Adobe Garamond Pro"/>
          <w:color w:val="000000"/>
        </w:rPr>
        <w:t>. Cumulative output losses from the pandemic will amount to almost 12 percent of GDP over 2020–21. As a result,</w:t>
      </w:r>
      <w:r w:rsidRPr="006D5C86">
        <w:t xml:space="preserve"> vulnerable groups, such as the poor, informal sector workers, women, and youth, </w:t>
      </w:r>
      <w:r w:rsidR="003A0BCD">
        <w:t xml:space="preserve">are </w:t>
      </w:r>
      <w:r w:rsidRPr="006D5C86">
        <w:t xml:space="preserve">suffering disproportionately from reduced opportunities and unequal access to social safety nets. </w:t>
      </w:r>
    </w:p>
    <w:p w14:paraId="20099561" w14:textId="391EACC9" w:rsidR="00210FD2" w:rsidRDefault="006D5C86" w:rsidP="008E6ED9">
      <w:pPr>
        <w:jc w:val="both"/>
        <w:rPr>
          <w:sz w:val="28"/>
          <w:szCs w:val="28"/>
        </w:rPr>
      </w:pPr>
      <w:r w:rsidRPr="006D5C86">
        <w:rPr>
          <w:b/>
          <w:bCs/>
        </w:rPr>
        <w:t>The pandemic hit fragile</w:t>
      </w:r>
      <w:r w:rsidR="00F61AE5">
        <w:rPr>
          <w:b/>
          <w:bCs/>
        </w:rPr>
        <w:t xml:space="preserve"> countries</w:t>
      </w:r>
      <w:r w:rsidRPr="006D5C86">
        <w:rPr>
          <w:b/>
          <w:bCs/>
        </w:rPr>
        <w:t xml:space="preserve"> hard, and their recovery is set to be even more sluggish</w:t>
      </w:r>
      <w:r w:rsidRPr="006D5C86">
        <w:t>. Fragile and conflict</w:t>
      </w:r>
      <w:r w:rsidR="00F61AE5">
        <w:t>-</w:t>
      </w:r>
      <w:r w:rsidRPr="006D5C86">
        <w:t xml:space="preserve">affected </w:t>
      </w:r>
      <w:r w:rsidR="00F61AE5">
        <w:t>low-income countries (</w:t>
      </w:r>
      <w:r w:rsidRPr="006D5C86">
        <w:t>LICs</w:t>
      </w:r>
      <w:r w:rsidR="00F61AE5">
        <w:t>)</w:t>
      </w:r>
      <w:r w:rsidRPr="006D5C86">
        <w:t xml:space="preserve"> have been particularly hard hit by the pandemic, with activity contracting by an estimated 3.9 percent.</w:t>
      </w:r>
      <w:r w:rsidR="00F61AE5">
        <w:rPr>
          <w:rStyle w:val="FootnoteReference"/>
        </w:rPr>
        <w:footnoteReference w:id="6"/>
      </w:r>
      <w:r w:rsidRPr="006D5C86">
        <w:t xml:space="preserve"> The resultant fall in per capita GDP is expected to set average living standards back by a</w:t>
      </w:r>
      <w:r w:rsidR="00F14D53">
        <w:t>t least a</w:t>
      </w:r>
      <w:r w:rsidRPr="006D5C86">
        <w:t xml:space="preserve"> decade</w:t>
      </w:r>
      <w:r w:rsidR="002124CB">
        <w:t>,</w:t>
      </w:r>
      <w:r w:rsidRPr="006D5C86">
        <w:t xml:space="preserve"> or more in 25 percent of fragile and </w:t>
      </w:r>
      <w:r w:rsidR="002124CB" w:rsidRPr="006D5C86">
        <w:t>conflict</w:t>
      </w:r>
      <w:r w:rsidR="00F61AE5">
        <w:t>-</w:t>
      </w:r>
      <w:r w:rsidR="002124CB" w:rsidRPr="006D5C86">
        <w:t>affected</w:t>
      </w:r>
      <w:r w:rsidRPr="006D5C86">
        <w:t xml:space="preserve"> LICs. The adverse effects of the pandemic have been exacerbated by the underlying vulnerabilities of these economies. Weak state capacity and limited fiscal space have constrained the scope for authorities to respond decisively to the pandemic</w:t>
      </w:r>
      <w:r w:rsidR="002124CB">
        <w:t>.</w:t>
      </w:r>
      <w:r w:rsidRPr="006D5C86">
        <w:t xml:space="preserve"> As a result, gains in living standards have been eroded, tipping tens of millions of people into extreme poverty cumulatively in 2020</w:t>
      </w:r>
      <w:r w:rsidR="00F61AE5">
        <w:t>–</w:t>
      </w:r>
      <w:r w:rsidRPr="006D5C86">
        <w:t xml:space="preserve">21. The recovery among fragile and </w:t>
      </w:r>
      <w:proofErr w:type="gramStart"/>
      <w:r w:rsidRPr="006D5C86">
        <w:t>conflict-affected</w:t>
      </w:r>
      <w:proofErr w:type="gramEnd"/>
      <w:r w:rsidRPr="006D5C86">
        <w:t xml:space="preserve"> LICs is projected to be </w:t>
      </w:r>
      <w:r w:rsidR="002124CB" w:rsidRPr="006D5C86">
        <w:t>slow</w:t>
      </w:r>
      <w:r w:rsidRPr="006D5C86">
        <w:t xml:space="preserve">, with growth resuming at </w:t>
      </w:r>
      <w:r w:rsidR="00F14D53">
        <w:t>1.7</w:t>
      </w:r>
      <w:r w:rsidRPr="006D5C86">
        <w:t xml:space="preserve"> percent in 2021, before firming to </w:t>
      </w:r>
      <w:r w:rsidR="00F14D53">
        <w:t>3.</w:t>
      </w:r>
      <w:r w:rsidRPr="006D5C86">
        <w:t xml:space="preserve">4 percent in 2022. Despite the pickup in growth, activity in these economies </w:t>
      </w:r>
      <w:r w:rsidR="00D50626">
        <w:t>will</w:t>
      </w:r>
      <w:r w:rsidRPr="006D5C86">
        <w:t xml:space="preserve"> remain </w:t>
      </w:r>
      <w:r w:rsidR="00D50626">
        <w:t xml:space="preserve">at </w:t>
      </w:r>
      <w:r w:rsidRPr="006D5C86">
        <w:t xml:space="preserve">5.6 percent </w:t>
      </w:r>
      <w:r w:rsidR="00D50626" w:rsidRPr="006D5C86">
        <w:t>in 2022</w:t>
      </w:r>
      <w:r w:rsidR="00D50626">
        <w:t>,</w:t>
      </w:r>
      <w:r w:rsidR="00D50626" w:rsidRPr="006D5C86">
        <w:t xml:space="preserve"> </w:t>
      </w:r>
      <w:r w:rsidRPr="006D5C86">
        <w:t>below its pre-pandemic</w:t>
      </w:r>
      <w:r w:rsidR="00D50626">
        <w:t xml:space="preserve"> level</w:t>
      </w:r>
      <w:r w:rsidR="0018661A">
        <w:t>.</w:t>
      </w:r>
      <w:r w:rsidRPr="006D5C86">
        <w:t xml:space="preserve"> </w:t>
      </w:r>
      <w:r w:rsidR="00210FD2">
        <w:rPr>
          <w:sz w:val="28"/>
          <w:szCs w:val="28"/>
        </w:rPr>
        <w:br w:type="page"/>
      </w:r>
    </w:p>
    <w:p w14:paraId="7BC6FE91" w14:textId="2F3AFA55" w:rsidR="00017647" w:rsidRPr="009F11F9" w:rsidRDefault="009F11F9" w:rsidP="00BF74DB">
      <w:pPr>
        <w:pStyle w:val="Heading1"/>
        <w:spacing w:after="120"/>
        <w:jc w:val="center"/>
        <w:rPr>
          <w:b/>
          <w:bCs/>
        </w:rPr>
      </w:pPr>
      <w:bookmarkStart w:id="5" w:name="_Toc71725879"/>
      <w:r w:rsidRPr="009F11F9">
        <w:rPr>
          <w:b/>
          <w:bCs/>
        </w:rPr>
        <w:lastRenderedPageBreak/>
        <w:t xml:space="preserve">Part I: </w:t>
      </w:r>
      <w:r w:rsidR="003A0EE0" w:rsidRPr="009F11F9">
        <w:rPr>
          <w:b/>
          <w:bCs/>
        </w:rPr>
        <w:t>The e</w:t>
      </w:r>
      <w:r w:rsidR="00395E91" w:rsidRPr="009F11F9">
        <w:rPr>
          <w:b/>
          <w:bCs/>
        </w:rPr>
        <w:t xml:space="preserve">conomy </w:t>
      </w:r>
      <w:r w:rsidR="003A0EE0" w:rsidRPr="009F11F9">
        <w:rPr>
          <w:b/>
          <w:bCs/>
        </w:rPr>
        <w:t xml:space="preserve">is </w:t>
      </w:r>
      <w:r w:rsidR="00395E91" w:rsidRPr="009F11F9">
        <w:rPr>
          <w:b/>
          <w:bCs/>
        </w:rPr>
        <w:t xml:space="preserve">recovering from </w:t>
      </w:r>
      <w:r w:rsidR="000A314E" w:rsidRPr="009F11F9">
        <w:rPr>
          <w:b/>
          <w:bCs/>
        </w:rPr>
        <w:t>the t</w:t>
      </w:r>
      <w:r w:rsidR="00395E91" w:rsidRPr="009F11F9">
        <w:rPr>
          <w:b/>
          <w:bCs/>
        </w:rPr>
        <w:t>riple shocks</w:t>
      </w:r>
      <w:bookmarkEnd w:id="5"/>
    </w:p>
    <w:p w14:paraId="22F12938" w14:textId="784D24A0" w:rsidR="00395E91" w:rsidRPr="00FC6124" w:rsidRDefault="00BF670D" w:rsidP="00BF74DB">
      <w:pPr>
        <w:pStyle w:val="Heading2"/>
        <w:spacing w:before="120" w:after="120"/>
      </w:pPr>
      <w:bookmarkStart w:id="6" w:name="_Toc71725880"/>
      <w:r w:rsidRPr="00FC6124">
        <w:t>COVID-19 Pandemic Developments</w:t>
      </w:r>
      <w:bookmarkEnd w:id="6"/>
    </w:p>
    <w:p w14:paraId="7A57F9AF" w14:textId="2848F84F" w:rsidR="004D18D7" w:rsidRDefault="004D18D7" w:rsidP="00BF74DB">
      <w:pPr>
        <w:jc w:val="both"/>
        <w:rPr>
          <w:rFonts w:cs="Adobe Garamond Pro"/>
          <w:color w:val="000000"/>
        </w:rPr>
      </w:pPr>
      <w:r w:rsidRPr="00FC6124">
        <w:rPr>
          <w:rFonts w:cs="Adobe Garamond Pro"/>
          <w:b/>
          <w:bCs/>
          <w:color w:val="000000"/>
        </w:rPr>
        <w:t xml:space="preserve">Somalia is still contending with an unprecedented health and economic crisis </w:t>
      </w:r>
      <w:r w:rsidR="000D3DC2">
        <w:rPr>
          <w:rFonts w:cs="Adobe Garamond Pro"/>
          <w:b/>
          <w:bCs/>
          <w:color w:val="000000"/>
        </w:rPr>
        <w:t xml:space="preserve">caused by the COVID-19 pandemic </w:t>
      </w:r>
      <w:r w:rsidRPr="00FC6124">
        <w:rPr>
          <w:rFonts w:cs="Adobe Garamond Pro"/>
          <w:b/>
          <w:bCs/>
          <w:color w:val="000000"/>
        </w:rPr>
        <w:t>which began in 2020.</w:t>
      </w:r>
      <w:r w:rsidRPr="00FC6124">
        <w:rPr>
          <w:rFonts w:cs="Adobe Garamond Pro"/>
          <w:color w:val="000000"/>
        </w:rPr>
        <w:t xml:space="preserve"> Like other countries </w:t>
      </w:r>
      <w:r w:rsidR="00CA6931">
        <w:rPr>
          <w:rFonts w:cs="Adobe Garamond Pro"/>
          <w:color w:val="000000"/>
        </w:rPr>
        <w:t>worl</w:t>
      </w:r>
      <w:r w:rsidR="000B1904">
        <w:rPr>
          <w:rFonts w:cs="Adobe Garamond Pro"/>
          <w:color w:val="000000"/>
        </w:rPr>
        <w:t>d-wide</w:t>
      </w:r>
      <w:r w:rsidRPr="00FC6124">
        <w:rPr>
          <w:rFonts w:cs="Adobe Garamond Pro"/>
          <w:color w:val="000000"/>
        </w:rPr>
        <w:t xml:space="preserve">, Somalia swiftly implemented national lockdowns </w:t>
      </w:r>
      <w:r w:rsidR="00366A46">
        <w:rPr>
          <w:rFonts w:cs="Adobe Garamond Pro"/>
          <w:color w:val="000000"/>
        </w:rPr>
        <w:t xml:space="preserve">and other containment measures </w:t>
      </w:r>
      <w:r w:rsidRPr="00FC6124">
        <w:rPr>
          <w:rFonts w:cs="Adobe Garamond Pro"/>
          <w:color w:val="000000"/>
        </w:rPr>
        <w:t xml:space="preserve">to </w:t>
      </w:r>
      <w:r w:rsidR="006F6016">
        <w:rPr>
          <w:rFonts w:cs="Adobe Garamond Pro"/>
          <w:color w:val="000000"/>
        </w:rPr>
        <w:t>control</w:t>
      </w:r>
      <w:r w:rsidR="0059708C">
        <w:rPr>
          <w:rFonts w:cs="Adobe Garamond Pro"/>
          <w:color w:val="000000"/>
        </w:rPr>
        <w:t xml:space="preserve"> </w:t>
      </w:r>
      <w:r w:rsidR="00552DE0">
        <w:rPr>
          <w:rFonts w:cs="Adobe Garamond Pro"/>
          <w:color w:val="000000"/>
        </w:rPr>
        <w:t>and contain its</w:t>
      </w:r>
      <w:r w:rsidR="0059708C">
        <w:rPr>
          <w:rFonts w:cs="Adobe Garamond Pro"/>
          <w:color w:val="000000"/>
        </w:rPr>
        <w:t xml:space="preserve"> spread</w:t>
      </w:r>
      <w:r w:rsidRPr="00FC6124">
        <w:rPr>
          <w:rFonts w:cs="Adobe Garamond Pro"/>
          <w:color w:val="000000"/>
        </w:rPr>
        <w:t>. While vital in saving lives, these measures had a deleterious effect on the local economy prompting it to contract. However, with the decrease in the number of cases and amid the mounting economic and social costs of the lockdowns, Somalia cautiously reopened its economy in August 2020.</w:t>
      </w:r>
    </w:p>
    <w:p w14:paraId="5B5AE3C2" w14:textId="023CA0AA" w:rsidR="003E2BB4" w:rsidRPr="00FC6124" w:rsidRDefault="003E2BB4" w:rsidP="000B4AAF">
      <w:pPr>
        <w:jc w:val="both"/>
        <w:rPr>
          <w:rFonts w:cs="Adobe Garamond Pro"/>
          <w:color w:val="000000"/>
        </w:rPr>
      </w:pPr>
      <w:r w:rsidRPr="00FC6124">
        <w:rPr>
          <w:rFonts w:cs="Adobe Garamond Pro"/>
          <w:b/>
          <w:bCs/>
          <w:color w:val="000000"/>
        </w:rPr>
        <w:t>In March 2021 the country was hit with a second wave of the pandemic</w:t>
      </w:r>
      <w:r w:rsidR="002C30BB">
        <w:rPr>
          <w:rFonts w:cs="Adobe Garamond Pro"/>
          <w:b/>
          <w:bCs/>
          <w:color w:val="000000"/>
        </w:rPr>
        <w:t>.</w:t>
      </w:r>
      <w:r w:rsidR="002C30BB" w:rsidRPr="002C30BB">
        <w:rPr>
          <w:rFonts w:cs="Adobe Garamond Pro"/>
          <w:color w:val="000000"/>
        </w:rPr>
        <w:t xml:space="preserve"> </w:t>
      </w:r>
      <w:r w:rsidR="008243E4">
        <w:rPr>
          <w:rFonts w:cs="Adobe Garamond Pro"/>
          <w:color w:val="000000"/>
        </w:rPr>
        <w:t xml:space="preserve">Average daily new cases surpassed 180 per day in early March before beginning to subside, and total reported deaths have exceeded 700 as of end-April </w:t>
      </w:r>
      <w:r w:rsidR="002C30BB" w:rsidRPr="002C30BB">
        <w:rPr>
          <w:rFonts w:cs="Adobe Garamond Pro"/>
          <w:color w:val="000000"/>
        </w:rPr>
        <w:t>(</w:t>
      </w:r>
      <w:r w:rsidR="00E76250">
        <w:rPr>
          <w:rFonts w:cs="Adobe Garamond Pro"/>
          <w:color w:val="000000"/>
        </w:rPr>
        <w:fldChar w:fldCharType="begin"/>
      </w:r>
      <w:r w:rsidR="00E76250">
        <w:rPr>
          <w:rFonts w:cs="Adobe Garamond Pro"/>
          <w:color w:val="000000"/>
        </w:rPr>
        <w:instrText xml:space="preserve"> REF _Ref71564234 \h </w:instrText>
      </w:r>
      <w:r w:rsidR="00E76250">
        <w:rPr>
          <w:rFonts w:cs="Adobe Garamond Pro"/>
          <w:color w:val="000000"/>
        </w:rPr>
      </w:r>
      <w:r w:rsidR="00E76250">
        <w:rPr>
          <w:rFonts w:cs="Adobe Garamond Pro"/>
          <w:color w:val="000000"/>
        </w:rPr>
        <w:fldChar w:fldCharType="separate"/>
      </w:r>
      <w:r w:rsidR="00E76250">
        <w:t xml:space="preserve">Figure </w:t>
      </w:r>
      <w:r w:rsidR="00E76250">
        <w:rPr>
          <w:noProof/>
        </w:rPr>
        <w:t>1</w:t>
      </w:r>
      <w:r w:rsidR="00E76250">
        <w:rPr>
          <w:rFonts w:cs="Adobe Garamond Pro"/>
          <w:color w:val="000000"/>
        </w:rPr>
        <w:fldChar w:fldCharType="end"/>
      </w:r>
      <w:r w:rsidR="002C30BB" w:rsidRPr="002C30BB">
        <w:rPr>
          <w:rFonts w:cs="Adobe Garamond Pro"/>
          <w:color w:val="000000"/>
        </w:rPr>
        <w:t>)</w:t>
      </w:r>
      <w:r w:rsidRPr="00FC6124">
        <w:rPr>
          <w:rFonts w:cs="Adobe Garamond Pro"/>
          <w:b/>
          <w:bCs/>
          <w:color w:val="000000"/>
        </w:rPr>
        <w:t>.</w:t>
      </w:r>
      <w:r w:rsidRPr="00FC6124">
        <w:rPr>
          <w:rFonts w:cs="Adobe Garamond Pro"/>
          <w:color w:val="000000"/>
        </w:rPr>
        <w:t xml:space="preserve"> Compared with the first wave, the containment measures implemented during the second wave </w:t>
      </w:r>
      <w:r w:rsidR="00C1128B">
        <w:rPr>
          <w:rFonts w:cs="Adobe Garamond Pro"/>
          <w:color w:val="000000"/>
        </w:rPr>
        <w:t xml:space="preserve">have been less restrictive </w:t>
      </w:r>
      <w:r w:rsidRPr="00FC6124">
        <w:rPr>
          <w:rFonts w:cs="Adobe Garamond Pro"/>
          <w:color w:val="000000"/>
        </w:rPr>
        <w:t xml:space="preserve">to </w:t>
      </w:r>
      <w:r w:rsidR="003112EA">
        <w:rPr>
          <w:rFonts w:cs="Adobe Garamond Pro"/>
          <w:color w:val="000000"/>
        </w:rPr>
        <w:t xml:space="preserve">avoid a </w:t>
      </w:r>
      <w:r w:rsidRPr="00FC6124">
        <w:rPr>
          <w:rFonts w:cs="Adobe Garamond Pro"/>
          <w:color w:val="000000"/>
        </w:rPr>
        <w:t xml:space="preserve">repeat </w:t>
      </w:r>
      <w:r w:rsidR="003112EA">
        <w:rPr>
          <w:rFonts w:cs="Adobe Garamond Pro"/>
          <w:color w:val="000000"/>
        </w:rPr>
        <w:t xml:space="preserve">of </w:t>
      </w:r>
      <w:r w:rsidRPr="00FC6124">
        <w:rPr>
          <w:rFonts w:cs="Adobe Garamond Pro"/>
          <w:color w:val="000000"/>
        </w:rPr>
        <w:t>the economically costly measures deployed in 2020.</w:t>
      </w:r>
      <w:r w:rsidR="009056D3">
        <w:rPr>
          <w:rFonts w:cs="Adobe Garamond Pro"/>
          <w:color w:val="000000"/>
        </w:rPr>
        <w:t xml:space="preserve"> </w:t>
      </w:r>
      <w:r w:rsidR="003129B0">
        <w:rPr>
          <w:rFonts w:cs="Adobe Garamond Pro"/>
          <w:color w:val="000000"/>
        </w:rPr>
        <w:t>In addition, t</w:t>
      </w:r>
      <w:r w:rsidRPr="00FC6124">
        <w:rPr>
          <w:rFonts w:cs="Adobe Garamond Pro"/>
          <w:color w:val="000000"/>
        </w:rPr>
        <w:t>he country ha</w:t>
      </w:r>
      <w:r w:rsidR="00093C70">
        <w:rPr>
          <w:rFonts w:cs="Adobe Garamond Pro"/>
          <w:color w:val="000000"/>
        </w:rPr>
        <w:t>s</w:t>
      </w:r>
      <w:r w:rsidRPr="00FC6124">
        <w:rPr>
          <w:rFonts w:cs="Adobe Garamond Pro"/>
          <w:color w:val="000000"/>
        </w:rPr>
        <w:t xml:space="preserve"> no fiscal buffers to cope</w:t>
      </w:r>
      <w:r w:rsidR="00524C4B">
        <w:rPr>
          <w:rFonts w:cs="Adobe Garamond Pro"/>
          <w:color w:val="000000"/>
        </w:rPr>
        <w:t xml:space="preserve"> stric</w:t>
      </w:r>
      <w:r w:rsidR="00D2059C">
        <w:rPr>
          <w:rFonts w:cs="Adobe Garamond Pro"/>
          <w:color w:val="000000"/>
        </w:rPr>
        <w:t>ter containment measures</w:t>
      </w:r>
      <w:r w:rsidRPr="00FC6124">
        <w:rPr>
          <w:rFonts w:cs="Adobe Garamond Pro"/>
          <w:color w:val="000000"/>
        </w:rPr>
        <w:t xml:space="preserve">. </w:t>
      </w:r>
      <w:r w:rsidR="00C1128B">
        <w:rPr>
          <w:rFonts w:cs="Adobe Garamond Pro"/>
          <w:color w:val="000000"/>
        </w:rPr>
        <w:t>However, t</w:t>
      </w:r>
      <w:r w:rsidRPr="00FC6124">
        <w:rPr>
          <w:rFonts w:cs="Adobe Garamond Pro"/>
          <w:color w:val="000000"/>
        </w:rPr>
        <w:t xml:space="preserve">he social protection measures put </w:t>
      </w:r>
      <w:r w:rsidR="008243E4">
        <w:rPr>
          <w:rFonts w:cs="Adobe Garamond Pro"/>
          <w:color w:val="000000"/>
        </w:rPr>
        <w:t xml:space="preserve">in place </w:t>
      </w:r>
      <w:r w:rsidRPr="00FC6124">
        <w:rPr>
          <w:rFonts w:cs="Adobe Garamond Pro"/>
          <w:color w:val="000000"/>
        </w:rPr>
        <w:t xml:space="preserve">last year </w:t>
      </w:r>
      <w:r w:rsidR="008243E4">
        <w:rPr>
          <w:rFonts w:cs="Adobe Garamond Pro"/>
          <w:color w:val="000000"/>
        </w:rPr>
        <w:t xml:space="preserve">through the </w:t>
      </w:r>
      <w:proofErr w:type="spellStart"/>
      <w:r w:rsidR="008243E4">
        <w:rPr>
          <w:rFonts w:cs="Adobe Garamond Pro"/>
          <w:color w:val="000000"/>
        </w:rPr>
        <w:t>Baxnaano</w:t>
      </w:r>
      <w:proofErr w:type="spellEnd"/>
      <w:r w:rsidR="008243E4">
        <w:rPr>
          <w:rFonts w:cs="Adobe Garamond Pro"/>
          <w:color w:val="000000"/>
        </w:rPr>
        <w:t xml:space="preserve"> </w:t>
      </w:r>
      <w:proofErr w:type="spellStart"/>
      <w:r w:rsidR="00864280">
        <w:rPr>
          <w:rFonts w:cs="Adobe Garamond Pro"/>
          <w:color w:val="000000"/>
        </w:rPr>
        <w:t>p</w:t>
      </w:r>
      <w:r w:rsidR="008243E4">
        <w:rPr>
          <w:rFonts w:cs="Adobe Garamond Pro"/>
          <w:color w:val="000000"/>
        </w:rPr>
        <w:t>rogramme</w:t>
      </w:r>
      <w:proofErr w:type="spellEnd"/>
      <w:r w:rsidR="008243E4">
        <w:rPr>
          <w:rFonts w:cs="Adobe Garamond Pro"/>
          <w:color w:val="000000"/>
        </w:rPr>
        <w:t xml:space="preserve"> </w:t>
      </w:r>
      <w:r w:rsidR="00CE632E">
        <w:rPr>
          <w:rFonts w:cs="Adobe Garamond Pro"/>
          <w:color w:val="000000"/>
        </w:rPr>
        <w:t>helped</w:t>
      </w:r>
      <w:r w:rsidR="00D50648">
        <w:rPr>
          <w:rFonts w:cs="Adobe Garamond Pro"/>
          <w:color w:val="000000"/>
        </w:rPr>
        <w:t xml:space="preserve"> in </w:t>
      </w:r>
      <w:r w:rsidR="000451DA">
        <w:rPr>
          <w:rFonts w:cs="Adobe Garamond Pro"/>
          <w:color w:val="000000"/>
        </w:rPr>
        <w:t>cushion</w:t>
      </w:r>
      <w:r w:rsidR="00D50648">
        <w:rPr>
          <w:rFonts w:cs="Adobe Garamond Pro"/>
          <w:color w:val="000000"/>
        </w:rPr>
        <w:t>ing</w:t>
      </w:r>
      <w:r w:rsidR="000451DA" w:rsidRPr="00FC6124">
        <w:rPr>
          <w:rFonts w:cs="Adobe Garamond Pro"/>
          <w:color w:val="000000"/>
        </w:rPr>
        <w:t xml:space="preserve"> </w:t>
      </w:r>
      <w:r w:rsidRPr="00FC6124">
        <w:rPr>
          <w:rFonts w:cs="Adobe Garamond Pro"/>
          <w:color w:val="000000"/>
        </w:rPr>
        <w:t>vulnerable</w:t>
      </w:r>
      <w:r w:rsidR="00C1128B">
        <w:rPr>
          <w:rFonts w:cs="Adobe Garamond Pro"/>
          <w:color w:val="000000"/>
        </w:rPr>
        <w:t xml:space="preserve"> rural</w:t>
      </w:r>
      <w:r w:rsidR="00093C70">
        <w:rPr>
          <w:rFonts w:cs="Adobe Garamond Pro"/>
          <w:color w:val="000000"/>
        </w:rPr>
        <w:t xml:space="preserve"> hous</w:t>
      </w:r>
      <w:r w:rsidR="000451DA">
        <w:rPr>
          <w:rFonts w:cs="Adobe Garamond Pro"/>
          <w:color w:val="000000"/>
        </w:rPr>
        <w:t>e</w:t>
      </w:r>
      <w:r w:rsidR="00093C70">
        <w:rPr>
          <w:rFonts w:cs="Adobe Garamond Pro"/>
          <w:color w:val="000000"/>
        </w:rPr>
        <w:t>holds</w:t>
      </w:r>
      <w:r w:rsidRPr="00FC6124">
        <w:rPr>
          <w:rFonts w:cs="Adobe Garamond Pro"/>
          <w:color w:val="000000"/>
        </w:rPr>
        <w:t xml:space="preserve"> </w:t>
      </w:r>
      <w:r w:rsidR="00F84BF4">
        <w:rPr>
          <w:rFonts w:cs="Adobe Garamond Pro"/>
          <w:color w:val="000000"/>
        </w:rPr>
        <w:t>from</w:t>
      </w:r>
      <w:r w:rsidRPr="00FC6124">
        <w:rPr>
          <w:rFonts w:cs="Adobe Garamond Pro"/>
          <w:color w:val="000000"/>
        </w:rPr>
        <w:t xml:space="preserve"> falling into poverty. </w:t>
      </w:r>
    </w:p>
    <w:p w14:paraId="0E502B76" w14:textId="2A1F937C" w:rsidR="002C30BB" w:rsidRPr="002C30BB" w:rsidRDefault="00E24D33" w:rsidP="00E24D33">
      <w:pPr>
        <w:pStyle w:val="Caption"/>
      </w:pPr>
      <w:bookmarkStart w:id="7" w:name="_Ref71564234"/>
      <w:bookmarkStart w:id="8" w:name="_Toc71725919"/>
      <w:r>
        <w:t xml:space="preserve">Figure </w:t>
      </w:r>
      <w:fldSimple w:instr=" SEQ Figure \* ARABIC ">
        <w:r w:rsidR="00EF291C">
          <w:rPr>
            <w:noProof/>
          </w:rPr>
          <w:t>1</w:t>
        </w:r>
      </w:fldSimple>
      <w:bookmarkEnd w:id="7"/>
      <w:r w:rsidR="002C30BB" w:rsidRPr="002C30BB">
        <w:t>: New cases and cumulative deaths from COVID-19</w:t>
      </w:r>
      <w:bookmarkEnd w:id="8"/>
    </w:p>
    <w:p w14:paraId="34A006E3" w14:textId="77777777" w:rsidR="002C30BB" w:rsidRDefault="002C30BB" w:rsidP="002C30BB">
      <w:pPr>
        <w:spacing w:after="0" w:line="240" w:lineRule="auto"/>
        <w:jc w:val="both"/>
        <w:rPr>
          <w:rFonts w:cs="Adobe Garamond Pro"/>
          <w:b/>
          <w:bCs/>
          <w:color w:val="000000"/>
        </w:rPr>
      </w:pPr>
      <w:r>
        <w:rPr>
          <w:noProof/>
        </w:rPr>
        <w:drawing>
          <wp:inline distT="0" distB="0" distL="0" distR="0" wp14:anchorId="7900F0B7" wp14:editId="341F9471">
            <wp:extent cx="5943600" cy="2222500"/>
            <wp:effectExtent l="0" t="0" r="0" b="6350"/>
            <wp:docPr id="5" name="Chart 5">
              <a:extLst xmlns:a="http://schemas.openxmlformats.org/drawingml/2006/main">
                <a:ext uri="{FF2B5EF4-FFF2-40B4-BE49-F238E27FC236}">
                  <a16:creationId xmlns:a16="http://schemas.microsoft.com/office/drawing/2014/main" id="{91D32C7E-A1BB-4B43-BB4F-F1D199C99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351511" w14:textId="77777777" w:rsidR="002C30BB" w:rsidRDefault="002C30BB" w:rsidP="002C30BB">
      <w:pPr>
        <w:pStyle w:val="NoSpacing"/>
      </w:pPr>
      <w:r>
        <w:t>Source: World Health Organization</w:t>
      </w:r>
    </w:p>
    <w:p w14:paraId="61762EE0" w14:textId="77777777" w:rsidR="002C30BB" w:rsidRPr="001E09E9" w:rsidRDefault="002C30BB" w:rsidP="002F28B7">
      <w:pPr>
        <w:pStyle w:val="NoSpacing"/>
        <w:spacing w:after="120"/>
        <w:rPr>
          <w:sz w:val="20"/>
          <w:szCs w:val="20"/>
        </w:rPr>
      </w:pPr>
      <w:r w:rsidRPr="001E09E9">
        <w:rPr>
          <w:sz w:val="20"/>
          <w:szCs w:val="20"/>
        </w:rPr>
        <w:t xml:space="preserve">Notes: Latest observation in April 30, 2021. </w:t>
      </w:r>
    </w:p>
    <w:p w14:paraId="4029F9BE" w14:textId="2DF68737" w:rsidR="00124B6F" w:rsidRPr="00FC6124" w:rsidRDefault="00124B6F">
      <w:pPr>
        <w:jc w:val="both"/>
        <w:rPr>
          <w:rFonts w:cs="Adobe Garamond Pro"/>
          <w:color w:val="000000"/>
        </w:rPr>
      </w:pPr>
      <w:r w:rsidRPr="00FC6124">
        <w:rPr>
          <w:rFonts w:cs="Adobe Garamond Pro"/>
          <w:b/>
          <w:bCs/>
          <w:color w:val="000000"/>
        </w:rPr>
        <w:t xml:space="preserve">Somalia has secured limited amount COVAX </w:t>
      </w:r>
      <w:r w:rsidRPr="00513A6F">
        <w:rPr>
          <w:rFonts w:cstheme="minorHAnsi"/>
          <w:b/>
          <w:bCs/>
          <w:color w:val="000000"/>
        </w:rPr>
        <w:t>vaccine.</w:t>
      </w:r>
      <w:r w:rsidRPr="00513A6F">
        <w:rPr>
          <w:rFonts w:cstheme="minorHAnsi"/>
          <w:color w:val="000000"/>
        </w:rPr>
        <w:t xml:space="preserve"> </w:t>
      </w:r>
      <w:r w:rsidR="00C45363" w:rsidRPr="00513A6F">
        <w:rPr>
          <w:rFonts w:cstheme="minorHAnsi"/>
          <w:color w:val="000000"/>
        </w:rPr>
        <w:t>On 15 March 2020, Somalia received 300</w:t>
      </w:r>
      <w:r w:rsidR="00F84BF4">
        <w:rPr>
          <w:rFonts w:cstheme="minorHAnsi"/>
          <w:color w:val="000000"/>
        </w:rPr>
        <w:t>,</w:t>
      </w:r>
      <w:r w:rsidR="00C45363" w:rsidRPr="00513A6F">
        <w:rPr>
          <w:rFonts w:cstheme="minorHAnsi"/>
          <w:color w:val="000000"/>
        </w:rPr>
        <w:t xml:space="preserve"> 000 doses of Oxford AstraZeneca vaccines from the</w:t>
      </w:r>
      <w:r w:rsidR="00A60CBA" w:rsidRPr="00513A6F">
        <w:rPr>
          <w:rFonts w:cstheme="minorHAnsi"/>
          <w:color w:val="000000"/>
        </w:rPr>
        <w:t xml:space="preserve"> COVID-19 Vaccines Global Access</w:t>
      </w:r>
      <w:r w:rsidR="00C45363" w:rsidRPr="00513A6F">
        <w:rPr>
          <w:rFonts w:cstheme="minorHAnsi"/>
          <w:color w:val="000000"/>
        </w:rPr>
        <w:t xml:space="preserve"> COVAX Facility to protect frontline workers and elderly people with chronic health conditions</w:t>
      </w:r>
      <w:r w:rsidRPr="00513A6F">
        <w:rPr>
          <w:rFonts w:cstheme="minorHAnsi"/>
          <w:color w:val="000000"/>
        </w:rPr>
        <w:t>.</w:t>
      </w:r>
      <w:r w:rsidR="000F35F2">
        <w:rPr>
          <w:rFonts w:cs="Adobe Garamond Pro"/>
          <w:color w:val="000000"/>
        </w:rPr>
        <w:t xml:space="preserve"> </w:t>
      </w:r>
      <w:r w:rsidR="009E77D5">
        <w:rPr>
          <w:rFonts w:cs="Adobe Garamond Pro"/>
          <w:color w:val="000000"/>
        </w:rPr>
        <w:t xml:space="preserve">The program </w:t>
      </w:r>
      <w:r w:rsidR="009E77D5">
        <w:t xml:space="preserve">will support the procurement of vaccines for 20 percent of the </w:t>
      </w:r>
      <w:r w:rsidR="0048364A">
        <w:t xml:space="preserve">eligible </w:t>
      </w:r>
      <w:r w:rsidR="00827F1F">
        <w:t xml:space="preserve">adult </w:t>
      </w:r>
      <w:r w:rsidR="009E77D5">
        <w:t>population</w:t>
      </w:r>
      <w:r w:rsidR="00C1128B">
        <w:t xml:space="preserve"> (</w:t>
      </w:r>
      <w:r w:rsidR="00C1128B">
        <w:rPr>
          <w:rFonts w:cs="Adobe Garamond Pro"/>
          <w:color w:val="000000"/>
        </w:rPr>
        <w:t>1,044,000 doses</w:t>
      </w:r>
      <w:r w:rsidR="00C1128B">
        <w:t>)</w:t>
      </w:r>
      <w:r w:rsidR="000401A8">
        <w:rPr>
          <w:rFonts w:cs="Adobe Garamond Pro"/>
          <w:color w:val="000000"/>
        </w:rPr>
        <w:t xml:space="preserve">. In </w:t>
      </w:r>
      <w:r w:rsidRPr="00FC6124">
        <w:rPr>
          <w:rFonts w:cs="Adobe Garamond Pro"/>
          <w:color w:val="000000"/>
        </w:rPr>
        <w:t xml:space="preserve">addition to the weak and stretched health system, the success of the vaccine rollout also depends crucially on the distribution infrastructure that the Somalis have put in place. If supply, distribution and </w:t>
      </w:r>
      <w:r w:rsidR="000E3CB1">
        <w:rPr>
          <w:rFonts w:cs="Adobe Garamond Pro"/>
          <w:color w:val="000000"/>
        </w:rPr>
        <w:t xml:space="preserve">slow </w:t>
      </w:r>
      <w:r w:rsidR="00E915CF">
        <w:rPr>
          <w:rFonts w:cs="Adobe Garamond Pro"/>
          <w:color w:val="000000"/>
        </w:rPr>
        <w:t>uptake of the vaccine</w:t>
      </w:r>
      <w:r w:rsidRPr="00FC6124">
        <w:rPr>
          <w:rFonts w:cs="Adobe Garamond Pro"/>
          <w:color w:val="000000"/>
        </w:rPr>
        <w:t xml:space="preserve"> continue, Somalia will struggle to reach herd immunity before the end of 2023, leaving them exposed to new, more virulent strains of the disease, and raising the prospect that COVID-19 will become a permanent, endemic problem across the country</w:t>
      </w:r>
      <w:r w:rsidR="0032145C" w:rsidRPr="00FC6124">
        <w:rPr>
          <w:rFonts w:cs="Adobe Garamond Pro"/>
          <w:color w:val="000000"/>
        </w:rPr>
        <w:t>.</w:t>
      </w:r>
    </w:p>
    <w:p w14:paraId="02B2C0F4" w14:textId="491B5B02" w:rsidR="0032145C" w:rsidRPr="008B1BD6" w:rsidRDefault="00CD5A0A">
      <w:pPr>
        <w:pStyle w:val="Heading2"/>
        <w:spacing w:before="120" w:after="120"/>
      </w:pPr>
      <w:bookmarkStart w:id="9" w:name="_Toc71725881"/>
      <w:r>
        <w:lastRenderedPageBreak/>
        <w:t>T</w:t>
      </w:r>
      <w:r w:rsidR="00DF6772" w:rsidRPr="008B1BD6">
        <w:t>he triple shocks</w:t>
      </w:r>
      <w:r>
        <w:t xml:space="preserve"> dampened growth in 2020</w:t>
      </w:r>
      <w:r w:rsidR="00D57C06">
        <w:rPr>
          <w:rStyle w:val="FootnoteReference"/>
        </w:rPr>
        <w:footnoteReference w:id="7"/>
      </w:r>
      <w:bookmarkEnd w:id="9"/>
    </w:p>
    <w:p w14:paraId="02B58BB3" w14:textId="2552A7ED" w:rsidR="005C6428" w:rsidRPr="00045867" w:rsidRDefault="00D40BC6" w:rsidP="00345EEA">
      <w:pPr>
        <w:jc w:val="both"/>
      </w:pPr>
      <w:r>
        <w:rPr>
          <w:b/>
          <w:bCs/>
        </w:rPr>
        <w:t>Somalia’s</w:t>
      </w:r>
      <w:r w:rsidR="0032145C" w:rsidRPr="00045867">
        <w:rPr>
          <w:b/>
          <w:bCs/>
        </w:rPr>
        <w:t xml:space="preserve"> economy contracted by </w:t>
      </w:r>
      <w:r>
        <w:rPr>
          <w:b/>
          <w:bCs/>
        </w:rPr>
        <w:t xml:space="preserve">an estimated </w:t>
      </w:r>
      <w:r w:rsidR="0032145C" w:rsidRPr="00045867">
        <w:rPr>
          <w:b/>
          <w:bCs/>
        </w:rPr>
        <w:t>0.4 percent in 2020</w:t>
      </w:r>
      <w:r w:rsidR="00E211D6" w:rsidRPr="00045867">
        <w:rPr>
          <w:b/>
          <w:bCs/>
        </w:rPr>
        <w:t xml:space="preserve">, </w:t>
      </w:r>
      <w:r w:rsidR="000E4908" w:rsidRPr="00045867">
        <w:t xml:space="preserve">less severe than </w:t>
      </w:r>
      <w:r>
        <w:t xml:space="preserve">the 1.5 percent decline forecast in the 2020 </w:t>
      </w:r>
      <w:r w:rsidRPr="00D40BC6">
        <w:rPr>
          <w:i/>
          <w:iCs/>
        </w:rPr>
        <w:t>Somalia Economic Update</w:t>
      </w:r>
      <w:r w:rsidR="00E24D33">
        <w:rPr>
          <w:i/>
          <w:iCs/>
        </w:rPr>
        <w:t xml:space="preserve"> </w:t>
      </w:r>
      <w:r w:rsidR="00E24D33" w:rsidRPr="00E24D33">
        <w:t>(</w:t>
      </w:r>
      <w:r w:rsidR="00E76250">
        <w:fldChar w:fldCharType="begin"/>
      </w:r>
      <w:r w:rsidR="00E76250">
        <w:instrText xml:space="preserve"> REF _Ref71564261 \h </w:instrText>
      </w:r>
      <w:r w:rsidR="00E76250">
        <w:fldChar w:fldCharType="separate"/>
      </w:r>
      <w:r w:rsidR="00E76250">
        <w:t xml:space="preserve">Figure </w:t>
      </w:r>
      <w:r w:rsidR="00E76250">
        <w:rPr>
          <w:noProof/>
        </w:rPr>
        <w:t>2</w:t>
      </w:r>
      <w:r w:rsidR="00E76250">
        <w:fldChar w:fldCharType="end"/>
      </w:r>
      <w:r w:rsidR="00E24D33" w:rsidRPr="00E24D33">
        <w:t>)</w:t>
      </w:r>
      <w:r w:rsidRPr="00E24D33">
        <w:t>.</w:t>
      </w:r>
      <w:r>
        <w:t xml:space="preserve"> </w:t>
      </w:r>
      <w:r w:rsidR="0032145C" w:rsidRPr="00045867">
        <w:t xml:space="preserve">The Somalia economy performed better than expected </w:t>
      </w:r>
      <w:r w:rsidR="009A5E78" w:rsidRPr="00045867">
        <w:t>because of</w:t>
      </w:r>
      <w:r w:rsidR="0032145C" w:rsidRPr="00045867">
        <w:t xml:space="preserve"> </w:t>
      </w:r>
      <w:r w:rsidR="00F557E5">
        <w:t>increase of official flows</w:t>
      </w:r>
      <w:r w:rsidR="0032145C" w:rsidRPr="00045867">
        <w:t xml:space="preserve">, fiscal policy measures put in place by the </w:t>
      </w:r>
      <w:r w:rsidR="0075359B" w:rsidRPr="00045867">
        <w:t>government to</w:t>
      </w:r>
      <w:r w:rsidR="0032145C" w:rsidRPr="00045867">
        <w:t xml:space="preserve"> aid businesses</w:t>
      </w:r>
      <w:r w:rsidR="00DF1079">
        <w:t>,</w:t>
      </w:r>
      <w:r w:rsidR="0032145C" w:rsidRPr="00045867">
        <w:t xml:space="preserve"> and </w:t>
      </w:r>
      <w:r w:rsidR="009C06A1" w:rsidRPr="00045867">
        <w:t xml:space="preserve">social protection measures </w:t>
      </w:r>
      <w:r w:rsidR="00F849CC">
        <w:t xml:space="preserve">to </w:t>
      </w:r>
      <w:r w:rsidR="00DF1079">
        <w:t>cushion</w:t>
      </w:r>
      <w:r w:rsidR="009C06A1" w:rsidRPr="00045867">
        <w:t xml:space="preserve"> </w:t>
      </w:r>
      <w:r w:rsidR="0032145C" w:rsidRPr="00045867">
        <w:t xml:space="preserve">vulnerable </w:t>
      </w:r>
      <w:r w:rsidR="009C06A1" w:rsidRPr="00045867">
        <w:t>households</w:t>
      </w:r>
      <w:r w:rsidR="0032145C" w:rsidRPr="00045867">
        <w:t xml:space="preserve">. </w:t>
      </w:r>
      <w:r w:rsidR="00CC7514">
        <w:t>M</w:t>
      </w:r>
      <w:r w:rsidR="00CE5FF6" w:rsidRPr="00045867">
        <w:t xml:space="preserve">uch of </w:t>
      </w:r>
      <w:r w:rsidR="0001035D">
        <w:t xml:space="preserve">the economic contraction </w:t>
      </w:r>
      <w:r w:rsidR="00CE5FF6" w:rsidRPr="00045867">
        <w:t xml:space="preserve">occurred in the second and third </w:t>
      </w:r>
      <w:r w:rsidR="00803310" w:rsidRPr="00045867">
        <w:t>quarter</w:t>
      </w:r>
      <w:r w:rsidR="0032145C" w:rsidRPr="00045867">
        <w:t xml:space="preserve">. </w:t>
      </w:r>
      <w:r w:rsidR="00D57C06">
        <w:t xml:space="preserve">The economic performance </w:t>
      </w:r>
      <w:r w:rsidR="00A438BB">
        <w:t xml:space="preserve">was supported by </w:t>
      </w:r>
      <w:r w:rsidR="004C46A5" w:rsidRPr="00045867">
        <w:t>stronger-than-expected recovery</w:t>
      </w:r>
      <w:r w:rsidR="0039608B" w:rsidRPr="00045867">
        <w:t xml:space="preserve"> </w:t>
      </w:r>
      <w:r w:rsidR="00A438BB">
        <w:t xml:space="preserve">with </w:t>
      </w:r>
      <w:r w:rsidR="0039608B" w:rsidRPr="00045867">
        <w:t xml:space="preserve">the easing </w:t>
      </w:r>
      <w:r w:rsidR="00F02676">
        <w:t>COVID-19 containment measures</w:t>
      </w:r>
      <w:r w:rsidR="0039608B" w:rsidRPr="00045867">
        <w:t xml:space="preserve"> in August 2020 and rising credit to the private sector. </w:t>
      </w:r>
      <w:r w:rsidR="00756A93">
        <w:t>Even</w:t>
      </w:r>
      <w:r w:rsidR="00F05800">
        <w:t xml:space="preserve"> though data from CBS show r</w:t>
      </w:r>
      <w:r w:rsidR="0039608B" w:rsidRPr="00045867">
        <w:t xml:space="preserve">emittance inflows </w:t>
      </w:r>
      <w:r w:rsidR="006778CE">
        <w:t>rose</w:t>
      </w:r>
      <w:r w:rsidR="0039608B" w:rsidRPr="00045867">
        <w:t xml:space="preserve"> y-o-y by an estimated 18 per-cent in 2020</w:t>
      </w:r>
      <w:r w:rsidR="00525A1D">
        <w:t>,</w:t>
      </w:r>
      <w:r w:rsidR="0039608B" w:rsidRPr="00045867">
        <w:t xml:space="preserve"> largely due to improvements in the recording of official flows</w:t>
      </w:r>
      <w:r w:rsidR="004C46A5" w:rsidRPr="00FF701C">
        <w:t>.</w:t>
      </w:r>
      <w:r w:rsidR="005A6569">
        <w:rPr>
          <w:rStyle w:val="FootnoteReference"/>
        </w:rPr>
        <w:footnoteReference w:id="8"/>
      </w:r>
      <w:r w:rsidR="004C46A5" w:rsidRPr="00FF701C">
        <w:t xml:space="preserve"> </w:t>
      </w:r>
      <w:r w:rsidR="00F05800">
        <w:t>data from the Somalia High Frequency P</w:t>
      </w:r>
      <w:r w:rsidR="001C08E8">
        <w:t>hone</w:t>
      </w:r>
      <w:r w:rsidR="00F05800">
        <w:t xml:space="preserve"> Survey show the frequency and the amount of remittances flows declined for households by 20 and 31 percent respectively</w:t>
      </w:r>
      <w:r w:rsidR="00F05800" w:rsidRPr="00FF701C">
        <w:t xml:space="preserve">. </w:t>
      </w:r>
      <w:r w:rsidR="004C46A5" w:rsidRPr="00045867">
        <w:t>Remittances</w:t>
      </w:r>
      <w:r w:rsidR="00762FA8">
        <w:t xml:space="preserve"> provide an important source of financing for household consumption, business investment, and imports</w:t>
      </w:r>
      <w:r w:rsidR="004C46A5" w:rsidRPr="00045867">
        <w:t xml:space="preserve"> i</w:t>
      </w:r>
      <w:r w:rsidR="0097571B">
        <w:t>n</w:t>
      </w:r>
      <w:r w:rsidR="004C46A5" w:rsidRPr="00045867">
        <w:t xml:space="preserve"> Somalia</w:t>
      </w:r>
      <w:r w:rsidR="00762FA8">
        <w:t xml:space="preserve">, and historically they have been </w:t>
      </w:r>
      <w:r w:rsidR="004C46A5" w:rsidRPr="00FF701C">
        <w:t>tightly linked to global</w:t>
      </w:r>
      <w:r w:rsidR="00762FA8">
        <w:t xml:space="preserve"> economic</w:t>
      </w:r>
      <w:r w:rsidR="004C46A5" w:rsidRPr="00FF701C">
        <w:t xml:space="preserve"> </w:t>
      </w:r>
      <w:r w:rsidR="00762FA8">
        <w:t>performance</w:t>
      </w:r>
      <w:r w:rsidR="004C46A5" w:rsidRPr="00045867">
        <w:t>.</w:t>
      </w:r>
      <w:r w:rsidR="006E008D">
        <w:t xml:space="preserve"> </w:t>
      </w:r>
      <w:r w:rsidR="008E0BC9">
        <w:t>Remittances are relatively more important for the bottom 40 percent as income from remittances represent 54 percent of their total consumption, while remittances represent about 23 percent of total consumption for the upper 60 percent.</w:t>
      </w:r>
      <w:r w:rsidR="006E008D">
        <w:rPr>
          <w:rStyle w:val="FootnoteReference"/>
        </w:rPr>
        <w:footnoteReference w:id="9"/>
      </w:r>
      <w:r w:rsidR="004C46A5" w:rsidRPr="00FF701C">
        <w:t xml:space="preserve"> </w:t>
      </w:r>
    </w:p>
    <w:p w14:paraId="6C2A144D" w14:textId="2ADA4512" w:rsidR="008F59CC" w:rsidRPr="008F59CC" w:rsidRDefault="00E76250" w:rsidP="00E76250">
      <w:pPr>
        <w:pStyle w:val="Caption"/>
      </w:pPr>
      <w:bookmarkStart w:id="10" w:name="_Ref71564261"/>
      <w:bookmarkStart w:id="11" w:name="_Toc71725920"/>
      <w:r>
        <w:t xml:space="preserve">Figure </w:t>
      </w:r>
      <w:fldSimple w:instr=" SEQ Figure \* ARABIC ">
        <w:r w:rsidR="00EF291C">
          <w:rPr>
            <w:noProof/>
          </w:rPr>
          <w:t>2</w:t>
        </w:r>
      </w:fldSimple>
      <w:bookmarkEnd w:id="10"/>
      <w:r w:rsidR="008F59CC" w:rsidRPr="008F59CC">
        <w:t>: Somalia’s fragile economic recovery amid recurrent shocks</w:t>
      </w:r>
      <w:bookmarkEnd w:id="11"/>
    </w:p>
    <w:p w14:paraId="600F6C17" w14:textId="7CD4F6B3" w:rsidR="00CF4E75" w:rsidRDefault="00CC6D4F" w:rsidP="001E09E9">
      <w:pPr>
        <w:autoSpaceDE w:val="0"/>
        <w:autoSpaceDN w:val="0"/>
        <w:adjustRightInd w:val="0"/>
        <w:spacing w:after="0"/>
        <w:jc w:val="both"/>
        <w:rPr>
          <w:rFonts w:cstheme="minorHAnsi"/>
        </w:rPr>
      </w:pPr>
      <w:r>
        <w:rPr>
          <w:noProof/>
        </w:rPr>
        <w:drawing>
          <wp:inline distT="0" distB="0" distL="0" distR="0" wp14:anchorId="063CD4F8" wp14:editId="2059663B">
            <wp:extent cx="5875655" cy="3617089"/>
            <wp:effectExtent l="0" t="0" r="0" b="2540"/>
            <wp:docPr id="49" name="Chart 49">
              <a:extLst xmlns:a="http://schemas.openxmlformats.org/drawingml/2006/main">
                <a:ext uri="{FF2B5EF4-FFF2-40B4-BE49-F238E27FC236}">
                  <a16:creationId xmlns:a16="http://schemas.microsoft.com/office/drawing/2014/main" id="{7B4E7B8F-17EE-4E3C-AF78-D90C2DBCC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0B1567" w14:textId="1C1F6E08" w:rsidR="00A652C1" w:rsidRDefault="00A652C1" w:rsidP="001E09E9">
      <w:pPr>
        <w:pStyle w:val="Source"/>
        <w:spacing w:after="0"/>
      </w:pPr>
      <w:r>
        <w:lastRenderedPageBreak/>
        <w:t>Source: World Bank and IMF Staff Estimates</w:t>
      </w:r>
    </w:p>
    <w:p w14:paraId="159518E3" w14:textId="10D30D8B" w:rsidR="00686A00" w:rsidRDefault="00ED0DCF" w:rsidP="00ED0DCF">
      <w:pPr>
        <w:pStyle w:val="Caption"/>
      </w:pPr>
      <w:bookmarkStart w:id="12" w:name="_Toc71725959"/>
      <w:r>
        <w:t xml:space="preserve">Table </w:t>
      </w:r>
      <w:fldSimple w:instr=" SEQ Table \* ARABIC ">
        <w:r w:rsidR="00EF1142">
          <w:rPr>
            <w:noProof/>
          </w:rPr>
          <w:t>2</w:t>
        </w:r>
      </w:fldSimple>
      <w:r w:rsidR="00686A00">
        <w:t xml:space="preserve">: </w:t>
      </w:r>
      <w:r w:rsidR="00686A00" w:rsidRPr="0022714D">
        <w:t xml:space="preserve"> Selected Economic and Financial Indicators, 2018–2</w:t>
      </w:r>
      <w:r w:rsidR="00686A00">
        <w:t>3</w:t>
      </w:r>
      <w:bookmarkEnd w:id="12"/>
    </w:p>
    <w:tbl>
      <w:tblPr>
        <w:tblW w:w="4921" w:type="pct"/>
        <w:tblLook w:val="04A0" w:firstRow="1" w:lastRow="0" w:firstColumn="1" w:lastColumn="0" w:noHBand="0" w:noVBand="1"/>
      </w:tblPr>
      <w:tblGrid>
        <w:gridCol w:w="3531"/>
        <w:gridCol w:w="1219"/>
        <w:gridCol w:w="1219"/>
        <w:gridCol w:w="937"/>
        <w:gridCol w:w="830"/>
        <w:gridCol w:w="839"/>
        <w:gridCol w:w="638"/>
      </w:tblGrid>
      <w:tr w:rsidR="00686A00" w:rsidRPr="0039488C" w14:paraId="710DAE9D" w14:textId="77777777" w:rsidTr="00CE0C6F">
        <w:trPr>
          <w:trHeight w:val="216"/>
        </w:trPr>
        <w:tc>
          <w:tcPr>
            <w:tcW w:w="3531" w:type="dxa"/>
            <w:tcBorders>
              <w:top w:val="single" w:sz="8" w:space="0" w:color="auto"/>
              <w:left w:val="nil"/>
              <w:bottom w:val="single" w:sz="8" w:space="0" w:color="auto"/>
              <w:right w:val="nil"/>
            </w:tcBorders>
            <w:shd w:val="clear" w:color="auto" w:fill="auto"/>
            <w:noWrap/>
            <w:hideMark/>
          </w:tcPr>
          <w:p w14:paraId="13E87FD4"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1219" w:type="dxa"/>
            <w:tcBorders>
              <w:top w:val="single" w:sz="8" w:space="0" w:color="auto"/>
              <w:left w:val="nil"/>
              <w:bottom w:val="single" w:sz="8" w:space="0" w:color="auto"/>
              <w:right w:val="nil"/>
            </w:tcBorders>
            <w:shd w:val="clear" w:color="auto" w:fill="auto"/>
            <w:noWrap/>
            <w:vAlign w:val="center"/>
            <w:hideMark/>
          </w:tcPr>
          <w:p w14:paraId="597CA6CE"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2018</w:t>
            </w:r>
          </w:p>
        </w:tc>
        <w:tc>
          <w:tcPr>
            <w:tcW w:w="1219" w:type="dxa"/>
            <w:tcBorders>
              <w:top w:val="single" w:sz="8" w:space="0" w:color="auto"/>
              <w:left w:val="nil"/>
              <w:bottom w:val="single" w:sz="8" w:space="0" w:color="auto"/>
              <w:right w:val="nil"/>
            </w:tcBorders>
            <w:shd w:val="clear" w:color="auto" w:fill="auto"/>
            <w:noWrap/>
            <w:vAlign w:val="center"/>
            <w:hideMark/>
          </w:tcPr>
          <w:p w14:paraId="1E180EEB"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2019</w:t>
            </w:r>
          </w:p>
        </w:tc>
        <w:tc>
          <w:tcPr>
            <w:tcW w:w="937" w:type="dxa"/>
            <w:tcBorders>
              <w:top w:val="single" w:sz="8" w:space="0" w:color="auto"/>
              <w:left w:val="nil"/>
              <w:bottom w:val="single" w:sz="8" w:space="0" w:color="auto"/>
              <w:right w:val="nil"/>
            </w:tcBorders>
            <w:shd w:val="clear" w:color="auto" w:fill="FFFFFF" w:themeFill="background1"/>
            <w:noWrap/>
            <w:vAlign w:val="center"/>
            <w:hideMark/>
          </w:tcPr>
          <w:p w14:paraId="1C011E4C"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2020e</w:t>
            </w:r>
          </w:p>
        </w:tc>
        <w:tc>
          <w:tcPr>
            <w:tcW w:w="830" w:type="dxa"/>
            <w:tcBorders>
              <w:top w:val="single" w:sz="8" w:space="0" w:color="auto"/>
              <w:left w:val="nil"/>
              <w:bottom w:val="single" w:sz="8" w:space="0" w:color="auto"/>
              <w:right w:val="nil"/>
            </w:tcBorders>
            <w:shd w:val="clear" w:color="auto" w:fill="D0CECE" w:themeFill="background2" w:themeFillShade="E6"/>
            <w:noWrap/>
            <w:vAlign w:val="center"/>
            <w:hideMark/>
          </w:tcPr>
          <w:p w14:paraId="71F403AD"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2021f</w:t>
            </w:r>
          </w:p>
        </w:tc>
        <w:tc>
          <w:tcPr>
            <w:tcW w:w="839" w:type="dxa"/>
            <w:tcBorders>
              <w:top w:val="single" w:sz="8" w:space="0" w:color="auto"/>
              <w:left w:val="nil"/>
              <w:bottom w:val="single" w:sz="8" w:space="0" w:color="auto"/>
              <w:right w:val="nil"/>
            </w:tcBorders>
            <w:shd w:val="clear" w:color="000000" w:fill="D0CECE"/>
            <w:noWrap/>
            <w:vAlign w:val="center"/>
            <w:hideMark/>
          </w:tcPr>
          <w:p w14:paraId="393DFB49"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2022f</w:t>
            </w:r>
          </w:p>
        </w:tc>
        <w:tc>
          <w:tcPr>
            <w:tcW w:w="638" w:type="dxa"/>
            <w:tcBorders>
              <w:top w:val="single" w:sz="8" w:space="0" w:color="auto"/>
              <w:left w:val="nil"/>
              <w:bottom w:val="single" w:sz="8" w:space="0" w:color="auto"/>
              <w:right w:val="nil"/>
            </w:tcBorders>
            <w:shd w:val="clear" w:color="000000" w:fill="D0CECE"/>
          </w:tcPr>
          <w:p w14:paraId="19DDE7AE" w14:textId="77777777" w:rsidR="00686A00" w:rsidRPr="008E6ED9" w:rsidRDefault="00686A00" w:rsidP="00631AFD">
            <w:pPr>
              <w:keepNext/>
              <w:spacing w:after="0"/>
              <w:jc w:val="center"/>
              <w:rPr>
                <w:rFonts w:eastAsia="Times New Roman" w:cstheme="minorHAnsi"/>
                <w:b/>
                <w:bCs/>
                <w:sz w:val="18"/>
                <w:szCs w:val="18"/>
              </w:rPr>
            </w:pPr>
            <w:r w:rsidRPr="008E6ED9">
              <w:rPr>
                <w:rFonts w:eastAsia="Times New Roman" w:cstheme="minorHAnsi"/>
                <w:b/>
                <w:bCs/>
                <w:sz w:val="18"/>
                <w:szCs w:val="18"/>
              </w:rPr>
              <w:t>2023f</w:t>
            </w:r>
          </w:p>
        </w:tc>
      </w:tr>
      <w:tr w:rsidR="00CE0C6F" w:rsidRPr="0039488C" w14:paraId="434A0680" w14:textId="77777777" w:rsidTr="001E09E9">
        <w:trPr>
          <w:trHeight w:val="216"/>
        </w:trPr>
        <w:tc>
          <w:tcPr>
            <w:tcW w:w="3531" w:type="dxa"/>
            <w:tcBorders>
              <w:top w:val="nil"/>
              <w:left w:val="nil"/>
              <w:bottom w:val="nil"/>
              <w:right w:val="nil"/>
            </w:tcBorders>
            <w:shd w:val="clear" w:color="auto" w:fill="auto"/>
            <w:noWrap/>
            <w:vAlign w:val="center"/>
            <w:hideMark/>
          </w:tcPr>
          <w:p w14:paraId="34F0A3EA" w14:textId="77777777" w:rsidR="00CE0C6F" w:rsidRPr="008E6ED9" w:rsidRDefault="00CE0C6F" w:rsidP="00CE0C6F">
            <w:pPr>
              <w:keepNext/>
              <w:spacing w:after="0"/>
              <w:rPr>
                <w:rFonts w:eastAsia="Times New Roman" w:cstheme="minorHAnsi"/>
                <w:sz w:val="18"/>
                <w:szCs w:val="18"/>
              </w:rPr>
            </w:pPr>
            <w:r w:rsidRPr="008E6ED9">
              <w:rPr>
                <w:rFonts w:eastAsia="Times New Roman" w:cstheme="minorHAnsi"/>
                <w:sz w:val="18"/>
                <w:szCs w:val="18"/>
              </w:rPr>
              <w:t>GDP, nominal (millions of dollars)</w:t>
            </w:r>
          </w:p>
        </w:tc>
        <w:tc>
          <w:tcPr>
            <w:tcW w:w="1219" w:type="dxa"/>
            <w:tcBorders>
              <w:top w:val="nil"/>
              <w:left w:val="nil"/>
              <w:bottom w:val="nil"/>
              <w:right w:val="nil"/>
            </w:tcBorders>
            <w:shd w:val="clear" w:color="auto" w:fill="auto"/>
            <w:noWrap/>
            <w:vAlign w:val="center"/>
            <w:hideMark/>
          </w:tcPr>
          <w:p w14:paraId="0ECD0A9F" w14:textId="77777777" w:rsidR="00CE0C6F" w:rsidRPr="008E6ED9" w:rsidRDefault="00CE0C6F" w:rsidP="00CE0C6F">
            <w:pPr>
              <w:keepNext/>
              <w:spacing w:after="0"/>
              <w:jc w:val="right"/>
              <w:rPr>
                <w:rFonts w:eastAsia="Times New Roman" w:cstheme="minorHAnsi"/>
                <w:sz w:val="18"/>
                <w:szCs w:val="18"/>
              </w:rPr>
            </w:pPr>
            <w:r w:rsidRPr="008E6ED9">
              <w:rPr>
                <w:rFonts w:eastAsia="Times New Roman" w:cstheme="minorHAnsi"/>
                <w:sz w:val="18"/>
                <w:szCs w:val="18"/>
              </w:rPr>
              <w:t>4,721</w:t>
            </w:r>
          </w:p>
        </w:tc>
        <w:tc>
          <w:tcPr>
            <w:tcW w:w="1219" w:type="dxa"/>
            <w:tcBorders>
              <w:top w:val="nil"/>
              <w:left w:val="nil"/>
              <w:bottom w:val="nil"/>
              <w:right w:val="nil"/>
            </w:tcBorders>
            <w:shd w:val="clear" w:color="auto" w:fill="auto"/>
            <w:noWrap/>
            <w:vAlign w:val="center"/>
            <w:hideMark/>
          </w:tcPr>
          <w:p w14:paraId="6B1D3B98" w14:textId="77777777" w:rsidR="00CE0C6F" w:rsidRPr="008E6ED9" w:rsidRDefault="00CE0C6F" w:rsidP="00CE0C6F">
            <w:pPr>
              <w:keepNext/>
              <w:spacing w:after="0"/>
              <w:jc w:val="right"/>
              <w:rPr>
                <w:rFonts w:eastAsia="Times New Roman" w:cstheme="minorHAnsi"/>
                <w:sz w:val="18"/>
                <w:szCs w:val="18"/>
              </w:rPr>
            </w:pPr>
            <w:r w:rsidRPr="008E6ED9">
              <w:rPr>
                <w:rFonts w:eastAsia="Times New Roman" w:cstheme="minorHAnsi"/>
                <w:sz w:val="18"/>
                <w:szCs w:val="18"/>
              </w:rPr>
              <w:t>4,942</w:t>
            </w:r>
          </w:p>
        </w:tc>
        <w:tc>
          <w:tcPr>
            <w:tcW w:w="937" w:type="dxa"/>
            <w:tcBorders>
              <w:top w:val="nil"/>
              <w:left w:val="nil"/>
              <w:bottom w:val="nil"/>
              <w:right w:val="nil"/>
            </w:tcBorders>
            <w:shd w:val="clear" w:color="auto" w:fill="FFFFFF" w:themeFill="background1"/>
            <w:noWrap/>
            <w:vAlign w:val="center"/>
            <w:hideMark/>
          </w:tcPr>
          <w:p w14:paraId="5B841B25" w14:textId="77777777" w:rsidR="00CE0C6F" w:rsidRPr="008E6ED9" w:rsidRDefault="00CE0C6F" w:rsidP="00CE0C6F">
            <w:pPr>
              <w:keepNext/>
              <w:spacing w:after="0"/>
              <w:jc w:val="right"/>
              <w:rPr>
                <w:rFonts w:eastAsia="Times New Roman" w:cstheme="minorHAnsi"/>
                <w:sz w:val="18"/>
                <w:szCs w:val="18"/>
              </w:rPr>
            </w:pPr>
            <w:r w:rsidRPr="008E6ED9">
              <w:rPr>
                <w:rFonts w:eastAsia="Times New Roman" w:cstheme="minorHAnsi"/>
                <w:sz w:val="18"/>
                <w:szCs w:val="18"/>
              </w:rPr>
              <w:t>4,975</w:t>
            </w:r>
          </w:p>
        </w:tc>
        <w:tc>
          <w:tcPr>
            <w:tcW w:w="830" w:type="dxa"/>
            <w:tcBorders>
              <w:top w:val="single" w:sz="8" w:space="0" w:color="auto"/>
              <w:left w:val="nil"/>
              <w:bottom w:val="nil"/>
              <w:right w:val="nil"/>
            </w:tcBorders>
            <w:shd w:val="clear" w:color="auto" w:fill="D0CECE" w:themeFill="background2" w:themeFillShade="E6"/>
            <w:noWrap/>
          </w:tcPr>
          <w:p w14:paraId="76124E0E" w14:textId="405DDDD6" w:rsidR="00CE0C6F" w:rsidRPr="008E6ED9" w:rsidRDefault="00CE0C6F" w:rsidP="00CE0C6F">
            <w:pPr>
              <w:keepNext/>
              <w:spacing w:after="0"/>
              <w:jc w:val="right"/>
              <w:rPr>
                <w:rFonts w:eastAsia="Times New Roman" w:cstheme="minorHAnsi"/>
                <w:sz w:val="18"/>
                <w:szCs w:val="18"/>
              </w:rPr>
            </w:pPr>
            <w:r w:rsidRPr="001E09E9">
              <w:rPr>
                <w:rFonts w:eastAsia="Times New Roman" w:cstheme="minorHAnsi"/>
                <w:sz w:val="18"/>
                <w:szCs w:val="18"/>
              </w:rPr>
              <w:t xml:space="preserve"> 5,402 </w:t>
            </w:r>
          </w:p>
        </w:tc>
        <w:tc>
          <w:tcPr>
            <w:tcW w:w="839" w:type="dxa"/>
            <w:tcBorders>
              <w:top w:val="single" w:sz="8" w:space="0" w:color="auto"/>
              <w:left w:val="nil"/>
              <w:bottom w:val="nil"/>
              <w:right w:val="nil"/>
            </w:tcBorders>
            <w:shd w:val="clear" w:color="auto" w:fill="D0CECE" w:themeFill="background2" w:themeFillShade="E6"/>
            <w:noWrap/>
          </w:tcPr>
          <w:p w14:paraId="37495357" w14:textId="6C143840" w:rsidR="00CE0C6F" w:rsidRPr="008E6ED9" w:rsidRDefault="00CE0C6F" w:rsidP="00CE0C6F">
            <w:pPr>
              <w:keepNext/>
              <w:spacing w:after="0"/>
              <w:jc w:val="right"/>
              <w:rPr>
                <w:rFonts w:eastAsia="Times New Roman" w:cstheme="minorHAnsi"/>
                <w:sz w:val="18"/>
                <w:szCs w:val="18"/>
              </w:rPr>
            </w:pPr>
            <w:r w:rsidRPr="001E09E9">
              <w:rPr>
                <w:rFonts w:eastAsia="Times New Roman" w:cstheme="minorHAnsi"/>
                <w:sz w:val="18"/>
                <w:szCs w:val="18"/>
              </w:rPr>
              <w:t xml:space="preserve"> 5,672 </w:t>
            </w:r>
          </w:p>
        </w:tc>
        <w:tc>
          <w:tcPr>
            <w:tcW w:w="638" w:type="dxa"/>
            <w:tcBorders>
              <w:top w:val="single" w:sz="8" w:space="0" w:color="auto"/>
              <w:left w:val="nil"/>
              <w:bottom w:val="nil"/>
              <w:right w:val="nil"/>
            </w:tcBorders>
            <w:shd w:val="clear" w:color="auto" w:fill="D0CECE" w:themeFill="background2" w:themeFillShade="E6"/>
          </w:tcPr>
          <w:p w14:paraId="130F0BF2" w14:textId="5EBEE376" w:rsidR="00CE0C6F" w:rsidRPr="008E6ED9" w:rsidRDefault="00CE0C6F" w:rsidP="00CE0C6F">
            <w:pPr>
              <w:keepNext/>
              <w:spacing w:after="0"/>
              <w:jc w:val="right"/>
              <w:rPr>
                <w:rFonts w:eastAsia="Times New Roman" w:cstheme="minorHAnsi"/>
                <w:sz w:val="18"/>
                <w:szCs w:val="18"/>
              </w:rPr>
            </w:pPr>
            <w:r w:rsidRPr="001E09E9">
              <w:rPr>
                <w:rFonts w:eastAsia="Times New Roman" w:cstheme="minorHAnsi"/>
                <w:sz w:val="18"/>
                <w:szCs w:val="18"/>
              </w:rPr>
              <w:t xml:space="preserve">5,976 </w:t>
            </w:r>
          </w:p>
        </w:tc>
      </w:tr>
      <w:tr w:rsidR="00686A00" w:rsidRPr="0039488C" w14:paraId="68D4B840" w14:textId="77777777" w:rsidTr="00CE0C6F">
        <w:trPr>
          <w:trHeight w:val="216"/>
        </w:trPr>
        <w:tc>
          <w:tcPr>
            <w:tcW w:w="3531" w:type="dxa"/>
            <w:tcBorders>
              <w:top w:val="nil"/>
              <w:left w:val="nil"/>
              <w:bottom w:val="nil"/>
              <w:right w:val="nil"/>
            </w:tcBorders>
            <w:shd w:val="clear" w:color="auto" w:fill="auto"/>
            <w:noWrap/>
            <w:vAlign w:val="center"/>
            <w:hideMark/>
          </w:tcPr>
          <w:p w14:paraId="09E83033"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xml:space="preserve">real GDP growth </w:t>
            </w:r>
          </w:p>
        </w:tc>
        <w:tc>
          <w:tcPr>
            <w:tcW w:w="1219" w:type="dxa"/>
            <w:tcBorders>
              <w:top w:val="nil"/>
              <w:left w:val="nil"/>
              <w:bottom w:val="nil"/>
              <w:right w:val="nil"/>
            </w:tcBorders>
            <w:shd w:val="clear" w:color="auto" w:fill="auto"/>
            <w:noWrap/>
            <w:vAlign w:val="center"/>
            <w:hideMark/>
          </w:tcPr>
          <w:p w14:paraId="2B8DC3E2"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2.8</w:t>
            </w:r>
          </w:p>
        </w:tc>
        <w:tc>
          <w:tcPr>
            <w:tcW w:w="1219" w:type="dxa"/>
            <w:tcBorders>
              <w:top w:val="nil"/>
              <w:left w:val="nil"/>
              <w:bottom w:val="nil"/>
              <w:right w:val="nil"/>
            </w:tcBorders>
            <w:shd w:val="clear" w:color="auto" w:fill="auto"/>
            <w:noWrap/>
            <w:vAlign w:val="center"/>
            <w:hideMark/>
          </w:tcPr>
          <w:p w14:paraId="78A0872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2.9</w:t>
            </w:r>
          </w:p>
        </w:tc>
        <w:tc>
          <w:tcPr>
            <w:tcW w:w="937" w:type="dxa"/>
            <w:tcBorders>
              <w:top w:val="nil"/>
              <w:left w:val="nil"/>
              <w:right w:val="nil"/>
            </w:tcBorders>
            <w:shd w:val="clear" w:color="auto" w:fill="FFFFFF" w:themeFill="background1"/>
            <w:noWrap/>
            <w:vAlign w:val="center"/>
            <w:hideMark/>
          </w:tcPr>
          <w:p w14:paraId="416D92AC"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-0.4</w:t>
            </w:r>
          </w:p>
        </w:tc>
        <w:tc>
          <w:tcPr>
            <w:tcW w:w="830" w:type="dxa"/>
            <w:tcBorders>
              <w:top w:val="nil"/>
              <w:left w:val="nil"/>
              <w:right w:val="nil"/>
            </w:tcBorders>
            <w:shd w:val="clear" w:color="auto" w:fill="D0CECE" w:themeFill="background2" w:themeFillShade="E6"/>
            <w:noWrap/>
            <w:vAlign w:val="center"/>
            <w:hideMark/>
          </w:tcPr>
          <w:p w14:paraId="23A0B09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2.4</w:t>
            </w:r>
          </w:p>
        </w:tc>
        <w:tc>
          <w:tcPr>
            <w:tcW w:w="839" w:type="dxa"/>
            <w:tcBorders>
              <w:top w:val="nil"/>
              <w:left w:val="nil"/>
              <w:right w:val="nil"/>
            </w:tcBorders>
            <w:shd w:val="clear" w:color="000000" w:fill="D0CECE"/>
            <w:noWrap/>
            <w:vAlign w:val="center"/>
            <w:hideMark/>
          </w:tcPr>
          <w:p w14:paraId="66A478F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2.9</w:t>
            </w:r>
          </w:p>
        </w:tc>
        <w:tc>
          <w:tcPr>
            <w:tcW w:w="638" w:type="dxa"/>
            <w:tcBorders>
              <w:top w:val="nil"/>
              <w:left w:val="nil"/>
              <w:right w:val="nil"/>
            </w:tcBorders>
            <w:shd w:val="clear" w:color="000000" w:fill="D0CECE"/>
          </w:tcPr>
          <w:p w14:paraId="4EC14DD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3.2</w:t>
            </w:r>
          </w:p>
        </w:tc>
      </w:tr>
      <w:tr w:rsidR="001E09E9" w:rsidRPr="001E09E9" w14:paraId="06BCF05F" w14:textId="77777777" w:rsidTr="001E09E9">
        <w:trPr>
          <w:trHeight w:val="216"/>
        </w:trPr>
        <w:tc>
          <w:tcPr>
            <w:tcW w:w="3531" w:type="dxa"/>
            <w:tcBorders>
              <w:top w:val="nil"/>
              <w:left w:val="nil"/>
              <w:bottom w:val="nil"/>
              <w:right w:val="nil"/>
            </w:tcBorders>
            <w:shd w:val="clear" w:color="auto" w:fill="auto"/>
            <w:noWrap/>
            <w:vAlign w:val="center"/>
            <w:hideMark/>
          </w:tcPr>
          <w:p w14:paraId="43AD6C75" w14:textId="77777777" w:rsidR="004D3F23" w:rsidRPr="008E6ED9" w:rsidRDefault="004D3F23" w:rsidP="004D3F23">
            <w:pPr>
              <w:keepNext/>
              <w:spacing w:after="0"/>
              <w:rPr>
                <w:rFonts w:eastAsia="Times New Roman" w:cstheme="minorHAnsi"/>
                <w:sz w:val="18"/>
                <w:szCs w:val="18"/>
              </w:rPr>
            </w:pPr>
            <w:r w:rsidRPr="008E6ED9">
              <w:rPr>
                <w:rFonts w:eastAsia="Times New Roman" w:cstheme="minorHAnsi"/>
                <w:sz w:val="18"/>
                <w:szCs w:val="18"/>
              </w:rPr>
              <w:t>per capita GDP, nominal (dollars)</w:t>
            </w:r>
          </w:p>
        </w:tc>
        <w:tc>
          <w:tcPr>
            <w:tcW w:w="1219" w:type="dxa"/>
            <w:tcBorders>
              <w:top w:val="nil"/>
              <w:left w:val="nil"/>
              <w:bottom w:val="nil"/>
              <w:right w:val="nil"/>
            </w:tcBorders>
            <w:shd w:val="clear" w:color="auto" w:fill="auto"/>
            <w:noWrap/>
            <w:vAlign w:val="center"/>
            <w:hideMark/>
          </w:tcPr>
          <w:p w14:paraId="6F268BFC" w14:textId="77777777" w:rsidR="004D3F23" w:rsidRPr="008E6ED9" w:rsidRDefault="004D3F23" w:rsidP="004D3F23">
            <w:pPr>
              <w:keepNext/>
              <w:spacing w:after="0"/>
              <w:jc w:val="right"/>
              <w:rPr>
                <w:rFonts w:eastAsia="Times New Roman" w:cstheme="minorHAnsi"/>
                <w:sz w:val="18"/>
                <w:szCs w:val="18"/>
              </w:rPr>
            </w:pPr>
            <w:r w:rsidRPr="008E6ED9">
              <w:rPr>
                <w:rFonts w:eastAsia="Times New Roman" w:cstheme="minorHAnsi"/>
                <w:sz w:val="18"/>
                <w:szCs w:val="18"/>
              </w:rPr>
              <w:t>332</w:t>
            </w:r>
          </w:p>
        </w:tc>
        <w:tc>
          <w:tcPr>
            <w:tcW w:w="1219" w:type="dxa"/>
            <w:tcBorders>
              <w:top w:val="nil"/>
              <w:left w:val="nil"/>
              <w:bottom w:val="nil"/>
              <w:right w:val="nil"/>
            </w:tcBorders>
            <w:shd w:val="clear" w:color="auto" w:fill="auto"/>
            <w:noWrap/>
            <w:hideMark/>
          </w:tcPr>
          <w:p w14:paraId="34D52754" w14:textId="77777777" w:rsidR="004D3F23" w:rsidRPr="008E6ED9" w:rsidRDefault="004D3F23" w:rsidP="004D3F23">
            <w:pPr>
              <w:keepNext/>
              <w:spacing w:after="0"/>
              <w:jc w:val="right"/>
              <w:rPr>
                <w:rFonts w:eastAsia="Times New Roman" w:cstheme="minorHAnsi"/>
                <w:sz w:val="18"/>
                <w:szCs w:val="18"/>
              </w:rPr>
            </w:pPr>
            <w:r w:rsidRPr="008E6ED9">
              <w:rPr>
                <w:rFonts w:eastAsia="Times New Roman" w:cstheme="minorHAnsi"/>
                <w:sz w:val="18"/>
                <w:szCs w:val="18"/>
              </w:rPr>
              <w:t>338</w:t>
            </w:r>
          </w:p>
        </w:tc>
        <w:tc>
          <w:tcPr>
            <w:tcW w:w="937" w:type="dxa"/>
            <w:tcBorders>
              <w:top w:val="nil"/>
              <w:left w:val="nil"/>
              <w:bottom w:val="nil"/>
              <w:right w:val="nil"/>
            </w:tcBorders>
            <w:shd w:val="clear" w:color="auto" w:fill="auto"/>
            <w:noWrap/>
          </w:tcPr>
          <w:p w14:paraId="705280D4" w14:textId="5C291B94" w:rsidR="004D3F23" w:rsidRPr="008E6ED9" w:rsidRDefault="004D3F23" w:rsidP="004D3F23">
            <w:pPr>
              <w:keepNext/>
              <w:spacing w:after="0"/>
              <w:jc w:val="right"/>
              <w:rPr>
                <w:rFonts w:eastAsia="Times New Roman" w:cstheme="minorHAnsi"/>
                <w:sz w:val="18"/>
                <w:szCs w:val="18"/>
              </w:rPr>
            </w:pPr>
            <w:r w:rsidRPr="001E09E9">
              <w:rPr>
                <w:rFonts w:eastAsia="Times New Roman" w:cstheme="minorHAnsi"/>
                <w:sz w:val="18"/>
                <w:szCs w:val="18"/>
              </w:rPr>
              <w:t xml:space="preserve"> 331 </w:t>
            </w:r>
          </w:p>
        </w:tc>
        <w:tc>
          <w:tcPr>
            <w:tcW w:w="830" w:type="dxa"/>
            <w:tcBorders>
              <w:top w:val="nil"/>
              <w:left w:val="nil"/>
              <w:bottom w:val="nil"/>
              <w:right w:val="nil"/>
            </w:tcBorders>
            <w:shd w:val="clear" w:color="auto" w:fill="D0CECE" w:themeFill="background2" w:themeFillShade="E6"/>
            <w:noWrap/>
          </w:tcPr>
          <w:p w14:paraId="28253183" w14:textId="3013E451" w:rsidR="004D3F23" w:rsidRPr="008E6ED9" w:rsidRDefault="004D3F23" w:rsidP="00A9160A">
            <w:pPr>
              <w:keepNext/>
              <w:spacing w:after="0"/>
              <w:jc w:val="right"/>
              <w:rPr>
                <w:rFonts w:eastAsia="Times New Roman" w:cstheme="minorHAnsi"/>
                <w:sz w:val="18"/>
                <w:szCs w:val="18"/>
              </w:rPr>
            </w:pPr>
            <w:r w:rsidRPr="001E09E9">
              <w:rPr>
                <w:rFonts w:eastAsia="Times New Roman" w:cstheme="minorHAnsi"/>
                <w:sz w:val="18"/>
                <w:szCs w:val="18"/>
              </w:rPr>
              <w:t xml:space="preserve">350 </w:t>
            </w:r>
          </w:p>
        </w:tc>
        <w:tc>
          <w:tcPr>
            <w:tcW w:w="839" w:type="dxa"/>
            <w:tcBorders>
              <w:top w:val="nil"/>
              <w:left w:val="nil"/>
              <w:bottom w:val="nil"/>
              <w:right w:val="nil"/>
            </w:tcBorders>
            <w:shd w:val="clear" w:color="auto" w:fill="D0CECE" w:themeFill="background2" w:themeFillShade="E6"/>
            <w:noWrap/>
          </w:tcPr>
          <w:p w14:paraId="35E94907" w14:textId="062AD251" w:rsidR="004D3F23" w:rsidRPr="008E6ED9" w:rsidRDefault="004D3F23" w:rsidP="00A9160A">
            <w:pPr>
              <w:keepNext/>
              <w:spacing w:after="0"/>
              <w:jc w:val="right"/>
              <w:rPr>
                <w:rFonts w:eastAsia="Times New Roman" w:cstheme="minorHAnsi"/>
                <w:sz w:val="18"/>
                <w:szCs w:val="18"/>
              </w:rPr>
            </w:pPr>
            <w:r w:rsidRPr="001E09E9">
              <w:rPr>
                <w:rFonts w:eastAsia="Times New Roman" w:cstheme="minorHAnsi"/>
                <w:sz w:val="18"/>
                <w:szCs w:val="18"/>
              </w:rPr>
              <w:t xml:space="preserve">359 </w:t>
            </w:r>
          </w:p>
        </w:tc>
        <w:tc>
          <w:tcPr>
            <w:tcW w:w="638" w:type="dxa"/>
            <w:tcBorders>
              <w:top w:val="nil"/>
              <w:left w:val="nil"/>
              <w:bottom w:val="nil"/>
              <w:right w:val="nil"/>
            </w:tcBorders>
            <w:shd w:val="clear" w:color="auto" w:fill="D0CECE" w:themeFill="background2" w:themeFillShade="E6"/>
          </w:tcPr>
          <w:p w14:paraId="51A37499" w14:textId="4787D9BC" w:rsidR="004D3F23" w:rsidRPr="008E6ED9" w:rsidRDefault="004D3F23" w:rsidP="00A9160A">
            <w:pPr>
              <w:keepNext/>
              <w:spacing w:after="0"/>
              <w:jc w:val="right"/>
              <w:rPr>
                <w:rFonts w:eastAsia="Times New Roman" w:cstheme="minorHAnsi"/>
                <w:sz w:val="18"/>
                <w:szCs w:val="18"/>
              </w:rPr>
            </w:pPr>
            <w:r w:rsidRPr="001E09E9">
              <w:rPr>
                <w:rFonts w:eastAsia="Times New Roman" w:cstheme="minorHAnsi"/>
                <w:sz w:val="18"/>
                <w:szCs w:val="18"/>
              </w:rPr>
              <w:t xml:space="preserve">369 </w:t>
            </w:r>
          </w:p>
        </w:tc>
      </w:tr>
      <w:tr w:rsidR="00686A00" w:rsidRPr="0039488C" w14:paraId="460011F3" w14:textId="77777777" w:rsidTr="001E09E9">
        <w:trPr>
          <w:trHeight w:val="216"/>
        </w:trPr>
        <w:tc>
          <w:tcPr>
            <w:tcW w:w="3531" w:type="dxa"/>
            <w:tcBorders>
              <w:top w:val="nil"/>
              <w:left w:val="nil"/>
              <w:bottom w:val="nil"/>
              <w:right w:val="nil"/>
            </w:tcBorders>
            <w:shd w:val="clear" w:color="auto" w:fill="auto"/>
            <w:noWrap/>
            <w:vAlign w:val="center"/>
            <w:hideMark/>
          </w:tcPr>
          <w:p w14:paraId="195E1760"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Poverty incidence (US$1.90/day PPP)</w:t>
            </w:r>
          </w:p>
        </w:tc>
        <w:tc>
          <w:tcPr>
            <w:tcW w:w="1219" w:type="dxa"/>
            <w:tcBorders>
              <w:top w:val="nil"/>
              <w:left w:val="nil"/>
              <w:bottom w:val="nil"/>
              <w:right w:val="nil"/>
            </w:tcBorders>
            <w:shd w:val="clear" w:color="auto" w:fill="auto"/>
            <w:noWrap/>
            <w:hideMark/>
          </w:tcPr>
          <w:p w14:paraId="49B36D7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69</w:t>
            </w:r>
          </w:p>
        </w:tc>
        <w:tc>
          <w:tcPr>
            <w:tcW w:w="1219" w:type="dxa"/>
            <w:tcBorders>
              <w:top w:val="nil"/>
              <w:left w:val="nil"/>
              <w:bottom w:val="nil"/>
              <w:right w:val="nil"/>
            </w:tcBorders>
            <w:shd w:val="clear" w:color="auto" w:fill="auto"/>
            <w:noWrap/>
            <w:vAlign w:val="bottom"/>
            <w:hideMark/>
          </w:tcPr>
          <w:p w14:paraId="037AE219" w14:textId="77777777" w:rsidR="00686A00" w:rsidRPr="008E6ED9" w:rsidRDefault="00686A00" w:rsidP="00631AFD">
            <w:pPr>
              <w:keepNext/>
              <w:spacing w:after="0"/>
              <w:rPr>
                <w:rFonts w:eastAsia="Times New Roman" w:cstheme="minorHAnsi"/>
                <w:sz w:val="18"/>
                <w:szCs w:val="18"/>
              </w:rPr>
            </w:pPr>
          </w:p>
        </w:tc>
        <w:tc>
          <w:tcPr>
            <w:tcW w:w="937" w:type="dxa"/>
            <w:tcBorders>
              <w:top w:val="nil"/>
              <w:left w:val="nil"/>
              <w:bottom w:val="nil"/>
              <w:right w:val="nil"/>
            </w:tcBorders>
            <w:shd w:val="clear" w:color="auto" w:fill="FFFFFF" w:themeFill="background1"/>
            <w:noWrap/>
            <w:hideMark/>
          </w:tcPr>
          <w:p w14:paraId="1C407C3A"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0" w:type="dxa"/>
            <w:tcBorders>
              <w:top w:val="nil"/>
              <w:left w:val="nil"/>
              <w:bottom w:val="nil"/>
              <w:right w:val="nil"/>
            </w:tcBorders>
            <w:shd w:val="clear" w:color="auto" w:fill="D0CECE" w:themeFill="background2" w:themeFillShade="E6"/>
            <w:noWrap/>
            <w:hideMark/>
          </w:tcPr>
          <w:p w14:paraId="70EA77D0"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9" w:type="dxa"/>
            <w:tcBorders>
              <w:top w:val="nil"/>
              <w:left w:val="nil"/>
              <w:bottom w:val="nil"/>
              <w:right w:val="nil"/>
            </w:tcBorders>
            <w:shd w:val="clear" w:color="auto" w:fill="D0CECE" w:themeFill="background2" w:themeFillShade="E6"/>
            <w:noWrap/>
            <w:hideMark/>
          </w:tcPr>
          <w:p w14:paraId="6E034FFC"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638" w:type="dxa"/>
            <w:tcBorders>
              <w:top w:val="nil"/>
              <w:left w:val="nil"/>
              <w:bottom w:val="nil"/>
              <w:right w:val="nil"/>
            </w:tcBorders>
            <w:shd w:val="clear" w:color="auto" w:fill="D0CECE" w:themeFill="background2" w:themeFillShade="E6"/>
          </w:tcPr>
          <w:p w14:paraId="10206645" w14:textId="77777777" w:rsidR="00686A00" w:rsidRPr="008E6ED9" w:rsidRDefault="00686A00" w:rsidP="00631AFD">
            <w:pPr>
              <w:keepNext/>
              <w:spacing w:after="0"/>
              <w:rPr>
                <w:rFonts w:eastAsia="Times New Roman" w:cstheme="minorHAnsi"/>
                <w:sz w:val="18"/>
                <w:szCs w:val="18"/>
              </w:rPr>
            </w:pPr>
          </w:p>
        </w:tc>
      </w:tr>
      <w:tr w:rsidR="00686A00" w:rsidRPr="0039488C" w14:paraId="06337DA3" w14:textId="77777777" w:rsidTr="00CE0C6F">
        <w:trPr>
          <w:trHeight w:val="216"/>
        </w:trPr>
        <w:tc>
          <w:tcPr>
            <w:tcW w:w="3531" w:type="dxa"/>
            <w:tcBorders>
              <w:top w:val="nil"/>
              <w:left w:val="nil"/>
              <w:bottom w:val="nil"/>
              <w:right w:val="nil"/>
            </w:tcBorders>
            <w:shd w:val="clear" w:color="auto" w:fill="auto"/>
            <w:noWrap/>
            <w:vAlign w:val="center"/>
            <w:hideMark/>
          </w:tcPr>
          <w:p w14:paraId="0BBD698D" w14:textId="77777777" w:rsidR="00686A00" w:rsidRPr="008E6ED9" w:rsidRDefault="00686A00" w:rsidP="00631AFD">
            <w:pPr>
              <w:keepNext/>
              <w:spacing w:after="0"/>
              <w:rPr>
                <w:rFonts w:eastAsia="Times New Roman" w:cstheme="minorHAnsi"/>
                <w:b/>
                <w:bCs/>
                <w:sz w:val="18"/>
                <w:szCs w:val="18"/>
              </w:rPr>
            </w:pPr>
            <w:r w:rsidRPr="008E6ED9">
              <w:rPr>
                <w:rFonts w:eastAsia="Times New Roman" w:cstheme="minorHAnsi"/>
                <w:b/>
                <w:bCs/>
                <w:sz w:val="18"/>
                <w:szCs w:val="18"/>
              </w:rPr>
              <w:t>Money and prices</w:t>
            </w:r>
          </w:p>
        </w:tc>
        <w:tc>
          <w:tcPr>
            <w:tcW w:w="1219" w:type="dxa"/>
            <w:tcBorders>
              <w:top w:val="nil"/>
              <w:left w:val="nil"/>
              <w:bottom w:val="nil"/>
              <w:right w:val="nil"/>
            </w:tcBorders>
            <w:shd w:val="clear" w:color="auto" w:fill="auto"/>
            <w:noWrap/>
            <w:hideMark/>
          </w:tcPr>
          <w:p w14:paraId="7C870AA1" w14:textId="77777777" w:rsidR="00686A00" w:rsidRPr="008E6ED9" w:rsidRDefault="00686A00" w:rsidP="00631AFD">
            <w:pPr>
              <w:keepNext/>
              <w:spacing w:after="0"/>
              <w:rPr>
                <w:rFonts w:eastAsia="Times New Roman" w:cstheme="minorHAnsi"/>
                <w:b/>
                <w:bCs/>
                <w:sz w:val="18"/>
                <w:szCs w:val="18"/>
              </w:rPr>
            </w:pPr>
          </w:p>
        </w:tc>
        <w:tc>
          <w:tcPr>
            <w:tcW w:w="1219" w:type="dxa"/>
            <w:tcBorders>
              <w:top w:val="nil"/>
              <w:left w:val="nil"/>
              <w:bottom w:val="nil"/>
              <w:right w:val="nil"/>
            </w:tcBorders>
            <w:shd w:val="clear" w:color="auto" w:fill="auto"/>
            <w:noWrap/>
            <w:hideMark/>
          </w:tcPr>
          <w:p w14:paraId="63AFBC78" w14:textId="77777777" w:rsidR="00686A00" w:rsidRPr="008E6ED9" w:rsidRDefault="00686A00" w:rsidP="00631AFD">
            <w:pPr>
              <w:keepNext/>
              <w:spacing w:after="0"/>
              <w:rPr>
                <w:rFonts w:eastAsia="Times New Roman" w:cstheme="minorHAnsi"/>
                <w:sz w:val="18"/>
                <w:szCs w:val="18"/>
              </w:rPr>
            </w:pPr>
          </w:p>
        </w:tc>
        <w:tc>
          <w:tcPr>
            <w:tcW w:w="937" w:type="dxa"/>
            <w:tcBorders>
              <w:top w:val="nil"/>
              <w:left w:val="nil"/>
              <w:bottom w:val="nil"/>
              <w:right w:val="nil"/>
            </w:tcBorders>
            <w:shd w:val="clear" w:color="auto" w:fill="FFFFFF" w:themeFill="background1"/>
            <w:noWrap/>
            <w:hideMark/>
          </w:tcPr>
          <w:p w14:paraId="67DE3CB4"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0" w:type="dxa"/>
            <w:tcBorders>
              <w:top w:val="nil"/>
              <w:left w:val="nil"/>
              <w:bottom w:val="nil"/>
              <w:right w:val="nil"/>
            </w:tcBorders>
            <w:shd w:val="clear" w:color="auto" w:fill="D0CECE" w:themeFill="background2" w:themeFillShade="E6"/>
            <w:noWrap/>
            <w:hideMark/>
          </w:tcPr>
          <w:p w14:paraId="53CBC1EC"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9" w:type="dxa"/>
            <w:tcBorders>
              <w:top w:val="nil"/>
              <w:left w:val="nil"/>
              <w:bottom w:val="nil"/>
              <w:right w:val="nil"/>
            </w:tcBorders>
            <w:shd w:val="clear" w:color="000000" w:fill="D0CECE"/>
            <w:noWrap/>
            <w:hideMark/>
          </w:tcPr>
          <w:p w14:paraId="4ADB503A"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638" w:type="dxa"/>
            <w:tcBorders>
              <w:top w:val="nil"/>
              <w:left w:val="nil"/>
              <w:bottom w:val="nil"/>
              <w:right w:val="nil"/>
            </w:tcBorders>
            <w:shd w:val="clear" w:color="000000" w:fill="D0CECE"/>
          </w:tcPr>
          <w:p w14:paraId="5AA1A493" w14:textId="77777777" w:rsidR="00686A00" w:rsidRPr="008E6ED9" w:rsidRDefault="00686A00" w:rsidP="00631AFD">
            <w:pPr>
              <w:keepNext/>
              <w:spacing w:after="0"/>
              <w:rPr>
                <w:rFonts w:eastAsia="Times New Roman" w:cstheme="minorHAnsi"/>
                <w:sz w:val="18"/>
                <w:szCs w:val="18"/>
              </w:rPr>
            </w:pPr>
          </w:p>
        </w:tc>
      </w:tr>
      <w:tr w:rsidR="00686A00" w:rsidRPr="0039488C" w14:paraId="2527F7B3" w14:textId="77777777" w:rsidTr="00CE0C6F">
        <w:trPr>
          <w:trHeight w:val="216"/>
        </w:trPr>
        <w:tc>
          <w:tcPr>
            <w:tcW w:w="3531" w:type="dxa"/>
            <w:tcBorders>
              <w:top w:val="nil"/>
              <w:left w:val="nil"/>
              <w:bottom w:val="nil"/>
              <w:right w:val="nil"/>
            </w:tcBorders>
            <w:shd w:val="clear" w:color="auto" w:fill="auto"/>
            <w:noWrap/>
            <w:vAlign w:val="center"/>
            <w:hideMark/>
          </w:tcPr>
          <w:p w14:paraId="00678EB7" w14:textId="1A40A709"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CPI inflation rate (</w:t>
            </w:r>
            <w:proofErr w:type="spellStart"/>
            <w:r w:rsidRPr="008E6ED9">
              <w:rPr>
                <w:rFonts w:eastAsia="Times New Roman" w:cstheme="minorHAnsi"/>
                <w:sz w:val="18"/>
                <w:szCs w:val="18"/>
              </w:rPr>
              <w:t>e</w:t>
            </w:r>
            <w:r>
              <w:rPr>
                <w:rFonts w:eastAsia="Times New Roman" w:cstheme="minorHAnsi"/>
                <w:sz w:val="18"/>
                <w:szCs w:val="18"/>
              </w:rPr>
              <w:t>.</w:t>
            </w:r>
            <w:r w:rsidRPr="008E6ED9">
              <w:rPr>
                <w:rFonts w:eastAsia="Times New Roman" w:cstheme="minorHAnsi"/>
                <w:sz w:val="18"/>
                <w:szCs w:val="18"/>
              </w:rPr>
              <w:t>o</w:t>
            </w:r>
            <w:r>
              <w:rPr>
                <w:rFonts w:eastAsia="Times New Roman" w:cstheme="minorHAnsi"/>
                <w:sz w:val="18"/>
                <w:szCs w:val="18"/>
              </w:rPr>
              <w:t>.</w:t>
            </w:r>
            <w:r w:rsidRPr="008E6ED9">
              <w:rPr>
                <w:rFonts w:eastAsia="Times New Roman" w:cstheme="minorHAnsi"/>
                <w:sz w:val="18"/>
                <w:szCs w:val="18"/>
              </w:rPr>
              <w:t>p</w:t>
            </w:r>
            <w:proofErr w:type="spellEnd"/>
            <w:r w:rsidRPr="008E6ED9">
              <w:rPr>
                <w:rFonts w:eastAsia="Times New Roman" w:cstheme="minorHAnsi"/>
                <w:sz w:val="18"/>
                <w:szCs w:val="18"/>
              </w:rPr>
              <w:t>)</w:t>
            </w:r>
          </w:p>
        </w:tc>
        <w:tc>
          <w:tcPr>
            <w:tcW w:w="1219" w:type="dxa"/>
            <w:tcBorders>
              <w:top w:val="nil"/>
              <w:left w:val="nil"/>
              <w:bottom w:val="nil"/>
              <w:right w:val="nil"/>
            </w:tcBorders>
            <w:shd w:val="clear" w:color="auto" w:fill="auto"/>
            <w:vAlign w:val="center"/>
            <w:hideMark/>
          </w:tcPr>
          <w:p w14:paraId="1FDAB44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3.2</w:t>
            </w:r>
          </w:p>
        </w:tc>
        <w:tc>
          <w:tcPr>
            <w:tcW w:w="1219" w:type="dxa"/>
            <w:tcBorders>
              <w:top w:val="nil"/>
              <w:left w:val="nil"/>
              <w:bottom w:val="nil"/>
              <w:right w:val="nil"/>
            </w:tcBorders>
            <w:shd w:val="clear" w:color="auto" w:fill="auto"/>
            <w:vAlign w:val="center"/>
            <w:hideMark/>
          </w:tcPr>
          <w:p w14:paraId="24440C8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w:t>
            </w:r>
          </w:p>
        </w:tc>
        <w:tc>
          <w:tcPr>
            <w:tcW w:w="937" w:type="dxa"/>
            <w:tcBorders>
              <w:top w:val="nil"/>
              <w:left w:val="nil"/>
              <w:bottom w:val="nil"/>
              <w:right w:val="nil"/>
            </w:tcBorders>
            <w:shd w:val="clear" w:color="auto" w:fill="FFFFFF" w:themeFill="background1"/>
            <w:vAlign w:val="center"/>
            <w:hideMark/>
          </w:tcPr>
          <w:p w14:paraId="61A1400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4.1</w:t>
            </w:r>
          </w:p>
        </w:tc>
        <w:tc>
          <w:tcPr>
            <w:tcW w:w="830" w:type="dxa"/>
            <w:tcBorders>
              <w:top w:val="nil"/>
              <w:left w:val="nil"/>
              <w:bottom w:val="nil"/>
              <w:right w:val="nil"/>
            </w:tcBorders>
            <w:shd w:val="clear" w:color="auto" w:fill="D0CECE" w:themeFill="background2" w:themeFillShade="E6"/>
            <w:vAlign w:val="center"/>
          </w:tcPr>
          <w:p w14:paraId="0222341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2.5</w:t>
            </w:r>
          </w:p>
        </w:tc>
        <w:tc>
          <w:tcPr>
            <w:tcW w:w="839" w:type="dxa"/>
            <w:tcBorders>
              <w:top w:val="nil"/>
              <w:left w:val="nil"/>
              <w:bottom w:val="nil"/>
              <w:right w:val="nil"/>
            </w:tcBorders>
            <w:shd w:val="clear" w:color="000000" w:fill="D0CECE"/>
            <w:vAlign w:val="center"/>
          </w:tcPr>
          <w:p w14:paraId="7535579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2.1</w:t>
            </w:r>
          </w:p>
        </w:tc>
        <w:tc>
          <w:tcPr>
            <w:tcW w:w="638" w:type="dxa"/>
            <w:tcBorders>
              <w:top w:val="nil"/>
              <w:left w:val="nil"/>
              <w:bottom w:val="nil"/>
              <w:right w:val="nil"/>
            </w:tcBorders>
            <w:shd w:val="clear" w:color="000000" w:fill="D0CECE"/>
          </w:tcPr>
          <w:p w14:paraId="1A6EBBD1"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2.1</w:t>
            </w:r>
          </w:p>
        </w:tc>
      </w:tr>
      <w:tr w:rsidR="00686A00" w:rsidRPr="0039488C" w14:paraId="2328E04F" w14:textId="77777777" w:rsidTr="00CE0C6F">
        <w:trPr>
          <w:trHeight w:val="216"/>
        </w:trPr>
        <w:tc>
          <w:tcPr>
            <w:tcW w:w="3531" w:type="dxa"/>
            <w:tcBorders>
              <w:top w:val="nil"/>
              <w:left w:val="nil"/>
              <w:bottom w:val="nil"/>
              <w:right w:val="nil"/>
            </w:tcBorders>
            <w:shd w:val="clear" w:color="auto" w:fill="auto"/>
            <w:noWrap/>
            <w:vAlign w:val="center"/>
            <w:hideMark/>
          </w:tcPr>
          <w:p w14:paraId="09565F67"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Private credit (growth, percentage)</w:t>
            </w:r>
          </w:p>
        </w:tc>
        <w:tc>
          <w:tcPr>
            <w:tcW w:w="1219" w:type="dxa"/>
            <w:tcBorders>
              <w:top w:val="nil"/>
              <w:left w:val="nil"/>
              <w:bottom w:val="nil"/>
              <w:right w:val="nil"/>
            </w:tcBorders>
            <w:shd w:val="clear" w:color="auto" w:fill="auto"/>
            <w:noWrap/>
            <w:vAlign w:val="center"/>
            <w:hideMark/>
          </w:tcPr>
          <w:p w14:paraId="5196AFE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9.2</w:t>
            </w:r>
          </w:p>
        </w:tc>
        <w:tc>
          <w:tcPr>
            <w:tcW w:w="1219" w:type="dxa"/>
            <w:tcBorders>
              <w:top w:val="nil"/>
              <w:left w:val="nil"/>
              <w:bottom w:val="nil"/>
              <w:right w:val="nil"/>
            </w:tcBorders>
            <w:shd w:val="clear" w:color="auto" w:fill="auto"/>
            <w:noWrap/>
            <w:hideMark/>
          </w:tcPr>
          <w:p w14:paraId="1CE8428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11.8</w:t>
            </w:r>
          </w:p>
        </w:tc>
        <w:tc>
          <w:tcPr>
            <w:tcW w:w="937" w:type="dxa"/>
            <w:tcBorders>
              <w:top w:val="nil"/>
              <w:left w:val="nil"/>
              <w:bottom w:val="nil"/>
              <w:right w:val="nil"/>
            </w:tcBorders>
            <w:shd w:val="clear" w:color="auto" w:fill="FFFFFF" w:themeFill="background1"/>
            <w:noWrap/>
            <w:hideMark/>
          </w:tcPr>
          <w:p w14:paraId="154D4C0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6.5</w:t>
            </w:r>
          </w:p>
        </w:tc>
        <w:tc>
          <w:tcPr>
            <w:tcW w:w="830" w:type="dxa"/>
            <w:tcBorders>
              <w:top w:val="nil"/>
              <w:left w:val="nil"/>
              <w:bottom w:val="nil"/>
              <w:right w:val="nil"/>
            </w:tcBorders>
            <w:shd w:val="clear" w:color="auto" w:fill="D0CECE" w:themeFill="background2" w:themeFillShade="E6"/>
            <w:noWrap/>
          </w:tcPr>
          <w:p w14:paraId="516A5C3E" w14:textId="77777777" w:rsidR="00686A00" w:rsidRPr="008E6ED9" w:rsidRDefault="00686A00" w:rsidP="00631AFD">
            <w:pPr>
              <w:keepNext/>
              <w:spacing w:after="0"/>
              <w:jc w:val="right"/>
              <w:rPr>
                <w:rFonts w:eastAsia="Times New Roman" w:cstheme="minorHAnsi"/>
                <w:sz w:val="18"/>
                <w:szCs w:val="18"/>
              </w:rPr>
            </w:pPr>
          </w:p>
        </w:tc>
        <w:tc>
          <w:tcPr>
            <w:tcW w:w="839" w:type="dxa"/>
            <w:tcBorders>
              <w:top w:val="nil"/>
              <w:left w:val="nil"/>
              <w:bottom w:val="nil"/>
              <w:right w:val="nil"/>
            </w:tcBorders>
            <w:shd w:val="clear" w:color="000000" w:fill="D0CECE"/>
            <w:noWrap/>
          </w:tcPr>
          <w:p w14:paraId="78619D19" w14:textId="77777777" w:rsidR="00686A00" w:rsidRPr="008E6ED9" w:rsidRDefault="00686A00" w:rsidP="00631AFD">
            <w:pPr>
              <w:keepNext/>
              <w:spacing w:after="0"/>
              <w:jc w:val="right"/>
              <w:rPr>
                <w:rFonts w:eastAsia="Times New Roman" w:cstheme="minorHAnsi"/>
                <w:sz w:val="18"/>
                <w:szCs w:val="18"/>
              </w:rPr>
            </w:pPr>
          </w:p>
        </w:tc>
        <w:tc>
          <w:tcPr>
            <w:tcW w:w="638" w:type="dxa"/>
            <w:tcBorders>
              <w:top w:val="nil"/>
              <w:left w:val="nil"/>
              <w:bottom w:val="nil"/>
              <w:right w:val="nil"/>
            </w:tcBorders>
            <w:shd w:val="clear" w:color="000000" w:fill="D0CECE"/>
          </w:tcPr>
          <w:p w14:paraId="53D4BB79" w14:textId="77777777" w:rsidR="00686A00" w:rsidRPr="008E6ED9" w:rsidRDefault="00686A00" w:rsidP="00631AFD">
            <w:pPr>
              <w:keepNext/>
              <w:spacing w:after="0"/>
              <w:jc w:val="right"/>
              <w:rPr>
                <w:rFonts w:eastAsia="Times New Roman" w:cstheme="minorHAnsi"/>
                <w:sz w:val="18"/>
                <w:szCs w:val="18"/>
              </w:rPr>
            </w:pPr>
          </w:p>
        </w:tc>
      </w:tr>
      <w:tr w:rsidR="00686A00" w:rsidRPr="0039488C" w14:paraId="4FEB542E" w14:textId="77777777" w:rsidTr="00CE0C6F">
        <w:trPr>
          <w:trHeight w:val="216"/>
        </w:trPr>
        <w:tc>
          <w:tcPr>
            <w:tcW w:w="3531" w:type="dxa"/>
            <w:tcBorders>
              <w:top w:val="nil"/>
              <w:left w:val="nil"/>
              <w:bottom w:val="nil"/>
              <w:right w:val="nil"/>
            </w:tcBorders>
            <w:shd w:val="clear" w:color="auto" w:fill="auto"/>
            <w:noWrap/>
            <w:vAlign w:val="center"/>
            <w:hideMark/>
          </w:tcPr>
          <w:p w14:paraId="7231F7E2"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Private credit (share of GDP)</w:t>
            </w:r>
          </w:p>
        </w:tc>
        <w:tc>
          <w:tcPr>
            <w:tcW w:w="1219" w:type="dxa"/>
            <w:tcBorders>
              <w:top w:val="nil"/>
              <w:left w:val="nil"/>
              <w:bottom w:val="nil"/>
              <w:right w:val="nil"/>
            </w:tcBorders>
            <w:shd w:val="clear" w:color="auto" w:fill="auto"/>
            <w:noWrap/>
            <w:vAlign w:val="center"/>
            <w:hideMark/>
          </w:tcPr>
          <w:p w14:paraId="01FF9A5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2.3</w:t>
            </w:r>
          </w:p>
        </w:tc>
        <w:tc>
          <w:tcPr>
            <w:tcW w:w="1219" w:type="dxa"/>
            <w:tcBorders>
              <w:top w:val="nil"/>
              <w:left w:val="nil"/>
              <w:bottom w:val="nil"/>
              <w:right w:val="nil"/>
            </w:tcBorders>
            <w:shd w:val="clear" w:color="auto" w:fill="auto"/>
            <w:noWrap/>
            <w:vAlign w:val="center"/>
            <w:hideMark/>
          </w:tcPr>
          <w:p w14:paraId="45D1554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3.9</w:t>
            </w:r>
          </w:p>
        </w:tc>
        <w:tc>
          <w:tcPr>
            <w:tcW w:w="937" w:type="dxa"/>
            <w:tcBorders>
              <w:top w:val="nil"/>
              <w:left w:val="nil"/>
              <w:bottom w:val="nil"/>
              <w:right w:val="nil"/>
            </w:tcBorders>
            <w:shd w:val="clear" w:color="auto" w:fill="FFFFFF" w:themeFill="background1"/>
            <w:noWrap/>
            <w:vAlign w:val="center"/>
            <w:hideMark/>
          </w:tcPr>
          <w:p w14:paraId="0AC12B7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4.2</w:t>
            </w:r>
          </w:p>
        </w:tc>
        <w:tc>
          <w:tcPr>
            <w:tcW w:w="830" w:type="dxa"/>
            <w:tcBorders>
              <w:top w:val="nil"/>
              <w:left w:val="nil"/>
              <w:bottom w:val="nil"/>
              <w:right w:val="nil"/>
            </w:tcBorders>
            <w:shd w:val="clear" w:color="auto" w:fill="D0CECE" w:themeFill="background2" w:themeFillShade="E6"/>
            <w:noWrap/>
            <w:vAlign w:val="center"/>
          </w:tcPr>
          <w:p w14:paraId="2FAD0DDB" w14:textId="77777777" w:rsidR="00686A00" w:rsidRPr="008E6ED9" w:rsidRDefault="00686A00" w:rsidP="00631AFD">
            <w:pPr>
              <w:keepNext/>
              <w:spacing w:after="0"/>
              <w:jc w:val="right"/>
              <w:rPr>
                <w:rFonts w:eastAsia="Times New Roman" w:cstheme="minorHAnsi"/>
                <w:sz w:val="18"/>
                <w:szCs w:val="18"/>
              </w:rPr>
            </w:pPr>
          </w:p>
        </w:tc>
        <w:tc>
          <w:tcPr>
            <w:tcW w:w="839" w:type="dxa"/>
            <w:tcBorders>
              <w:top w:val="nil"/>
              <w:left w:val="nil"/>
              <w:bottom w:val="nil"/>
              <w:right w:val="nil"/>
            </w:tcBorders>
            <w:shd w:val="clear" w:color="000000" w:fill="D0CECE"/>
            <w:noWrap/>
            <w:vAlign w:val="center"/>
          </w:tcPr>
          <w:p w14:paraId="1CF9690C" w14:textId="77777777" w:rsidR="00686A00" w:rsidRPr="008E6ED9" w:rsidRDefault="00686A00" w:rsidP="00631AFD">
            <w:pPr>
              <w:keepNext/>
              <w:spacing w:after="0"/>
              <w:jc w:val="right"/>
              <w:rPr>
                <w:rFonts w:eastAsia="Times New Roman" w:cstheme="minorHAnsi"/>
                <w:sz w:val="18"/>
                <w:szCs w:val="18"/>
              </w:rPr>
            </w:pPr>
          </w:p>
        </w:tc>
        <w:tc>
          <w:tcPr>
            <w:tcW w:w="638" w:type="dxa"/>
            <w:tcBorders>
              <w:top w:val="nil"/>
              <w:left w:val="nil"/>
              <w:bottom w:val="nil"/>
              <w:right w:val="nil"/>
            </w:tcBorders>
            <w:shd w:val="clear" w:color="000000" w:fill="D0CECE"/>
          </w:tcPr>
          <w:p w14:paraId="273FA6B6" w14:textId="77777777" w:rsidR="00686A00" w:rsidRPr="008E6ED9" w:rsidRDefault="00686A00" w:rsidP="00631AFD">
            <w:pPr>
              <w:keepNext/>
              <w:spacing w:after="0"/>
              <w:jc w:val="right"/>
              <w:rPr>
                <w:rFonts w:eastAsia="Times New Roman" w:cstheme="minorHAnsi"/>
                <w:sz w:val="18"/>
                <w:szCs w:val="18"/>
              </w:rPr>
            </w:pPr>
          </w:p>
        </w:tc>
      </w:tr>
      <w:tr w:rsidR="00686A00" w:rsidRPr="0039488C" w14:paraId="3CAAD57D" w14:textId="77777777" w:rsidTr="00CE0C6F">
        <w:trPr>
          <w:trHeight w:val="216"/>
        </w:trPr>
        <w:tc>
          <w:tcPr>
            <w:tcW w:w="3531" w:type="dxa"/>
            <w:tcBorders>
              <w:top w:val="nil"/>
              <w:left w:val="nil"/>
              <w:bottom w:val="nil"/>
              <w:right w:val="nil"/>
            </w:tcBorders>
            <w:shd w:val="clear" w:color="auto" w:fill="auto"/>
            <w:noWrap/>
            <w:vAlign w:val="center"/>
            <w:hideMark/>
          </w:tcPr>
          <w:p w14:paraId="12094E2B" w14:textId="77777777" w:rsidR="00686A00" w:rsidRPr="008E6ED9" w:rsidRDefault="00686A00" w:rsidP="00631AFD">
            <w:pPr>
              <w:keepNext/>
              <w:spacing w:after="0"/>
              <w:rPr>
                <w:rFonts w:eastAsia="Times New Roman" w:cstheme="minorHAnsi"/>
                <w:b/>
                <w:bCs/>
                <w:sz w:val="18"/>
                <w:szCs w:val="18"/>
              </w:rPr>
            </w:pPr>
            <w:r w:rsidRPr="008E6ED9">
              <w:rPr>
                <w:rFonts w:eastAsia="Times New Roman" w:cstheme="minorHAnsi"/>
                <w:b/>
                <w:bCs/>
                <w:sz w:val="18"/>
                <w:szCs w:val="18"/>
              </w:rPr>
              <w:t>Fiscal (central government)</w:t>
            </w:r>
          </w:p>
        </w:tc>
        <w:tc>
          <w:tcPr>
            <w:tcW w:w="1219" w:type="dxa"/>
            <w:tcBorders>
              <w:top w:val="nil"/>
              <w:left w:val="nil"/>
              <w:bottom w:val="nil"/>
              <w:right w:val="nil"/>
            </w:tcBorders>
            <w:shd w:val="clear" w:color="auto" w:fill="auto"/>
            <w:noWrap/>
            <w:hideMark/>
          </w:tcPr>
          <w:p w14:paraId="0A0878DA" w14:textId="77777777" w:rsidR="00686A00" w:rsidRPr="008E6ED9" w:rsidRDefault="00686A00" w:rsidP="00631AFD">
            <w:pPr>
              <w:keepNext/>
              <w:spacing w:after="0"/>
              <w:rPr>
                <w:rFonts w:eastAsia="Times New Roman" w:cstheme="minorHAnsi"/>
                <w:b/>
                <w:bCs/>
                <w:sz w:val="18"/>
                <w:szCs w:val="18"/>
              </w:rPr>
            </w:pPr>
          </w:p>
        </w:tc>
        <w:tc>
          <w:tcPr>
            <w:tcW w:w="1219" w:type="dxa"/>
            <w:tcBorders>
              <w:top w:val="nil"/>
              <w:left w:val="nil"/>
              <w:bottom w:val="nil"/>
              <w:right w:val="nil"/>
            </w:tcBorders>
            <w:shd w:val="clear" w:color="auto" w:fill="auto"/>
            <w:noWrap/>
            <w:vAlign w:val="bottom"/>
            <w:hideMark/>
          </w:tcPr>
          <w:p w14:paraId="021103A3" w14:textId="77777777" w:rsidR="00686A00" w:rsidRPr="008E6ED9" w:rsidRDefault="00686A00" w:rsidP="00631AFD">
            <w:pPr>
              <w:keepNext/>
              <w:spacing w:after="0"/>
              <w:rPr>
                <w:rFonts w:eastAsia="Times New Roman" w:cstheme="minorHAnsi"/>
                <w:sz w:val="18"/>
                <w:szCs w:val="18"/>
              </w:rPr>
            </w:pPr>
          </w:p>
        </w:tc>
        <w:tc>
          <w:tcPr>
            <w:tcW w:w="937" w:type="dxa"/>
            <w:tcBorders>
              <w:top w:val="nil"/>
              <w:left w:val="nil"/>
              <w:bottom w:val="nil"/>
              <w:right w:val="nil"/>
            </w:tcBorders>
            <w:shd w:val="clear" w:color="auto" w:fill="FFFFFF" w:themeFill="background1"/>
            <w:noWrap/>
            <w:vAlign w:val="bottom"/>
            <w:hideMark/>
          </w:tcPr>
          <w:p w14:paraId="61C53FC8"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0" w:type="dxa"/>
            <w:tcBorders>
              <w:top w:val="nil"/>
              <w:left w:val="nil"/>
              <w:bottom w:val="nil"/>
              <w:right w:val="nil"/>
            </w:tcBorders>
            <w:shd w:val="clear" w:color="auto" w:fill="D0CECE" w:themeFill="background2" w:themeFillShade="E6"/>
            <w:noWrap/>
            <w:vAlign w:val="bottom"/>
            <w:hideMark/>
          </w:tcPr>
          <w:p w14:paraId="672CC501"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9" w:type="dxa"/>
            <w:tcBorders>
              <w:top w:val="nil"/>
              <w:left w:val="nil"/>
              <w:bottom w:val="nil"/>
              <w:right w:val="nil"/>
            </w:tcBorders>
            <w:shd w:val="clear" w:color="000000" w:fill="D0CECE"/>
            <w:noWrap/>
            <w:vAlign w:val="bottom"/>
            <w:hideMark/>
          </w:tcPr>
          <w:p w14:paraId="3B8EB70B"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638" w:type="dxa"/>
            <w:tcBorders>
              <w:top w:val="nil"/>
              <w:left w:val="nil"/>
              <w:bottom w:val="nil"/>
              <w:right w:val="nil"/>
            </w:tcBorders>
            <w:shd w:val="clear" w:color="000000" w:fill="D0CECE"/>
          </w:tcPr>
          <w:p w14:paraId="6D10E840" w14:textId="77777777" w:rsidR="00686A00" w:rsidRPr="008E6ED9" w:rsidRDefault="00686A00" w:rsidP="00631AFD">
            <w:pPr>
              <w:keepNext/>
              <w:spacing w:after="0"/>
              <w:rPr>
                <w:rFonts w:eastAsia="Times New Roman" w:cstheme="minorHAnsi"/>
                <w:sz w:val="18"/>
                <w:szCs w:val="18"/>
              </w:rPr>
            </w:pPr>
          </w:p>
        </w:tc>
      </w:tr>
      <w:tr w:rsidR="00686A00" w:rsidRPr="0039488C" w14:paraId="615BDAB8" w14:textId="77777777" w:rsidTr="00CE0C6F">
        <w:trPr>
          <w:trHeight w:val="216"/>
        </w:trPr>
        <w:tc>
          <w:tcPr>
            <w:tcW w:w="3531" w:type="dxa"/>
            <w:tcBorders>
              <w:top w:val="nil"/>
              <w:left w:val="nil"/>
              <w:bottom w:val="nil"/>
              <w:right w:val="nil"/>
            </w:tcBorders>
            <w:shd w:val="clear" w:color="auto" w:fill="auto"/>
            <w:noWrap/>
            <w:vAlign w:val="center"/>
            <w:hideMark/>
          </w:tcPr>
          <w:p w14:paraId="00CCE82B"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Total revenue and grants</w:t>
            </w:r>
          </w:p>
        </w:tc>
        <w:tc>
          <w:tcPr>
            <w:tcW w:w="1219" w:type="dxa"/>
            <w:tcBorders>
              <w:top w:val="nil"/>
              <w:left w:val="nil"/>
              <w:bottom w:val="nil"/>
              <w:right w:val="nil"/>
            </w:tcBorders>
            <w:shd w:val="clear" w:color="auto" w:fill="auto"/>
            <w:noWrap/>
            <w:vAlign w:val="center"/>
            <w:hideMark/>
          </w:tcPr>
          <w:p w14:paraId="4FF35F3C"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5.7</w:t>
            </w:r>
          </w:p>
        </w:tc>
        <w:tc>
          <w:tcPr>
            <w:tcW w:w="1219" w:type="dxa"/>
            <w:tcBorders>
              <w:top w:val="nil"/>
              <w:left w:val="nil"/>
              <w:bottom w:val="nil"/>
              <w:right w:val="nil"/>
            </w:tcBorders>
            <w:shd w:val="clear" w:color="auto" w:fill="auto"/>
            <w:noWrap/>
            <w:vAlign w:val="center"/>
            <w:hideMark/>
          </w:tcPr>
          <w:p w14:paraId="469961AE"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6.8</w:t>
            </w:r>
          </w:p>
        </w:tc>
        <w:tc>
          <w:tcPr>
            <w:tcW w:w="937" w:type="dxa"/>
            <w:tcBorders>
              <w:top w:val="nil"/>
              <w:left w:val="nil"/>
              <w:bottom w:val="nil"/>
              <w:right w:val="nil"/>
            </w:tcBorders>
            <w:shd w:val="clear" w:color="auto" w:fill="FFFFFF" w:themeFill="background1"/>
            <w:noWrap/>
            <w:vAlign w:val="center"/>
          </w:tcPr>
          <w:p w14:paraId="0545303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10.1</w:t>
            </w:r>
          </w:p>
        </w:tc>
        <w:tc>
          <w:tcPr>
            <w:tcW w:w="830" w:type="dxa"/>
            <w:tcBorders>
              <w:top w:val="nil"/>
              <w:left w:val="nil"/>
              <w:bottom w:val="nil"/>
              <w:right w:val="nil"/>
            </w:tcBorders>
            <w:shd w:val="clear" w:color="auto" w:fill="D0CECE" w:themeFill="background2" w:themeFillShade="E6"/>
            <w:noWrap/>
            <w:vAlign w:val="center"/>
          </w:tcPr>
          <w:p w14:paraId="4A56BBCA"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10.0</w:t>
            </w:r>
          </w:p>
        </w:tc>
        <w:tc>
          <w:tcPr>
            <w:tcW w:w="839" w:type="dxa"/>
            <w:tcBorders>
              <w:top w:val="nil"/>
              <w:left w:val="nil"/>
              <w:bottom w:val="nil"/>
              <w:right w:val="nil"/>
            </w:tcBorders>
            <w:shd w:val="clear" w:color="000000" w:fill="D0CECE"/>
            <w:noWrap/>
            <w:vAlign w:val="center"/>
          </w:tcPr>
          <w:p w14:paraId="7C6F151D"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11.5</w:t>
            </w:r>
          </w:p>
        </w:tc>
        <w:tc>
          <w:tcPr>
            <w:tcW w:w="638" w:type="dxa"/>
            <w:tcBorders>
              <w:top w:val="nil"/>
              <w:left w:val="nil"/>
              <w:bottom w:val="nil"/>
              <w:right w:val="nil"/>
            </w:tcBorders>
            <w:shd w:val="clear" w:color="000000" w:fill="D0CECE"/>
          </w:tcPr>
          <w:p w14:paraId="4C89E67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12.5</w:t>
            </w:r>
          </w:p>
        </w:tc>
      </w:tr>
      <w:tr w:rsidR="00686A00" w:rsidRPr="0039488C" w14:paraId="48B60360" w14:textId="77777777" w:rsidTr="00CE0C6F">
        <w:trPr>
          <w:trHeight w:val="216"/>
        </w:trPr>
        <w:tc>
          <w:tcPr>
            <w:tcW w:w="3531" w:type="dxa"/>
            <w:tcBorders>
              <w:top w:val="nil"/>
              <w:left w:val="nil"/>
              <w:bottom w:val="nil"/>
              <w:right w:val="nil"/>
            </w:tcBorders>
            <w:shd w:val="clear" w:color="auto" w:fill="auto"/>
            <w:noWrap/>
            <w:vAlign w:val="center"/>
            <w:hideMark/>
          </w:tcPr>
          <w:p w14:paraId="1BE29D1D"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o/w external grants</w:t>
            </w:r>
          </w:p>
        </w:tc>
        <w:tc>
          <w:tcPr>
            <w:tcW w:w="1219" w:type="dxa"/>
            <w:tcBorders>
              <w:top w:val="nil"/>
              <w:left w:val="nil"/>
              <w:bottom w:val="nil"/>
              <w:right w:val="nil"/>
            </w:tcBorders>
            <w:shd w:val="clear" w:color="auto" w:fill="auto"/>
            <w:noWrap/>
            <w:vAlign w:val="center"/>
            <w:hideMark/>
          </w:tcPr>
          <w:p w14:paraId="5FB213F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1.8</w:t>
            </w:r>
          </w:p>
        </w:tc>
        <w:tc>
          <w:tcPr>
            <w:tcW w:w="1219" w:type="dxa"/>
            <w:tcBorders>
              <w:top w:val="nil"/>
              <w:left w:val="nil"/>
              <w:bottom w:val="nil"/>
              <w:right w:val="nil"/>
            </w:tcBorders>
            <w:shd w:val="clear" w:color="auto" w:fill="auto"/>
            <w:noWrap/>
            <w:vAlign w:val="center"/>
            <w:hideMark/>
          </w:tcPr>
          <w:p w14:paraId="4DB4A792"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2.2</w:t>
            </w:r>
          </w:p>
        </w:tc>
        <w:tc>
          <w:tcPr>
            <w:tcW w:w="937" w:type="dxa"/>
            <w:tcBorders>
              <w:top w:val="nil"/>
              <w:left w:val="nil"/>
              <w:bottom w:val="nil"/>
              <w:right w:val="nil"/>
            </w:tcBorders>
            <w:shd w:val="clear" w:color="auto" w:fill="FFFFFF" w:themeFill="background1"/>
            <w:noWrap/>
            <w:vAlign w:val="center"/>
          </w:tcPr>
          <w:p w14:paraId="268D78C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5.8</w:t>
            </w:r>
          </w:p>
        </w:tc>
        <w:tc>
          <w:tcPr>
            <w:tcW w:w="830" w:type="dxa"/>
            <w:tcBorders>
              <w:top w:val="nil"/>
              <w:left w:val="nil"/>
              <w:bottom w:val="nil"/>
              <w:right w:val="nil"/>
            </w:tcBorders>
            <w:shd w:val="clear" w:color="auto" w:fill="D0CECE" w:themeFill="background2" w:themeFillShade="E6"/>
            <w:noWrap/>
            <w:vAlign w:val="center"/>
          </w:tcPr>
          <w:p w14:paraId="1C5E99D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5.2</w:t>
            </w:r>
          </w:p>
        </w:tc>
        <w:tc>
          <w:tcPr>
            <w:tcW w:w="839" w:type="dxa"/>
            <w:tcBorders>
              <w:top w:val="nil"/>
              <w:left w:val="nil"/>
              <w:bottom w:val="nil"/>
              <w:right w:val="nil"/>
            </w:tcBorders>
            <w:shd w:val="clear" w:color="000000" w:fill="D0CECE"/>
            <w:noWrap/>
            <w:vAlign w:val="center"/>
          </w:tcPr>
          <w:p w14:paraId="743FE3FA"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6.2</w:t>
            </w:r>
          </w:p>
        </w:tc>
        <w:tc>
          <w:tcPr>
            <w:tcW w:w="638" w:type="dxa"/>
            <w:tcBorders>
              <w:top w:val="nil"/>
              <w:left w:val="nil"/>
              <w:bottom w:val="nil"/>
              <w:right w:val="nil"/>
            </w:tcBorders>
            <w:shd w:val="clear" w:color="000000" w:fill="D0CECE"/>
          </w:tcPr>
          <w:p w14:paraId="5219F41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6.7</w:t>
            </w:r>
          </w:p>
        </w:tc>
      </w:tr>
      <w:tr w:rsidR="00686A00" w:rsidRPr="0039488C" w14:paraId="55D9CC8C" w14:textId="77777777" w:rsidTr="00CE0C6F">
        <w:trPr>
          <w:trHeight w:val="216"/>
        </w:trPr>
        <w:tc>
          <w:tcPr>
            <w:tcW w:w="3531" w:type="dxa"/>
            <w:tcBorders>
              <w:top w:val="nil"/>
              <w:left w:val="nil"/>
              <w:bottom w:val="nil"/>
              <w:right w:val="nil"/>
            </w:tcBorders>
            <w:shd w:val="clear" w:color="auto" w:fill="auto"/>
            <w:noWrap/>
            <w:vAlign w:val="center"/>
            <w:hideMark/>
          </w:tcPr>
          <w:p w14:paraId="09AC5EBB"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Total expenditure</w:t>
            </w:r>
          </w:p>
        </w:tc>
        <w:tc>
          <w:tcPr>
            <w:tcW w:w="1219" w:type="dxa"/>
            <w:tcBorders>
              <w:top w:val="nil"/>
              <w:left w:val="nil"/>
              <w:bottom w:val="nil"/>
              <w:right w:val="nil"/>
            </w:tcBorders>
            <w:shd w:val="clear" w:color="auto" w:fill="auto"/>
            <w:noWrap/>
            <w:vAlign w:val="center"/>
            <w:hideMark/>
          </w:tcPr>
          <w:p w14:paraId="34BAF22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5.7</w:t>
            </w:r>
          </w:p>
        </w:tc>
        <w:tc>
          <w:tcPr>
            <w:tcW w:w="1219" w:type="dxa"/>
            <w:tcBorders>
              <w:top w:val="nil"/>
              <w:left w:val="nil"/>
              <w:bottom w:val="nil"/>
              <w:right w:val="nil"/>
            </w:tcBorders>
            <w:shd w:val="clear" w:color="auto" w:fill="auto"/>
            <w:noWrap/>
            <w:vAlign w:val="center"/>
            <w:hideMark/>
          </w:tcPr>
          <w:p w14:paraId="02E8307D"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6.4</w:t>
            </w:r>
          </w:p>
        </w:tc>
        <w:tc>
          <w:tcPr>
            <w:tcW w:w="937" w:type="dxa"/>
            <w:tcBorders>
              <w:top w:val="nil"/>
              <w:left w:val="nil"/>
              <w:bottom w:val="nil"/>
              <w:right w:val="nil"/>
            </w:tcBorders>
            <w:shd w:val="clear" w:color="auto" w:fill="FFFFFF" w:themeFill="background1"/>
            <w:noWrap/>
            <w:vAlign w:val="center"/>
          </w:tcPr>
          <w:p w14:paraId="2098E3FC"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9.9</w:t>
            </w:r>
          </w:p>
        </w:tc>
        <w:tc>
          <w:tcPr>
            <w:tcW w:w="830" w:type="dxa"/>
            <w:tcBorders>
              <w:top w:val="nil"/>
              <w:left w:val="nil"/>
              <w:bottom w:val="nil"/>
              <w:right w:val="nil"/>
            </w:tcBorders>
            <w:shd w:val="clear" w:color="auto" w:fill="D0CECE" w:themeFill="background2" w:themeFillShade="E6"/>
            <w:noWrap/>
            <w:vAlign w:val="center"/>
          </w:tcPr>
          <w:p w14:paraId="246EF35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9.6</w:t>
            </w:r>
          </w:p>
        </w:tc>
        <w:tc>
          <w:tcPr>
            <w:tcW w:w="839" w:type="dxa"/>
            <w:tcBorders>
              <w:top w:val="nil"/>
              <w:left w:val="nil"/>
              <w:bottom w:val="nil"/>
              <w:right w:val="nil"/>
            </w:tcBorders>
            <w:shd w:val="clear" w:color="000000" w:fill="D0CECE"/>
            <w:noWrap/>
            <w:vAlign w:val="center"/>
          </w:tcPr>
          <w:p w14:paraId="4F7A5BAC"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10.8</w:t>
            </w:r>
          </w:p>
        </w:tc>
        <w:tc>
          <w:tcPr>
            <w:tcW w:w="638" w:type="dxa"/>
            <w:tcBorders>
              <w:top w:val="nil"/>
              <w:left w:val="nil"/>
              <w:bottom w:val="nil"/>
              <w:right w:val="nil"/>
            </w:tcBorders>
            <w:shd w:val="clear" w:color="000000" w:fill="D0CECE"/>
          </w:tcPr>
          <w:p w14:paraId="241BB41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11.9</w:t>
            </w:r>
          </w:p>
        </w:tc>
      </w:tr>
      <w:tr w:rsidR="00686A00" w:rsidRPr="0039488C" w14:paraId="26C6C086" w14:textId="77777777" w:rsidTr="00CE0C6F">
        <w:trPr>
          <w:trHeight w:val="216"/>
        </w:trPr>
        <w:tc>
          <w:tcPr>
            <w:tcW w:w="3531" w:type="dxa"/>
            <w:tcBorders>
              <w:top w:val="nil"/>
              <w:left w:val="nil"/>
              <w:bottom w:val="nil"/>
              <w:right w:val="nil"/>
            </w:tcBorders>
            <w:shd w:val="clear" w:color="auto" w:fill="auto"/>
            <w:noWrap/>
            <w:vAlign w:val="center"/>
            <w:hideMark/>
          </w:tcPr>
          <w:p w14:paraId="1F88F50C"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o/w Compensation of employees</w:t>
            </w:r>
          </w:p>
        </w:tc>
        <w:tc>
          <w:tcPr>
            <w:tcW w:w="1219" w:type="dxa"/>
            <w:tcBorders>
              <w:top w:val="nil"/>
              <w:left w:val="nil"/>
              <w:bottom w:val="nil"/>
              <w:right w:val="nil"/>
            </w:tcBorders>
            <w:shd w:val="clear" w:color="auto" w:fill="auto"/>
            <w:noWrap/>
            <w:vAlign w:val="center"/>
            <w:hideMark/>
          </w:tcPr>
          <w:p w14:paraId="642D8D32"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3.0</w:t>
            </w:r>
          </w:p>
        </w:tc>
        <w:tc>
          <w:tcPr>
            <w:tcW w:w="1219" w:type="dxa"/>
            <w:tcBorders>
              <w:top w:val="nil"/>
              <w:left w:val="nil"/>
              <w:bottom w:val="nil"/>
              <w:right w:val="nil"/>
            </w:tcBorders>
            <w:shd w:val="clear" w:color="auto" w:fill="auto"/>
            <w:noWrap/>
            <w:vAlign w:val="center"/>
            <w:hideMark/>
          </w:tcPr>
          <w:p w14:paraId="428EAE1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3.3</w:t>
            </w:r>
          </w:p>
        </w:tc>
        <w:tc>
          <w:tcPr>
            <w:tcW w:w="937" w:type="dxa"/>
            <w:tcBorders>
              <w:top w:val="nil"/>
              <w:left w:val="nil"/>
              <w:bottom w:val="nil"/>
              <w:right w:val="nil"/>
            </w:tcBorders>
            <w:shd w:val="clear" w:color="auto" w:fill="FFFFFF" w:themeFill="background1"/>
            <w:noWrap/>
            <w:vAlign w:val="center"/>
          </w:tcPr>
          <w:p w14:paraId="76B8F2D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4.6</w:t>
            </w:r>
          </w:p>
        </w:tc>
        <w:tc>
          <w:tcPr>
            <w:tcW w:w="830" w:type="dxa"/>
            <w:tcBorders>
              <w:top w:val="nil"/>
              <w:left w:val="nil"/>
              <w:bottom w:val="nil"/>
              <w:right w:val="nil"/>
            </w:tcBorders>
            <w:shd w:val="clear" w:color="auto" w:fill="D0CECE" w:themeFill="background2" w:themeFillShade="E6"/>
            <w:noWrap/>
            <w:vAlign w:val="center"/>
          </w:tcPr>
          <w:p w14:paraId="3049A13D"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4.8</w:t>
            </w:r>
          </w:p>
        </w:tc>
        <w:tc>
          <w:tcPr>
            <w:tcW w:w="839" w:type="dxa"/>
            <w:tcBorders>
              <w:top w:val="nil"/>
              <w:left w:val="nil"/>
              <w:bottom w:val="nil"/>
              <w:right w:val="nil"/>
            </w:tcBorders>
            <w:shd w:val="clear" w:color="000000" w:fill="D0CECE"/>
            <w:noWrap/>
            <w:vAlign w:val="center"/>
          </w:tcPr>
          <w:p w14:paraId="13BB675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5.1</w:t>
            </w:r>
          </w:p>
        </w:tc>
        <w:tc>
          <w:tcPr>
            <w:tcW w:w="638" w:type="dxa"/>
            <w:tcBorders>
              <w:top w:val="nil"/>
              <w:left w:val="nil"/>
              <w:bottom w:val="nil"/>
              <w:right w:val="nil"/>
            </w:tcBorders>
            <w:shd w:val="clear" w:color="000000" w:fill="D0CECE"/>
          </w:tcPr>
          <w:p w14:paraId="1779628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5.5</w:t>
            </w:r>
          </w:p>
        </w:tc>
      </w:tr>
      <w:tr w:rsidR="00686A00" w:rsidRPr="0039488C" w14:paraId="53BCB1B1" w14:textId="77777777" w:rsidTr="00CE0C6F">
        <w:trPr>
          <w:trHeight w:val="216"/>
        </w:trPr>
        <w:tc>
          <w:tcPr>
            <w:tcW w:w="3531" w:type="dxa"/>
            <w:tcBorders>
              <w:top w:val="nil"/>
              <w:left w:val="nil"/>
              <w:bottom w:val="nil"/>
              <w:right w:val="nil"/>
            </w:tcBorders>
            <w:shd w:val="clear" w:color="auto" w:fill="auto"/>
            <w:noWrap/>
            <w:vAlign w:val="center"/>
            <w:hideMark/>
          </w:tcPr>
          <w:p w14:paraId="31D48D7A"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 xml:space="preserve">o/w Purchase of </w:t>
            </w:r>
            <w:r>
              <w:rPr>
                <w:rFonts w:eastAsia="Times New Roman" w:cstheme="minorHAnsi"/>
                <w:sz w:val="18"/>
                <w:szCs w:val="18"/>
              </w:rPr>
              <w:t>n</w:t>
            </w:r>
            <w:r w:rsidRPr="008E6ED9">
              <w:rPr>
                <w:rFonts w:eastAsia="Times New Roman" w:cstheme="minorHAnsi"/>
                <w:sz w:val="18"/>
                <w:szCs w:val="18"/>
              </w:rPr>
              <w:t>on</w:t>
            </w:r>
            <w:r>
              <w:rPr>
                <w:rFonts w:eastAsia="Times New Roman" w:cstheme="minorHAnsi"/>
                <w:sz w:val="18"/>
                <w:szCs w:val="18"/>
              </w:rPr>
              <w:t>-f</w:t>
            </w:r>
            <w:r w:rsidRPr="008E6ED9">
              <w:rPr>
                <w:rFonts w:eastAsia="Times New Roman" w:cstheme="minorHAnsi"/>
                <w:sz w:val="18"/>
                <w:szCs w:val="18"/>
              </w:rPr>
              <w:t>inancial Assets</w:t>
            </w:r>
          </w:p>
        </w:tc>
        <w:tc>
          <w:tcPr>
            <w:tcW w:w="1219" w:type="dxa"/>
            <w:tcBorders>
              <w:top w:val="nil"/>
              <w:left w:val="nil"/>
              <w:bottom w:val="nil"/>
              <w:right w:val="nil"/>
            </w:tcBorders>
            <w:shd w:val="clear" w:color="000000" w:fill="FFFFFF"/>
            <w:noWrap/>
            <w:vAlign w:val="center"/>
            <w:hideMark/>
          </w:tcPr>
          <w:p w14:paraId="42444F0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0.2</w:t>
            </w:r>
          </w:p>
        </w:tc>
        <w:tc>
          <w:tcPr>
            <w:tcW w:w="1219" w:type="dxa"/>
            <w:tcBorders>
              <w:top w:val="nil"/>
              <w:left w:val="nil"/>
              <w:bottom w:val="nil"/>
              <w:right w:val="nil"/>
            </w:tcBorders>
            <w:shd w:val="clear" w:color="000000" w:fill="FFFFFF"/>
            <w:noWrap/>
            <w:vAlign w:val="center"/>
            <w:hideMark/>
          </w:tcPr>
          <w:p w14:paraId="51985A8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0.3</w:t>
            </w:r>
          </w:p>
        </w:tc>
        <w:tc>
          <w:tcPr>
            <w:tcW w:w="937" w:type="dxa"/>
            <w:tcBorders>
              <w:top w:val="nil"/>
              <w:left w:val="nil"/>
              <w:bottom w:val="nil"/>
              <w:right w:val="nil"/>
            </w:tcBorders>
            <w:shd w:val="clear" w:color="auto" w:fill="FFFFFF" w:themeFill="background1"/>
            <w:noWrap/>
            <w:vAlign w:val="center"/>
          </w:tcPr>
          <w:p w14:paraId="5CD562C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0.4</w:t>
            </w:r>
          </w:p>
        </w:tc>
        <w:tc>
          <w:tcPr>
            <w:tcW w:w="830" w:type="dxa"/>
            <w:tcBorders>
              <w:top w:val="nil"/>
              <w:left w:val="nil"/>
              <w:bottom w:val="nil"/>
              <w:right w:val="nil"/>
            </w:tcBorders>
            <w:shd w:val="clear" w:color="auto" w:fill="D0CECE" w:themeFill="background2" w:themeFillShade="E6"/>
            <w:noWrap/>
            <w:vAlign w:val="center"/>
          </w:tcPr>
          <w:p w14:paraId="013B4A8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0.6</w:t>
            </w:r>
          </w:p>
        </w:tc>
        <w:tc>
          <w:tcPr>
            <w:tcW w:w="839" w:type="dxa"/>
            <w:tcBorders>
              <w:top w:val="nil"/>
              <w:left w:val="nil"/>
              <w:bottom w:val="nil"/>
              <w:right w:val="nil"/>
            </w:tcBorders>
            <w:shd w:val="clear" w:color="000000" w:fill="D0CECE"/>
            <w:noWrap/>
            <w:vAlign w:val="center"/>
          </w:tcPr>
          <w:p w14:paraId="5AA7F06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w:t>
            </w:r>
          </w:p>
        </w:tc>
        <w:tc>
          <w:tcPr>
            <w:tcW w:w="638" w:type="dxa"/>
            <w:tcBorders>
              <w:top w:val="nil"/>
              <w:left w:val="nil"/>
              <w:bottom w:val="nil"/>
              <w:right w:val="nil"/>
            </w:tcBorders>
            <w:shd w:val="clear" w:color="000000" w:fill="D0CECE"/>
          </w:tcPr>
          <w:p w14:paraId="77BE1F1E"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w:t>
            </w:r>
          </w:p>
        </w:tc>
      </w:tr>
      <w:tr w:rsidR="00686A00" w:rsidRPr="0039488C" w14:paraId="2BB9086C" w14:textId="77777777" w:rsidTr="00CE0C6F">
        <w:trPr>
          <w:trHeight w:val="216"/>
        </w:trPr>
        <w:tc>
          <w:tcPr>
            <w:tcW w:w="3531" w:type="dxa"/>
            <w:tcBorders>
              <w:top w:val="nil"/>
              <w:left w:val="nil"/>
              <w:bottom w:val="nil"/>
              <w:right w:val="nil"/>
            </w:tcBorders>
            <w:shd w:val="clear" w:color="auto" w:fill="auto"/>
            <w:noWrap/>
            <w:vAlign w:val="center"/>
            <w:hideMark/>
          </w:tcPr>
          <w:p w14:paraId="08F9AD71"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Overall balance, net</w:t>
            </w:r>
          </w:p>
        </w:tc>
        <w:tc>
          <w:tcPr>
            <w:tcW w:w="1219" w:type="dxa"/>
            <w:tcBorders>
              <w:top w:val="nil"/>
              <w:left w:val="nil"/>
              <w:bottom w:val="nil"/>
              <w:right w:val="nil"/>
            </w:tcBorders>
            <w:shd w:val="clear" w:color="auto" w:fill="auto"/>
            <w:noWrap/>
            <w:vAlign w:val="center"/>
            <w:hideMark/>
          </w:tcPr>
          <w:p w14:paraId="6D7F8F3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0.1</w:t>
            </w:r>
          </w:p>
        </w:tc>
        <w:tc>
          <w:tcPr>
            <w:tcW w:w="1219" w:type="dxa"/>
            <w:tcBorders>
              <w:top w:val="nil"/>
              <w:left w:val="nil"/>
              <w:bottom w:val="nil"/>
              <w:right w:val="nil"/>
            </w:tcBorders>
            <w:shd w:val="clear" w:color="auto" w:fill="auto"/>
            <w:noWrap/>
            <w:vAlign w:val="center"/>
            <w:hideMark/>
          </w:tcPr>
          <w:p w14:paraId="51A6B9B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0.5</w:t>
            </w:r>
          </w:p>
        </w:tc>
        <w:tc>
          <w:tcPr>
            <w:tcW w:w="937" w:type="dxa"/>
            <w:tcBorders>
              <w:top w:val="nil"/>
              <w:left w:val="nil"/>
              <w:bottom w:val="nil"/>
              <w:right w:val="nil"/>
            </w:tcBorders>
            <w:shd w:val="clear" w:color="auto" w:fill="FFFFFF" w:themeFill="background1"/>
            <w:noWrap/>
            <w:vAlign w:val="center"/>
          </w:tcPr>
          <w:p w14:paraId="042EFE31"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0.2</w:t>
            </w:r>
          </w:p>
        </w:tc>
        <w:tc>
          <w:tcPr>
            <w:tcW w:w="830" w:type="dxa"/>
            <w:tcBorders>
              <w:top w:val="nil"/>
              <w:left w:val="nil"/>
              <w:bottom w:val="nil"/>
              <w:right w:val="nil"/>
            </w:tcBorders>
            <w:shd w:val="clear" w:color="auto" w:fill="D0CECE" w:themeFill="background2" w:themeFillShade="E6"/>
            <w:noWrap/>
            <w:vAlign w:val="center"/>
          </w:tcPr>
          <w:p w14:paraId="19DA627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0.4</w:t>
            </w:r>
          </w:p>
        </w:tc>
        <w:tc>
          <w:tcPr>
            <w:tcW w:w="839" w:type="dxa"/>
            <w:tcBorders>
              <w:top w:val="nil"/>
              <w:left w:val="nil"/>
              <w:bottom w:val="nil"/>
              <w:right w:val="nil"/>
            </w:tcBorders>
            <w:shd w:val="clear" w:color="000000" w:fill="D0CECE"/>
            <w:noWrap/>
            <w:vAlign w:val="center"/>
          </w:tcPr>
          <w:p w14:paraId="69FF24D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0.7</w:t>
            </w:r>
          </w:p>
        </w:tc>
        <w:tc>
          <w:tcPr>
            <w:tcW w:w="638" w:type="dxa"/>
            <w:tcBorders>
              <w:top w:val="nil"/>
              <w:left w:val="nil"/>
              <w:bottom w:val="nil"/>
              <w:right w:val="nil"/>
            </w:tcBorders>
            <w:shd w:val="clear" w:color="000000" w:fill="D0CECE"/>
          </w:tcPr>
          <w:p w14:paraId="7C358194"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0.6</w:t>
            </w:r>
          </w:p>
        </w:tc>
      </w:tr>
      <w:tr w:rsidR="00686A00" w:rsidRPr="0039488C" w14:paraId="790F8A7C" w14:textId="77777777" w:rsidTr="00CE0C6F">
        <w:trPr>
          <w:trHeight w:val="216"/>
        </w:trPr>
        <w:tc>
          <w:tcPr>
            <w:tcW w:w="3531" w:type="dxa"/>
            <w:tcBorders>
              <w:top w:val="nil"/>
              <w:left w:val="nil"/>
              <w:bottom w:val="nil"/>
              <w:right w:val="nil"/>
            </w:tcBorders>
            <w:shd w:val="clear" w:color="auto" w:fill="auto"/>
            <w:noWrap/>
            <w:vAlign w:val="center"/>
            <w:hideMark/>
          </w:tcPr>
          <w:p w14:paraId="7484E23C" w14:textId="77777777" w:rsidR="00686A00" w:rsidRPr="008E6ED9" w:rsidRDefault="00686A00" w:rsidP="00631AFD">
            <w:pPr>
              <w:keepNext/>
              <w:spacing w:after="0"/>
              <w:rPr>
                <w:rFonts w:eastAsia="Times New Roman" w:cstheme="minorHAnsi"/>
                <w:b/>
                <w:bCs/>
                <w:sz w:val="18"/>
                <w:szCs w:val="18"/>
              </w:rPr>
            </w:pPr>
            <w:r w:rsidRPr="008E6ED9">
              <w:rPr>
                <w:rFonts w:eastAsia="Times New Roman" w:cstheme="minorHAnsi"/>
                <w:b/>
                <w:bCs/>
                <w:sz w:val="18"/>
                <w:szCs w:val="18"/>
              </w:rPr>
              <w:t>External</w:t>
            </w:r>
          </w:p>
        </w:tc>
        <w:tc>
          <w:tcPr>
            <w:tcW w:w="1219" w:type="dxa"/>
            <w:tcBorders>
              <w:top w:val="nil"/>
              <w:left w:val="nil"/>
              <w:bottom w:val="nil"/>
              <w:right w:val="nil"/>
            </w:tcBorders>
            <w:shd w:val="clear" w:color="auto" w:fill="auto"/>
            <w:noWrap/>
            <w:hideMark/>
          </w:tcPr>
          <w:p w14:paraId="28E8112F" w14:textId="77777777" w:rsidR="00686A00" w:rsidRPr="008E6ED9" w:rsidRDefault="00686A00" w:rsidP="00631AFD">
            <w:pPr>
              <w:keepNext/>
              <w:spacing w:after="0"/>
              <w:rPr>
                <w:rFonts w:eastAsia="Times New Roman" w:cstheme="minorHAnsi"/>
                <w:b/>
                <w:bCs/>
                <w:sz w:val="18"/>
                <w:szCs w:val="18"/>
              </w:rPr>
            </w:pPr>
          </w:p>
        </w:tc>
        <w:tc>
          <w:tcPr>
            <w:tcW w:w="1219" w:type="dxa"/>
            <w:tcBorders>
              <w:top w:val="nil"/>
              <w:left w:val="nil"/>
              <w:bottom w:val="nil"/>
              <w:right w:val="nil"/>
            </w:tcBorders>
            <w:shd w:val="clear" w:color="auto" w:fill="auto"/>
            <w:noWrap/>
            <w:hideMark/>
          </w:tcPr>
          <w:p w14:paraId="69E7F570" w14:textId="77777777" w:rsidR="00686A00" w:rsidRPr="008E6ED9" w:rsidRDefault="00686A00" w:rsidP="00631AFD">
            <w:pPr>
              <w:keepNext/>
              <w:spacing w:after="0"/>
              <w:rPr>
                <w:rFonts w:eastAsia="Times New Roman" w:cstheme="minorHAnsi"/>
                <w:sz w:val="18"/>
                <w:szCs w:val="18"/>
              </w:rPr>
            </w:pPr>
          </w:p>
        </w:tc>
        <w:tc>
          <w:tcPr>
            <w:tcW w:w="937" w:type="dxa"/>
            <w:tcBorders>
              <w:top w:val="nil"/>
              <w:left w:val="nil"/>
              <w:bottom w:val="nil"/>
              <w:right w:val="nil"/>
            </w:tcBorders>
            <w:shd w:val="clear" w:color="auto" w:fill="FFFFFF" w:themeFill="background1"/>
            <w:noWrap/>
            <w:hideMark/>
          </w:tcPr>
          <w:p w14:paraId="02BFC0D4"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0" w:type="dxa"/>
            <w:tcBorders>
              <w:top w:val="nil"/>
              <w:left w:val="nil"/>
              <w:bottom w:val="nil"/>
              <w:right w:val="nil"/>
            </w:tcBorders>
            <w:shd w:val="clear" w:color="auto" w:fill="D0CECE" w:themeFill="background2" w:themeFillShade="E6"/>
            <w:noWrap/>
            <w:hideMark/>
          </w:tcPr>
          <w:p w14:paraId="11553127"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839" w:type="dxa"/>
            <w:tcBorders>
              <w:top w:val="nil"/>
              <w:left w:val="nil"/>
              <w:bottom w:val="nil"/>
              <w:right w:val="nil"/>
            </w:tcBorders>
            <w:shd w:val="clear" w:color="000000" w:fill="D0CECE"/>
            <w:noWrap/>
            <w:hideMark/>
          </w:tcPr>
          <w:p w14:paraId="0C4B5820"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 </w:t>
            </w:r>
          </w:p>
        </w:tc>
        <w:tc>
          <w:tcPr>
            <w:tcW w:w="638" w:type="dxa"/>
            <w:tcBorders>
              <w:top w:val="nil"/>
              <w:left w:val="nil"/>
              <w:bottom w:val="nil"/>
              <w:right w:val="nil"/>
            </w:tcBorders>
            <w:shd w:val="clear" w:color="000000" w:fill="D0CECE"/>
          </w:tcPr>
          <w:p w14:paraId="41807B86" w14:textId="77777777" w:rsidR="00686A00" w:rsidRPr="008E6ED9" w:rsidRDefault="00686A00" w:rsidP="00631AFD">
            <w:pPr>
              <w:keepNext/>
              <w:spacing w:after="0"/>
              <w:rPr>
                <w:rFonts w:eastAsia="Times New Roman" w:cstheme="minorHAnsi"/>
                <w:sz w:val="18"/>
                <w:szCs w:val="18"/>
              </w:rPr>
            </w:pPr>
          </w:p>
        </w:tc>
      </w:tr>
      <w:tr w:rsidR="00686A00" w:rsidRPr="0039488C" w14:paraId="6FD60C6B" w14:textId="77777777" w:rsidTr="00CE0C6F">
        <w:trPr>
          <w:trHeight w:val="216"/>
        </w:trPr>
        <w:tc>
          <w:tcPr>
            <w:tcW w:w="3531" w:type="dxa"/>
            <w:tcBorders>
              <w:top w:val="nil"/>
              <w:left w:val="nil"/>
              <w:bottom w:val="nil"/>
              <w:right w:val="nil"/>
            </w:tcBorders>
            <w:shd w:val="clear" w:color="auto" w:fill="auto"/>
            <w:noWrap/>
            <w:vAlign w:val="center"/>
            <w:hideMark/>
          </w:tcPr>
          <w:p w14:paraId="6440A9D6"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Current account balance</w:t>
            </w:r>
          </w:p>
        </w:tc>
        <w:tc>
          <w:tcPr>
            <w:tcW w:w="1219" w:type="dxa"/>
            <w:tcBorders>
              <w:top w:val="nil"/>
              <w:left w:val="nil"/>
              <w:bottom w:val="nil"/>
              <w:right w:val="nil"/>
            </w:tcBorders>
            <w:shd w:val="clear" w:color="auto" w:fill="auto"/>
            <w:noWrap/>
            <w:vAlign w:val="center"/>
            <w:hideMark/>
          </w:tcPr>
          <w:p w14:paraId="1FC05B1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-7.5</w:t>
            </w:r>
          </w:p>
        </w:tc>
        <w:tc>
          <w:tcPr>
            <w:tcW w:w="1219" w:type="dxa"/>
            <w:tcBorders>
              <w:top w:val="nil"/>
              <w:left w:val="nil"/>
              <w:bottom w:val="nil"/>
              <w:right w:val="nil"/>
            </w:tcBorders>
            <w:shd w:val="clear" w:color="auto" w:fill="auto"/>
            <w:noWrap/>
            <w:vAlign w:val="center"/>
            <w:hideMark/>
          </w:tcPr>
          <w:p w14:paraId="3172A3B2"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-10.5</w:t>
            </w:r>
          </w:p>
        </w:tc>
        <w:tc>
          <w:tcPr>
            <w:tcW w:w="937" w:type="dxa"/>
            <w:tcBorders>
              <w:top w:val="nil"/>
              <w:left w:val="nil"/>
              <w:bottom w:val="nil"/>
              <w:right w:val="nil"/>
            </w:tcBorders>
            <w:shd w:val="clear" w:color="auto" w:fill="FFFFFF" w:themeFill="background1"/>
            <w:noWrap/>
            <w:vAlign w:val="center"/>
            <w:hideMark/>
          </w:tcPr>
          <w:p w14:paraId="15FEBB8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-13.3</w:t>
            </w:r>
          </w:p>
        </w:tc>
        <w:tc>
          <w:tcPr>
            <w:tcW w:w="830" w:type="dxa"/>
            <w:tcBorders>
              <w:top w:val="nil"/>
              <w:left w:val="nil"/>
              <w:bottom w:val="nil"/>
              <w:right w:val="nil"/>
            </w:tcBorders>
            <w:shd w:val="clear" w:color="auto" w:fill="D0CECE" w:themeFill="background2" w:themeFillShade="E6"/>
            <w:noWrap/>
            <w:vAlign w:val="center"/>
            <w:hideMark/>
          </w:tcPr>
          <w:p w14:paraId="686E12E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-12.2</w:t>
            </w:r>
          </w:p>
        </w:tc>
        <w:tc>
          <w:tcPr>
            <w:tcW w:w="839" w:type="dxa"/>
            <w:tcBorders>
              <w:top w:val="nil"/>
              <w:left w:val="nil"/>
              <w:bottom w:val="nil"/>
              <w:right w:val="nil"/>
            </w:tcBorders>
            <w:shd w:val="clear" w:color="000000" w:fill="D0CECE"/>
            <w:noWrap/>
            <w:vAlign w:val="center"/>
            <w:hideMark/>
          </w:tcPr>
          <w:p w14:paraId="61D7D30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-11.9</w:t>
            </w:r>
          </w:p>
        </w:tc>
        <w:tc>
          <w:tcPr>
            <w:tcW w:w="638" w:type="dxa"/>
            <w:tcBorders>
              <w:top w:val="nil"/>
              <w:left w:val="nil"/>
              <w:bottom w:val="nil"/>
              <w:right w:val="nil"/>
            </w:tcBorders>
            <w:shd w:val="clear" w:color="000000" w:fill="D0CECE"/>
          </w:tcPr>
          <w:p w14:paraId="2FC691D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-11.9</w:t>
            </w:r>
          </w:p>
        </w:tc>
      </w:tr>
      <w:tr w:rsidR="00686A00" w:rsidRPr="0039488C" w14:paraId="763C23C4" w14:textId="77777777" w:rsidTr="00CE0C6F">
        <w:trPr>
          <w:trHeight w:val="216"/>
        </w:trPr>
        <w:tc>
          <w:tcPr>
            <w:tcW w:w="3531" w:type="dxa"/>
            <w:tcBorders>
              <w:top w:val="nil"/>
              <w:left w:val="nil"/>
              <w:bottom w:val="nil"/>
              <w:right w:val="nil"/>
            </w:tcBorders>
            <w:shd w:val="clear" w:color="auto" w:fill="auto"/>
            <w:noWrap/>
            <w:vAlign w:val="center"/>
            <w:hideMark/>
          </w:tcPr>
          <w:p w14:paraId="01A755DE"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Trade balance</w:t>
            </w:r>
          </w:p>
        </w:tc>
        <w:tc>
          <w:tcPr>
            <w:tcW w:w="1219" w:type="dxa"/>
            <w:tcBorders>
              <w:top w:val="nil"/>
              <w:left w:val="nil"/>
              <w:bottom w:val="nil"/>
              <w:right w:val="nil"/>
            </w:tcBorders>
            <w:shd w:val="clear" w:color="auto" w:fill="auto"/>
            <w:noWrap/>
            <w:vAlign w:val="center"/>
            <w:hideMark/>
          </w:tcPr>
          <w:p w14:paraId="0B95D5D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-84.8</w:t>
            </w:r>
          </w:p>
        </w:tc>
        <w:tc>
          <w:tcPr>
            <w:tcW w:w="1219" w:type="dxa"/>
            <w:tcBorders>
              <w:top w:val="nil"/>
              <w:left w:val="nil"/>
              <w:bottom w:val="nil"/>
              <w:right w:val="nil"/>
            </w:tcBorders>
            <w:shd w:val="clear" w:color="auto" w:fill="auto"/>
            <w:noWrap/>
            <w:vAlign w:val="center"/>
            <w:hideMark/>
          </w:tcPr>
          <w:p w14:paraId="0E38F7FE"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-83.0</w:t>
            </w:r>
          </w:p>
        </w:tc>
        <w:tc>
          <w:tcPr>
            <w:tcW w:w="937" w:type="dxa"/>
            <w:tcBorders>
              <w:top w:val="nil"/>
              <w:left w:val="nil"/>
              <w:bottom w:val="nil"/>
              <w:right w:val="nil"/>
            </w:tcBorders>
            <w:shd w:val="clear" w:color="auto" w:fill="FFFFFF" w:themeFill="background1"/>
            <w:noWrap/>
            <w:vAlign w:val="center"/>
            <w:hideMark/>
          </w:tcPr>
          <w:p w14:paraId="3A8E7F5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-91.3</w:t>
            </w:r>
          </w:p>
        </w:tc>
        <w:tc>
          <w:tcPr>
            <w:tcW w:w="830" w:type="dxa"/>
            <w:tcBorders>
              <w:top w:val="nil"/>
              <w:left w:val="nil"/>
              <w:bottom w:val="nil"/>
              <w:right w:val="nil"/>
            </w:tcBorders>
            <w:shd w:val="clear" w:color="auto" w:fill="D0CECE" w:themeFill="background2" w:themeFillShade="E6"/>
            <w:noWrap/>
            <w:vAlign w:val="center"/>
            <w:hideMark/>
          </w:tcPr>
          <w:p w14:paraId="07B6EC7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-85.8</w:t>
            </w:r>
          </w:p>
        </w:tc>
        <w:tc>
          <w:tcPr>
            <w:tcW w:w="839" w:type="dxa"/>
            <w:tcBorders>
              <w:top w:val="nil"/>
              <w:left w:val="nil"/>
              <w:bottom w:val="nil"/>
              <w:right w:val="nil"/>
            </w:tcBorders>
            <w:shd w:val="clear" w:color="000000" w:fill="D0CECE"/>
            <w:noWrap/>
            <w:vAlign w:val="center"/>
            <w:hideMark/>
          </w:tcPr>
          <w:p w14:paraId="0F99EBC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-86.9</w:t>
            </w:r>
          </w:p>
        </w:tc>
        <w:tc>
          <w:tcPr>
            <w:tcW w:w="638" w:type="dxa"/>
            <w:tcBorders>
              <w:top w:val="nil"/>
              <w:left w:val="nil"/>
              <w:bottom w:val="nil"/>
              <w:right w:val="nil"/>
            </w:tcBorders>
            <w:shd w:val="clear" w:color="000000" w:fill="D0CECE"/>
          </w:tcPr>
          <w:p w14:paraId="1EF69EF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-83.5</w:t>
            </w:r>
          </w:p>
        </w:tc>
      </w:tr>
      <w:tr w:rsidR="00686A00" w:rsidRPr="0039488C" w14:paraId="61045896" w14:textId="77777777" w:rsidTr="00CE0C6F">
        <w:trPr>
          <w:trHeight w:val="216"/>
        </w:trPr>
        <w:tc>
          <w:tcPr>
            <w:tcW w:w="3531" w:type="dxa"/>
            <w:tcBorders>
              <w:top w:val="nil"/>
              <w:left w:val="nil"/>
              <w:bottom w:val="nil"/>
              <w:right w:val="nil"/>
            </w:tcBorders>
            <w:shd w:val="clear" w:color="auto" w:fill="auto"/>
            <w:noWrap/>
            <w:vAlign w:val="center"/>
            <w:hideMark/>
          </w:tcPr>
          <w:p w14:paraId="7C351A73" w14:textId="77777777" w:rsidR="00686A00" w:rsidRPr="008E6ED9" w:rsidRDefault="00686A00" w:rsidP="00631AFD">
            <w:pPr>
              <w:keepNext/>
              <w:spacing w:after="0"/>
              <w:ind w:firstLineChars="200" w:firstLine="360"/>
              <w:rPr>
                <w:rFonts w:eastAsia="Times New Roman" w:cstheme="minorHAnsi"/>
                <w:sz w:val="18"/>
                <w:szCs w:val="18"/>
              </w:rPr>
            </w:pPr>
            <w:r w:rsidRPr="008E6ED9">
              <w:rPr>
                <w:rFonts w:eastAsia="Times New Roman" w:cstheme="minorHAnsi"/>
                <w:sz w:val="18"/>
                <w:szCs w:val="18"/>
              </w:rPr>
              <w:t>Exports of goods and services</w:t>
            </w:r>
          </w:p>
        </w:tc>
        <w:tc>
          <w:tcPr>
            <w:tcW w:w="1219" w:type="dxa"/>
            <w:tcBorders>
              <w:top w:val="nil"/>
              <w:left w:val="nil"/>
              <w:bottom w:val="nil"/>
              <w:right w:val="nil"/>
            </w:tcBorders>
            <w:shd w:val="clear" w:color="auto" w:fill="auto"/>
            <w:noWrap/>
            <w:vAlign w:val="center"/>
            <w:hideMark/>
          </w:tcPr>
          <w:p w14:paraId="1C449E8C"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23.7</w:t>
            </w:r>
          </w:p>
        </w:tc>
        <w:tc>
          <w:tcPr>
            <w:tcW w:w="1219" w:type="dxa"/>
            <w:tcBorders>
              <w:top w:val="nil"/>
              <w:left w:val="nil"/>
              <w:bottom w:val="nil"/>
              <w:right w:val="nil"/>
            </w:tcBorders>
            <w:shd w:val="clear" w:color="auto" w:fill="auto"/>
            <w:noWrap/>
            <w:vAlign w:val="center"/>
            <w:hideMark/>
          </w:tcPr>
          <w:p w14:paraId="0F832293"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22.6</w:t>
            </w:r>
          </w:p>
        </w:tc>
        <w:tc>
          <w:tcPr>
            <w:tcW w:w="937" w:type="dxa"/>
            <w:tcBorders>
              <w:top w:val="nil"/>
              <w:left w:val="nil"/>
              <w:bottom w:val="nil"/>
              <w:right w:val="nil"/>
            </w:tcBorders>
            <w:shd w:val="clear" w:color="auto" w:fill="FFFFFF" w:themeFill="background1"/>
            <w:noWrap/>
            <w:vAlign w:val="center"/>
            <w:hideMark/>
          </w:tcPr>
          <w:p w14:paraId="34D22058"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14.3</w:t>
            </w:r>
          </w:p>
        </w:tc>
        <w:tc>
          <w:tcPr>
            <w:tcW w:w="830" w:type="dxa"/>
            <w:tcBorders>
              <w:top w:val="nil"/>
              <w:left w:val="nil"/>
              <w:bottom w:val="nil"/>
              <w:right w:val="nil"/>
            </w:tcBorders>
            <w:shd w:val="clear" w:color="auto" w:fill="D0CECE" w:themeFill="background2" w:themeFillShade="E6"/>
            <w:noWrap/>
            <w:vAlign w:val="center"/>
            <w:hideMark/>
          </w:tcPr>
          <w:p w14:paraId="7C2F999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21.8</w:t>
            </w:r>
          </w:p>
        </w:tc>
        <w:tc>
          <w:tcPr>
            <w:tcW w:w="839" w:type="dxa"/>
            <w:tcBorders>
              <w:top w:val="nil"/>
              <w:left w:val="nil"/>
              <w:bottom w:val="nil"/>
              <w:right w:val="nil"/>
            </w:tcBorders>
            <w:shd w:val="clear" w:color="000000" w:fill="D0CECE"/>
            <w:noWrap/>
            <w:vAlign w:val="center"/>
            <w:hideMark/>
          </w:tcPr>
          <w:p w14:paraId="492557CE"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22.2</w:t>
            </w:r>
          </w:p>
        </w:tc>
        <w:tc>
          <w:tcPr>
            <w:tcW w:w="638" w:type="dxa"/>
            <w:tcBorders>
              <w:top w:val="nil"/>
              <w:left w:val="nil"/>
              <w:bottom w:val="nil"/>
              <w:right w:val="nil"/>
            </w:tcBorders>
            <w:shd w:val="clear" w:color="000000" w:fill="D0CECE"/>
          </w:tcPr>
          <w:p w14:paraId="38A65B2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22.6</w:t>
            </w:r>
          </w:p>
        </w:tc>
      </w:tr>
      <w:tr w:rsidR="00686A00" w:rsidRPr="0039488C" w14:paraId="7A0EC7B0" w14:textId="77777777" w:rsidTr="00CE0C6F">
        <w:trPr>
          <w:trHeight w:val="216"/>
        </w:trPr>
        <w:tc>
          <w:tcPr>
            <w:tcW w:w="3531" w:type="dxa"/>
            <w:tcBorders>
              <w:top w:val="nil"/>
              <w:left w:val="nil"/>
              <w:bottom w:val="nil"/>
              <w:right w:val="nil"/>
            </w:tcBorders>
            <w:shd w:val="clear" w:color="auto" w:fill="auto"/>
            <w:noWrap/>
            <w:vAlign w:val="center"/>
            <w:hideMark/>
          </w:tcPr>
          <w:p w14:paraId="7EC755C5" w14:textId="77777777" w:rsidR="00686A00" w:rsidRPr="008E6ED9" w:rsidRDefault="00686A00" w:rsidP="00631AFD">
            <w:pPr>
              <w:keepNext/>
              <w:spacing w:after="0"/>
              <w:ind w:firstLineChars="200" w:firstLine="360"/>
              <w:rPr>
                <w:rFonts w:eastAsia="Times New Roman" w:cstheme="minorHAnsi"/>
                <w:sz w:val="18"/>
                <w:szCs w:val="18"/>
              </w:rPr>
            </w:pPr>
            <w:r w:rsidRPr="008E6ED9">
              <w:rPr>
                <w:rFonts w:eastAsia="Times New Roman" w:cstheme="minorHAnsi"/>
                <w:sz w:val="18"/>
                <w:szCs w:val="18"/>
              </w:rPr>
              <w:t>Imports of goods and services</w:t>
            </w:r>
          </w:p>
        </w:tc>
        <w:tc>
          <w:tcPr>
            <w:tcW w:w="1219" w:type="dxa"/>
            <w:tcBorders>
              <w:top w:val="nil"/>
              <w:left w:val="nil"/>
              <w:bottom w:val="nil"/>
              <w:right w:val="nil"/>
            </w:tcBorders>
            <w:shd w:val="clear" w:color="auto" w:fill="auto"/>
            <w:noWrap/>
            <w:vAlign w:val="center"/>
            <w:hideMark/>
          </w:tcPr>
          <w:p w14:paraId="40325A42"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108.5</w:t>
            </w:r>
          </w:p>
        </w:tc>
        <w:tc>
          <w:tcPr>
            <w:tcW w:w="1219" w:type="dxa"/>
            <w:tcBorders>
              <w:top w:val="nil"/>
              <w:left w:val="nil"/>
              <w:bottom w:val="nil"/>
              <w:right w:val="nil"/>
            </w:tcBorders>
            <w:shd w:val="clear" w:color="auto" w:fill="auto"/>
            <w:noWrap/>
            <w:vAlign w:val="center"/>
            <w:hideMark/>
          </w:tcPr>
          <w:p w14:paraId="66BD5AD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105.6</w:t>
            </w:r>
          </w:p>
        </w:tc>
        <w:tc>
          <w:tcPr>
            <w:tcW w:w="937" w:type="dxa"/>
            <w:tcBorders>
              <w:top w:val="nil"/>
              <w:left w:val="nil"/>
              <w:bottom w:val="nil"/>
              <w:right w:val="nil"/>
            </w:tcBorders>
            <w:shd w:val="clear" w:color="auto" w:fill="FFFFFF" w:themeFill="background1"/>
            <w:noWrap/>
            <w:vAlign w:val="center"/>
            <w:hideMark/>
          </w:tcPr>
          <w:p w14:paraId="09529AD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105.5</w:t>
            </w:r>
          </w:p>
        </w:tc>
        <w:tc>
          <w:tcPr>
            <w:tcW w:w="830" w:type="dxa"/>
            <w:tcBorders>
              <w:top w:val="nil"/>
              <w:left w:val="nil"/>
              <w:bottom w:val="nil"/>
              <w:right w:val="nil"/>
            </w:tcBorders>
            <w:shd w:val="clear" w:color="auto" w:fill="D0CECE" w:themeFill="background2" w:themeFillShade="E6"/>
            <w:noWrap/>
            <w:vAlign w:val="center"/>
            <w:hideMark/>
          </w:tcPr>
          <w:p w14:paraId="4109D39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107.6</w:t>
            </w:r>
          </w:p>
        </w:tc>
        <w:tc>
          <w:tcPr>
            <w:tcW w:w="839" w:type="dxa"/>
            <w:tcBorders>
              <w:top w:val="nil"/>
              <w:left w:val="nil"/>
              <w:bottom w:val="nil"/>
              <w:right w:val="nil"/>
            </w:tcBorders>
            <w:shd w:val="clear" w:color="000000" w:fill="D0CECE"/>
            <w:noWrap/>
            <w:vAlign w:val="center"/>
            <w:hideMark/>
          </w:tcPr>
          <w:p w14:paraId="3106F9E9"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109.1</w:t>
            </w:r>
          </w:p>
        </w:tc>
        <w:tc>
          <w:tcPr>
            <w:tcW w:w="638" w:type="dxa"/>
            <w:tcBorders>
              <w:top w:val="nil"/>
              <w:left w:val="nil"/>
              <w:bottom w:val="nil"/>
              <w:right w:val="nil"/>
            </w:tcBorders>
            <w:shd w:val="clear" w:color="000000" w:fill="D0CECE"/>
          </w:tcPr>
          <w:p w14:paraId="73AE2001"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106.1</w:t>
            </w:r>
          </w:p>
        </w:tc>
      </w:tr>
      <w:tr w:rsidR="00686A00" w:rsidRPr="0039488C" w14:paraId="3EEE8E96" w14:textId="77777777" w:rsidTr="00CE0C6F">
        <w:trPr>
          <w:trHeight w:val="216"/>
        </w:trPr>
        <w:tc>
          <w:tcPr>
            <w:tcW w:w="3531" w:type="dxa"/>
            <w:tcBorders>
              <w:top w:val="nil"/>
              <w:left w:val="nil"/>
              <w:bottom w:val="nil"/>
              <w:right w:val="nil"/>
            </w:tcBorders>
            <w:shd w:val="clear" w:color="auto" w:fill="auto"/>
            <w:noWrap/>
            <w:vAlign w:val="center"/>
            <w:hideMark/>
          </w:tcPr>
          <w:p w14:paraId="240F988F"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Remittances, private transfers</w:t>
            </w:r>
          </w:p>
        </w:tc>
        <w:tc>
          <w:tcPr>
            <w:tcW w:w="1219" w:type="dxa"/>
            <w:tcBorders>
              <w:top w:val="nil"/>
              <w:left w:val="nil"/>
              <w:bottom w:val="nil"/>
              <w:right w:val="nil"/>
            </w:tcBorders>
            <w:shd w:val="clear" w:color="auto" w:fill="auto"/>
            <w:noWrap/>
            <w:vAlign w:val="center"/>
            <w:hideMark/>
          </w:tcPr>
          <w:p w14:paraId="055C75E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31.4</w:t>
            </w:r>
          </w:p>
        </w:tc>
        <w:tc>
          <w:tcPr>
            <w:tcW w:w="1219" w:type="dxa"/>
            <w:tcBorders>
              <w:top w:val="nil"/>
              <w:left w:val="nil"/>
              <w:bottom w:val="nil"/>
              <w:right w:val="nil"/>
            </w:tcBorders>
            <w:shd w:val="clear" w:color="auto" w:fill="auto"/>
            <w:noWrap/>
            <w:vAlign w:val="center"/>
            <w:hideMark/>
          </w:tcPr>
          <w:p w14:paraId="4723CB2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31.9</w:t>
            </w:r>
          </w:p>
        </w:tc>
        <w:tc>
          <w:tcPr>
            <w:tcW w:w="937" w:type="dxa"/>
            <w:tcBorders>
              <w:top w:val="nil"/>
              <w:left w:val="nil"/>
              <w:bottom w:val="nil"/>
              <w:right w:val="nil"/>
            </w:tcBorders>
            <w:shd w:val="clear" w:color="auto" w:fill="FFFFFF" w:themeFill="background1"/>
            <w:noWrap/>
            <w:vAlign w:val="center"/>
            <w:hideMark/>
          </w:tcPr>
          <w:p w14:paraId="43346AE8"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30.8</w:t>
            </w:r>
          </w:p>
        </w:tc>
        <w:tc>
          <w:tcPr>
            <w:tcW w:w="830" w:type="dxa"/>
            <w:tcBorders>
              <w:top w:val="nil"/>
              <w:left w:val="nil"/>
              <w:bottom w:val="nil"/>
              <w:right w:val="nil"/>
            </w:tcBorders>
            <w:shd w:val="clear" w:color="auto" w:fill="D0CECE" w:themeFill="background2" w:themeFillShade="E6"/>
            <w:noWrap/>
            <w:vAlign w:val="center"/>
            <w:hideMark/>
          </w:tcPr>
          <w:p w14:paraId="4CF62FC8"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31.3</w:t>
            </w:r>
          </w:p>
        </w:tc>
        <w:tc>
          <w:tcPr>
            <w:tcW w:w="839" w:type="dxa"/>
            <w:tcBorders>
              <w:top w:val="nil"/>
              <w:left w:val="nil"/>
              <w:bottom w:val="nil"/>
              <w:right w:val="nil"/>
            </w:tcBorders>
            <w:shd w:val="clear" w:color="000000" w:fill="D0CECE"/>
            <w:noWrap/>
            <w:vAlign w:val="center"/>
            <w:hideMark/>
          </w:tcPr>
          <w:p w14:paraId="1B93DBE8"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31.9</w:t>
            </w:r>
          </w:p>
        </w:tc>
        <w:tc>
          <w:tcPr>
            <w:tcW w:w="638" w:type="dxa"/>
            <w:tcBorders>
              <w:top w:val="nil"/>
              <w:left w:val="nil"/>
              <w:bottom w:val="nil"/>
              <w:right w:val="nil"/>
            </w:tcBorders>
            <w:shd w:val="clear" w:color="000000" w:fill="D0CECE"/>
          </w:tcPr>
          <w:p w14:paraId="12681B5E"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31.4</w:t>
            </w:r>
          </w:p>
        </w:tc>
      </w:tr>
      <w:tr w:rsidR="00686A00" w:rsidRPr="0039488C" w14:paraId="01DF7825" w14:textId="77777777" w:rsidTr="00CE0C6F">
        <w:trPr>
          <w:trHeight w:val="216"/>
        </w:trPr>
        <w:tc>
          <w:tcPr>
            <w:tcW w:w="3531" w:type="dxa"/>
            <w:tcBorders>
              <w:top w:val="nil"/>
              <w:left w:val="nil"/>
              <w:bottom w:val="nil"/>
              <w:right w:val="nil"/>
            </w:tcBorders>
            <w:shd w:val="clear" w:color="auto" w:fill="auto"/>
            <w:noWrap/>
            <w:vAlign w:val="center"/>
            <w:hideMark/>
          </w:tcPr>
          <w:p w14:paraId="60E0D520" w14:textId="77777777" w:rsidR="00686A00" w:rsidRPr="008E6ED9" w:rsidRDefault="00686A00" w:rsidP="00631AFD">
            <w:pPr>
              <w:keepNext/>
              <w:spacing w:after="0"/>
              <w:ind w:firstLineChars="100" w:firstLine="180"/>
              <w:rPr>
                <w:rFonts w:eastAsia="Times New Roman" w:cstheme="minorHAnsi"/>
                <w:sz w:val="18"/>
                <w:szCs w:val="18"/>
              </w:rPr>
            </w:pPr>
            <w:r w:rsidRPr="008E6ED9">
              <w:rPr>
                <w:rFonts w:eastAsia="Times New Roman" w:cstheme="minorHAnsi"/>
                <w:sz w:val="18"/>
                <w:szCs w:val="18"/>
              </w:rPr>
              <w:t>Official grants</w:t>
            </w:r>
          </w:p>
        </w:tc>
        <w:tc>
          <w:tcPr>
            <w:tcW w:w="1219" w:type="dxa"/>
            <w:tcBorders>
              <w:top w:val="nil"/>
              <w:left w:val="nil"/>
              <w:bottom w:val="nil"/>
              <w:right w:val="nil"/>
            </w:tcBorders>
            <w:shd w:val="clear" w:color="auto" w:fill="auto"/>
            <w:noWrap/>
            <w:vAlign w:val="center"/>
            <w:hideMark/>
          </w:tcPr>
          <w:p w14:paraId="2C5D152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46.6</w:t>
            </w:r>
          </w:p>
        </w:tc>
        <w:tc>
          <w:tcPr>
            <w:tcW w:w="1219" w:type="dxa"/>
            <w:tcBorders>
              <w:top w:val="nil"/>
              <w:left w:val="nil"/>
              <w:bottom w:val="nil"/>
              <w:right w:val="nil"/>
            </w:tcBorders>
            <w:shd w:val="clear" w:color="auto" w:fill="auto"/>
            <w:noWrap/>
            <w:vAlign w:val="center"/>
            <w:hideMark/>
          </w:tcPr>
          <w:p w14:paraId="0A013B8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41.3</w:t>
            </w:r>
          </w:p>
        </w:tc>
        <w:tc>
          <w:tcPr>
            <w:tcW w:w="937" w:type="dxa"/>
            <w:tcBorders>
              <w:top w:val="nil"/>
              <w:left w:val="nil"/>
              <w:bottom w:val="nil"/>
              <w:right w:val="nil"/>
            </w:tcBorders>
            <w:shd w:val="clear" w:color="auto" w:fill="FFFFFF" w:themeFill="background1"/>
            <w:noWrap/>
            <w:vAlign w:val="center"/>
            <w:hideMark/>
          </w:tcPr>
          <w:p w14:paraId="6C568DE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47.9</w:t>
            </w:r>
          </w:p>
        </w:tc>
        <w:tc>
          <w:tcPr>
            <w:tcW w:w="830" w:type="dxa"/>
            <w:tcBorders>
              <w:top w:val="nil"/>
              <w:left w:val="nil"/>
              <w:bottom w:val="nil"/>
              <w:right w:val="nil"/>
            </w:tcBorders>
            <w:shd w:val="clear" w:color="auto" w:fill="D0CECE" w:themeFill="background2" w:themeFillShade="E6"/>
            <w:noWrap/>
            <w:vAlign w:val="center"/>
            <w:hideMark/>
          </w:tcPr>
          <w:p w14:paraId="4F8DBBAA"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42.9</w:t>
            </w:r>
          </w:p>
        </w:tc>
        <w:tc>
          <w:tcPr>
            <w:tcW w:w="839" w:type="dxa"/>
            <w:tcBorders>
              <w:top w:val="nil"/>
              <w:left w:val="nil"/>
              <w:bottom w:val="nil"/>
              <w:right w:val="nil"/>
            </w:tcBorders>
            <w:shd w:val="clear" w:color="000000" w:fill="D0CECE"/>
            <w:noWrap/>
            <w:vAlign w:val="center"/>
            <w:hideMark/>
          </w:tcPr>
          <w:p w14:paraId="0B655B2D"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43.8</w:t>
            </w:r>
          </w:p>
        </w:tc>
        <w:tc>
          <w:tcPr>
            <w:tcW w:w="638" w:type="dxa"/>
            <w:tcBorders>
              <w:top w:val="nil"/>
              <w:left w:val="nil"/>
              <w:bottom w:val="nil"/>
              <w:right w:val="nil"/>
            </w:tcBorders>
            <w:shd w:val="clear" w:color="000000" w:fill="D0CECE"/>
          </w:tcPr>
          <w:p w14:paraId="4A678ED6"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40.7</w:t>
            </w:r>
          </w:p>
        </w:tc>
      </w:tr>
      <w:tr w:rsidR="00686A00" w:rsidRPr="0039488C" w14:paraId="1DA71CE2" w14:textId="77777777" w:rsidTr="00CE0C6F">
        <w:trPr>
          <w:trHeight w:val="216"/>
        </w:trPr>
        <w:tc>
          <w:tcPr>
            <w:tcW w:w="3531" w:type="dxa"/>
            <w:tcBorders>
              <w:top w:val="nil"/>
              <w:left w:val="nil"/>
              <w:bottom w:val="nil"/>
              <w:right w:val="nil"/>
            </w:tcBorders>
            <w:shd w:val="clear" w:color="auto" w:fill="auto"/>
            <w:noWrap/>
            <w:vAlign w:val="center"/>
            <w:hideMark/>
          </w:tcPr>
          <w:p w14:paraId="7510D318"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FDI</w:t>
            </w:r>
          </w:p>
        </w:tc>
        <w:tc>
          <w:tcPr>
            <w:tcW w:w="1219" w:type="dxa"/>
            <w:tcBorders>
              <w:top w:val="nil"/>
              <w:left w:val="nil"/>
              <w:bottom w:val="nil"/>
              <w:right w:val="nil"/>
            </w:tcBorders>
            <w:shd w:val="clear" w:color="auto" w:fill="auto"/>
            <w:noWrap/>
            <w:vAlign w:val="center"/>
            <w:hideMark/>
          </w:tcPr>
          <w:p w14:paraId="217F2DA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8.6</w:t>
            </w:r>
          </w:p>
        </w:tc>
        <w:tc>
          <w:tcPr>
            <w:tcW w:w="1219" w:type="dxa"/>
            <w:tcBorders>
              <w:top w:val="nil"/>
              <w:left w:val="nil"/>
              <w:bottom w:val="nil"/>
              <w:right w:val="nil"/>
            </w:tcBorders>
            <w:shd w:val="clear" w:color="auto" w:fill="auto"/>
            <w:noWrap/>
            <w:vAlign w:val="center"/>
            <w:hideMark/>
          </w:tcPr>
          <w:p w14:paraId="2706C8F7"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9.1</w:t>
            </w:r>
          </w:p>
        </w:tc>
        <w:tc>
          <w:tcPr>
            <w:tcW w:w="937" w:type="dxa"/>
            <w:tcBorders>
              <w:top w:val="nil"/>
              <w:left w:val="nil"/>
              <w:bottom w:val="nil"/>
              <w:right w:val="nil"/>
            </w:tcBorders>
            <w:shd w:val="clear" w:color="auto" w:fill="FFFFFF" w:themeFill="background1"/>
            <w:noWrap/>
            <w:vAlign w:val="center"/>
            <w:hideMark/>
          </w:tcPr>
          <w:p w14:paraId="4A58842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9.4</w:t>
            </w:r>
          </w:p>
        </w:tc>
        <w:tc>
          <w:tcPr>
            <w:tcW w:w="830" w:type="dxa"/>
            <w:tcBorders>
              <w:top w:val="nil"/>
              <w:left w:val="nil"/>
              <w:bottom w:val="nil"/>
              <w:right w:val="nil"/>
            </w:tcBorders>
            <w:shd w:val="clear" w:color="auto" w:fill="D0CECE" w:themeFill="background2" w:themeFillShade="E6"/>
            <w:noWrap/>
            <w:vAlign w:val="center"/>
            <w:hideMark/>
          </w:tcPr>
          <w:p w14:paraId="40D2662B"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9.2</w:t>
            </w:r>
          </w:p>
        </w:tc>
        <w:tc>
          <w:tcPr>
            <w:tcW w:w="839" w:type="dxa"/>
            <w:tcBorders>
              <w:top w:val="nil"/>
              <w:left w:val="nil"/>
              <w:bottom w:val="nil"/>
              <w:right w:val="nil"/>
            </w:tcBorders>
            <w:shd w:val="clear" w:color="000000" w:fill="D0CECE"/>
            <w:noWrap/>
            <w:vAlign w:val="center"/>
            <w:hideMark/>
          </w:tcPr>
          <w:p w14:paraId="62A65A95"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9.3</w:t>
            </w:r>
          </w:p>
        </w:tc>
        <w:tc>
          <w:tcPr>
            <w:tcW w:w="638" w:type="dxa"/>
            <w:tcBorders>
              <w:top w:val="nil"/>
              <w:left w:val="nil"/>
              <w:bottom w:val="nil"/>
              <w:right w:val="nil"/>
            </w:tcBorders>
            <w:shd w:val="clear" w:color="000000" w:fill="D0CECE"/>
          </w:tcPr>
          <w:p w14:paraId="22EDF39A"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9.7</w:t>
            </w:r>
          </w:p>
        </w:tc>
      </w:tr>
      <w:tr w:rsidR="00686A00" w:rsidRPr="0039488C" w14:paraId="047C0CB3" w14:textId="77777777" w:rsidTr="001E09E9">
        <w:trPr>
          <w:trHeight w:val="216"/>
        </w:trPr>
        <w:tc>
          <w:tcPr>
            <w:tcW w:w="3531" w:type="dxa"/>
            <w:tcBorders>
              <w:top w:val="nil"/>
              <w:left w:val="nil"/>
              <w:bottom w:val="nil"/>
              <w:right w:val="nil"/>
            </w:tcBorders>
            <w:shd w:val="clear" w:color="auto" w:fill="auto"/>
            <w:noWrap/>
            <w:vAlign w:val="center"/>
            <w:hideMark/>
          </w:tcPr>
          <w:p w14:paraId="2F0BDDF3" w14:textId="77777777" w:rsidR="00686A00" w:rsidRPr="008E6ED9" w:rsidRDefault="00686A00" w:rsidP="00631AFD">
            <w:pPr>
              <w:keepNext/>
              <w:spacing w:after="0"/>
              <w:rPr>
                <w:rFonts w:eastAsia="Times New Roman" w:cstheme="minorHAnsi"/>
                <w:sz w:val="18"/>
                <w:szCs w:val="18"/>
              </w:rPr>
            </w:pPr>
            <w:r w:rsidRPr="008E6ED9">
              <w:rPr>
                <w:rFonts w:eastAsia="Times New Roman" w:cstheme="minorHAnsi"/>
                <w:sz w:val="18"/>
                <w:szCs w:val="18"/>
              </w:rPr>
              <w:t>External debt</w:t>
            </w:r>
          </w:p>
        </w:tc>
        <w:tc>
          <w:tcPr>
            <w:tcW w:w="1219" w:type="dxa"/>
            <w:tcBorders>
              <w:top w:val="nil"/>
              <w:left w:val="nil"/>
              <w:bottom w:val="nil"/>
              <w:right w:val="nil"/>
            </w:tcBorders>
            <w:shd w:val="clear" w:color="auto" w:fill="auto"/>
            <w:noWrap/>
            <w:vAlign w:val="center"/>
            <w:hideMark/>
          </w:tcPr>
          <w:p w14:paraId="754E7091"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111.3</w:t>
            </w:r>
          </w:p>
        </w:tc>
        <w:tc>
          <w:tcPr>
            <w:tcW w:w="1219" w:type="dxa"/>
            <w:tcBorders>
              <w:top w:val="nil"/>
              <w:left w:val="nil"/>
              <w:bottom w:val="nil"/>
              <w:right w:val="nil"/>
            </w:tcBorders>
            <w:shd w:val="clear" w:color="auto" w:fill="auto"/>
            <w:noWrap/>
            <w:vAlign w:val="center"/>
            <w:hideMark/>
          </w:tcPr>
          <w:p w14:paraId="5D415AD8"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107.4</w:t>
            </w:r>
          </w:p>
        </w:tc>
        <w:tc>
          <w:tcPr>
            <w:tcW w:w="937" w:type="dxa"/>
            <w:tcBorders>
              <w:top w:val="nil"/>
              <w:left w:val="nil"/>
              <w:right w:val="nil"/>
            </w:tcBorders>
            <w:shd w:val="clear" w:color="auto" w:fill="FFFFFF" w:themeFill="background1"/>
            <w:noWrap/>
            <w:vAlign w:val="center"/>
            <w:hideMark/>
          </w:tcPr>
          <w:p w14:paraId="2F46E72A"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39.3</w:t>
            </w:r>
          </w:p>
        </w:tc>
        <w:tc>
          <w:tcPr>
            <w:tcW w:w="830" w:type="dxa"/>
            <w:tcBorders>
              <w:top w:val="nil"/>
              <w:left w:val="nil"/>
              <w:right w:val="nil"/>
            </w:tcBorders>
            <w:shd w:val="clear" w:color="auto" w:fill="D0CECE" w:themeFill="background2" w:themeFillShade="E6"/>
            <w:noWrap/>
            <w:vAlign w:val="center"/>
            <w:hideMark/>
          </w:tcPr>
          <w:p w14:paraId="4E1EEFCD"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36.7</w:t>
            </w:r>
          </w:p>
        </w:tc>
        <w:tc>
          <w:tcPr>
            <w:tcW w:w="839" w:type="dxa"/>
            <w:tcBorders>
              <w:top w:val="nil"/>
              <w:left w:val="nil"/>
              <w:bottom w:val="nil"/>
              <w:right w:val="nil"/>
            </w:tcBorders>
            <w:shd w:val="clear" w:color="000000" w:fill="D0CECE"/>
            <w:noWrap/>
            <w:vAlign w:val="center"/>
            <w:hideMark/>
          </w:tcPr>
          <w:p w14:paraId="13E2787F"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35.5</w:t>
            </w:r>
          </w:p>
        </w:tc>
        <w:tc>
          <w:tcPr>
            <w:tcW w:w="638" w:type="dxa"/>
            <w:tcBorders>
              <w:top w:val="nil"/>
              <w:left w:val="nil"/>
              <w:bottom w:val="nil"/>
              <w:right w:val="nil"/>
            </w:tcBorders>
            <w:shd w:val="clear" w:color="000000" w:fill="D0CECE"/>
          </w:tcPr>
          <w:p w14:paraId="72355EA0" w14:textId="77777777" w:rsidR="00686A00" w:rsidRPr="008E6ED9" w:rsidRDefault="00686A00" w:rsidP="00631AFD">
            <w:pPr>
              <w:keepNext/>
              <w:spacing w:after="0"/>
              <w:jc w:val="right"/>
              <w:rPr>
                <w:rFonts w:eastAsia="Times New Roman" w:cstheme="minorHAnsi"/>
                <w:sz w:val="18"/>
                <w:szCs w:val="18"/>
              </w:rPr>
            </w:pPr>
            <w:r w:rsidRPr="008E6ED9">
              <w:rPr>
                <w:rFonts w:eastAsia="Times New Roman" w:cstheme="minorHAnsi"/>
                <w:sz w:val="18"/>
                <w:szCs w:val="18"/>
              </w:rPr>
              <w:t>29.4</w:t>
            </w:r>
          </w:p>
        </w:tc>
      </w:tr>
      <w:tr w:rsidR="00270BAF" w:rsidRPr="0039488C" w14:paraId="40927726" w14:textId="77777777" w:rsidTr="00362533">
        <w:trPr>
          <w:trHeight w:val="216"/>
        </w:trPr>
        <w:tc>
          <w:tcPr>
            <w:tcW w:w="3531" w:type="dxa"/>
            <w:tcBorders>
              <w:top w:val="nil"/>
              <w:left w:val="nil"/>
              <w:bottom w:val="single" w:sz="8" w:space="0" w:color="auto"/>
              <w:right w:val="nil"/>
            </w:tcBorders>
            <w:shd w:val="clear" w:color="auto" w:fill="auto"/>
            <w:noWrap/>
            <w:vAlign w:val="center"/>
            <w:hideMark/>
          </w:tcPr>
          <w:p w14:paraId="25FFEA26" w14:textId="41B8D4C4" w:rsidR="00746E4F" w:rsidRPr="008E6ED9" w:rsidRDefault="00746E4F" w:rsidP="00746E4F">
            <w:pPr>
              <w:keepNext/>
              <w:spacing w:after="0"/>
              <w:rPr>
                <w:rFonts w:eastAsia="Times New Roman" w:cstheme="minorHAnsi"/>
                <w:sz w:val="18"/>
                <w:szCs w:val="18"/>
              </w:rPr>
            </w:pPr>
            <w:r w:rsidRPr="008E6ED9">
              <w:rPr>
                <w:rFonts w:eastAsia="Times New Roman" w:cstheme="minorHAnsi"/>
                <w:sz w:val="18"/>
                <w:szCs w:val="18"/>
              </w:rPr>
              <w:t>Exchange rate (shilling/dollar)</w:t>
            </w:r>
            <w:r w:rsidR="00EF0E89">
              <w:rPr>
                <w:rFonts w:eastAsia="Times New Roman" w:cstheme="minorHAnsi"/>
                <w:sz w:val="18"/>
                <w:szCs w:val="18"/>
              </w:rPr>
              <w:t xml:space="preserve"> (</w:t>
            </w:r>
            <w:proofErr w:type="spellStart"/>
            <w:r w:rsidR="00A9160A">
              <w:rPr>
                <w:rFonts w:eastAsia="Times New Roman" w:cstheme="minorHAnsi"/>
                <w:sz w:val="18"/>
                <w:szCs w:val="18"/>
              </w:rPr>
              <w:t>e.o.p</w:t>
            </w:r>
            <w:proofErr w:type="spellEnd"/>
            <w:r w:rsidR="00EF0E89">
              <w:rPr>
                <w:rFonts w:eastAsia="Times New Roman" w:cstheme="minorHAnsi"/>
                <w:sz w:val="18"/>
                <w:szCs w:val="18"/>
              </w:rPr>
              <w:t>)</w:t>
            </w:r>
          </w:p>
        </w:tc>
        <w:tc>
          <w:tcPr>
            <w:tcW w:w="1219" w:type="dxa"/>
            <w:tcBorders>
              <w:top w:val="nil"/>
              <w:left w:val="nil"/>
              <w:bottom w:val="single" w:sz="8" w:space="0" w:color="auto"/>
              <w:right w:val="nil"/>
            </w:tcBorders>
            <w:shd w:val="clear" w:color="auto" w:fill="auto"/>
            <w:noWrap/>
            <w:hideMark/>
          </w:tcPr>
          <w:p w14:paraId="65C67358" w14:textId="6AC74A61" w:rsidR="00746E4F" w:rsidRPr="00746E4F" w:rsidRDefault="00746E4F" w:rsidP="00746E4F">
            <w:pPr>
              <w:keepNext/>
              <w:spacing w:after="0"/>
              <w:jc w:val="right"/>
              <w:rPr>
                <w:rFonts w:eastAsia="Times New Roman" w:cstheme="minorHAnsi"/>
                <w:sz w:val="18"/>
                <w:szCs w:val="18"/>
              </w:rPr>
            </w:pPr>
            <w:r w:rsidRPr="001E09E9">
              <w:rPr>
                <w:rFonts w:eastAsia="Times New Roman" w:cstheme="minorHAnsi"/>
                <w:color w:val="000000"/>
                <w:sz w:val="18"/>
                <w:szCs w:val="18"/>
                <w:lang w:eastAsia="en-GB"/>
              </w:rPr>
              <w:t>23,954</w:t>
            </w:r>
          </w:p>
        </w:tc>
        <w:tc>
          <w:tcPr>
            <w:tcW w:w="1219" w:type="dxa"/>
            <w:tcBorders>
              <w:top w:val="nil"/>
              <w:left w:val="nil"/>
              <w:bottom w:val="single" w:sz="8" w:space="0" w:color="auto"/>
              <w:right w:val="nil"/>
            </w:tcBorders>
            <w:shd w:val="clear" w:color="auto" w:fill="auto"/>
            <w:noWrap/>
            <w:hideMark/>
          </w:tcPr>
          <w:p w14:paraId="0943D203" w14:textId="7A7D49A5" w:rsidR="00746E4F" w:rsidRPr="00746E4F" w:rsidRDefault="00746E4F" w:rsidP="00746E4F">
            <w:pPr>
              <w:keepNext/>
              <w:spacing w:after="0"/>
              <w:jc w:val="right"/>
              <w:rPr>
                <w:rFonts w:eastAsia="Times New Roman" w:cstheme="minorHAnsi"/>
                <w:sz w:val="18"/>
                <w:szCs w:val="18"/>
              </w:rPr>
            </w:pPr>
            <w:r w:rsidRPr="001E09E9">
              <w:rPr>
                <w:rFonts w:eastAsia="Times New Roman" w:cstheme="minorHAnsi"/>
                <w:color w:val="000000"/>
                <w:sz w:val="18"/>
                <w:szCs w:val="18"/>
                <w:lang w:eastAsia="en-GB"/>
              </w:rPr>
              <w:t>25,065</w:t>
            </w:r>
          </w:p>
        </w:tc>
        <w:tc>
          <w:tcPr>
            <w:tcW w:w="937" w:type="dxa"/>
            <w:tcBorders>
              <w:top w:val="nil"/>
              <w:left w:val="nil"/>
              <w:bottom w:val="single" w:sz="4" w:space="0" w:color="auto"/>
              <w:right w:val="nil"/>
            </w:tcBorders>
            <w:shd w:val="clear" w:color="auto" w:fill="FFFFFF" w:themeFill="background1"/>
            <w:noWrap/>
            <w:hideMark/>
          </w:tcPr>
          <w:p w14:paraId="09DC64CE" w14:textId="32E2C8FC" w:rsidR="00746E4F" w:rsidRPr="00746E4F" w:rsidRDefault="00746E4F" w:rsidP="00746E4F">
            <w:pPr>
              <w:keepNext/>
              <w:spacing w:after="0"/>
              <w:jc w:val="right"/>
              <w:rPr>
                <w:rFonts w:eastAsia="Times New Roman" w:cstheme="minorHAnsi"/>
                <w:sz w:val="18"/>
                <w:szCs w:val="18"/>
              </w:rPr>
            </w:pPr>
            <w:r w:rsidRPr="001E09E9">
              <w:rPr>
                <w:rFonts w:eastAsia="Times New Roman" w:cstheme="minorHAnsi"/>
                <w:color w:val="000000"/>
                <w:sz w:val="18"/>
                <w:szCs w:val="18"/>
                <w:lang w:eastAsia="en-GB"/>
              </w:rPr>
              <w:t>25,761</w:t>
            </w:r>
          </w:p>
        </w:tc>
        <w:tc>
          <w:tcPr>
            <w:tcW w:w="830" w:type="dxa"/>
            <w:tcBorders>
              <w:top w:val="nil"/>
              <w:left w:val="nil"/>
              <w:bottom w:val="single" w:sz="4" w:space="0" w:color="auto"/>
              <w:right w:val="nil"/>
            </w:tcBorders>
            <w:shd w:val="clear" w:color="auto" w:fill="D0CECE" w:themeFill="background2" w:themeFillShade="E6"/>
            <w:noWrap/>
            <w:vAlign w:val="center"/>
            <w:hideMark/>
          </w:tcPr>
          <w:p w14:paraId="6713F0A6" w14:textId="77777777" w:rsidR="00746E4F" w:rsidRPr="008E6ED9" w:rsidRDefault="00746E4F" w:rsidP="00746E4F">
            <w:pPr>
              <w:keepNext/>
              <w:spacing w:after="0"/>
              <w:jc w:val="right"/>
              <w:rPr>
                <w:rFonts w:eastAsia="Times New Roman" w:cstheme="minorHAnsi"/>
                <w:sz w:val="18"/>
                <w:szCs w:val="18"/>
              </w:rPr>
            </w:pPr>
            <w:r w:rsidRPr="008E6ED9">
              <w:rPr>
                <w:rFonts w:eastAsia="Times New Roman" w:cstheme="minorHAnsi"/>
                <w:sz w:val="18"/>
                <w:szCs w:val="18"/>
              </w:rPr>
              <w:t> </w:t>
            </w:r>
          </w:p>
        </w:tc>
        <w:tc>
          <w:tcPr>
            <w:tcW w:w="839" w:type="dxa"/>
            <w:tcBorders>
              <w:top w:val="nil"/>
              <w:left w:val="nil"/>
              <w:bottom w:val="single" w:sz="8" w:space="0" w:color="auto"/>
              <w:right w:val="nil"/>
            </w:tcBorders>
            <w:shd w:val="clear" w:color="auto" w:fill="D0CECE" w:themeFill="background2" w:themeFillShade="E6"/>
            <w:noWrap/>
            <w:hideMark/>
          </w:tcPr>
          <w:p w14:paraId="03040AE4" w14:textId="77777777" w:rsidR="00746E4F" w:rsidRPr="008E6ED9" w:rsidRDefault="00746E4F" w:rsidP="00746E4F">
            <w:pPr>
              <w:keepNext/>
              <w:spacing w:after="0"/>
              <w:rPr>
                <w:rFonts w:eastAsia="Times New Roman" w:cstheme="minorHAnsi"/>
                <w:sz w:val="18"/>
                <w:szCs w:val="18"/>
              </w:rPr>
            </w:pPr>
            <w:r w:rsidRPr="008E6ED9">
              <w:rPr>
                <w:rFonts w:eastAsia="Times New Roman" w:cstheme="minorHAnsi"/>
                <w:sz w:val="18"/>
                <w:szCs w:val="18"/>
              </w:rPr>
              <w:t> </w:t>
            </w:r>
          </w:p>
        </w:tc>
        <w:tc>
          <w:tcPr>
            <w:tcW w:w="638" w:type="dxa"/>
            <w:tcBorders>
              <w:top w:val="nil"/>
              <w:left w:val="nil"/>
              <w:bottom w:val="single" w:sz="8" w:space="0" w:color="auto"/>
              <w:right w:val="nil"/>
            </w:tcBorders>
            <w:shd w:val="clear" w:color="000000" w:fill="D0CECE"/>
          </w:tcPr>
          <w:p w14:paraId="4D228699" w14:textId="77777777" w:rsidR="00746E4F" w:rsidRPr="008E6ED9" w:rsidRDefault="00746E4F" w:rsidP="00746E4F">
            <w:pPr>
              <w:keepNext/>
              <w:spacing w:after="0"/>
              <w:rPr>
                <w:rFonts w:eastAsia="Times New Roman" w:cstheme="minorHAnsi"/>
                <w:sz w:val="18"/>
                <w:szCs w:val="18"/>
              </w:rPr>
            </w:pPr>
          </w:p>
        </w:tc>
      </w:tr>
    </w:tbl>
    <w:p w14:paraId="126E1ADD" w14:textId="77777777" w:rsidR="004A562A" w:rsidRDefault="00686A00" w:rsidP="00686A00">
      <w:pPr>
        <w:rPr>
          <w:sz w:val="18"/>
          <w:szCs w:val="18"/>
        </w:rPr>
      </w:pPr>
      <w:r w:rsidRPr="00E57AF3">
        <w:rPr>
          <w:iCs/>
          <w:sz w:val="18"/>
          <w:szCs w:val="18"/>
        </w:rPr>
        <w:t xml:space="preserve">Sources: </w:t>
      </w:r>
      <w:r w:rsidRPr="00E57AF3">
        <w:rPr>
          <w:sz w:val="18"/>
          <w:szCs w:val="18"/>
        </w:rPr>
        <w:t>FGS, IMF and World Bank estimates.</w:t>
      </w:r>
      <w:r w:rsidR="004A562A">
        <w:rPr>
          <w:sz w:val="18"/>
          <w:szCs w:val="18"/>
        </w:rPr>
        <w:t xml:space="preserve"> </w:t>
      </w:r>
    </w:p>
    <w:p w14:paraId="27E398F7" w14:textId="167E7B6E" w:rsidR="00B30BF0" w:rsidRPr="00002014" w:rsidRDefault="00B30BF0" w:rsidP="00BF74DB">
      <w:pPr>
        <w:pStyle w:val="Heading2"/>
        <w:spacing w:before="120" w:after="120"/>
      </w:pPr>
      <w:bookmarkStart w:id="13" w:name="_Toc71725882"/>
      <w:r w:rsidRPr="00002014">
        <w:t xml:space="preserve">Agricultural </w:t>
      </w:r>
      <w:r w:rsidR="00816581">
        <w:t>production slumped</w:t>
      </w:r>
      <w:bookmarkEnd w:id="13"/>
    </w:p>
    <w:p w14:paraId="6362F0C2" w14:textId="6CB51ABC" w:rsidR="00B30BF0" w:rsidRDefault="00867B8A" w:rsidP="008E6ED9">
      <w:pPr>
        <w:pStyle w:val="Default"/>
        <w:spacing w:after="120" w:line="259" w:lineRule="auto"/>
        <w:jc w:val="both"/>
        <w:rPr>
          <w:rFonts w:cstheme="minorHAnsi"/>
          <w:szCs w:val="22"/>
        </w:rPr>
      </w:pPr>
      <w:r w:rsidRPr="00816581">
        <w:rPr>
          <w:rFonts w:cstheme="minorHAnsi"/>
          <w:b/>
          <w:bCs/>
          <w:szCs w:val="22"/>
        </w:rPr>
        <w:t xml:space="preserve">Poor and erratic rains led to lower </w:t>
      </w:r>
      <w:r w:rsidR="006B74CE" w:rsidRPr="00816581">
        <w:rPr>
          <w:rFonts w:cstheme="minorHAnsi"/>
          <w:b/>
          <w:bCs/>
          <w:szCs w:val="22"/>
        </w:rPr>
        <w:t xml:space="preserve">agricultural </w:t>
      </w:r>
      <w:r w:rsidRPr="00816581">
        <w:rPr>
          <w:rFonts w:cstheme="minorHAnsi"/>
          <w:b/>
          <w:bCs/>
          <w:szCs w:val="22"/>
        </w:rPr>
        <w:t xml:space="preserve">production </w:t>
      </w:r>
      <w:r w:rsidR="006B74CE" w:rsidRPr="00816581">
        <w:rPr>
          <w:rFonts w:cstheme="minorHAnsi"/>
          <w:b/>
          <w:bCs/>
          <w:szCs w:val="22"/>
        </w:rPr>
        <w:t xml:space="preserve">in 2020. </w:t>
      </w:r>
      <w:r w:rsidR="00816581">
        <w:rPr>
          <w:rFonts w:cstheme="minorHAnsi"/>
          <w:szCs w:val="22"/>
        </w:rPr>
        <w:t xml:space="preserve">Overall total crop production declined by </w:t>
      </w:r>
      <w:r w:rsidR="00CA47D7">
        <w:rPr>
          <w:rFonts w:cstheme="minorHAnsi"/>
          <w:szCs w:val="22"/>
        </w:rPr>
        <w:t>5.8</w:t>
      </w:r>
      <w:r w:rsidR="00816581">
        <w:rPr>
          <w:rFonts w:cstheme="minorHAnsi"/>
          <w:szCs w:val="22"/>
        </w:rPr>
        <w:t xml:space="preserve"> percent in 2020 compared to the previous year, with cereals (sorghum, maize, and cowpeas) falling by 9</w:t>
      </w:r>
      <w:r w:rsidR="00D77880">
        <w:rPr>
          <w:rFonts w:cstheme="minorHAnsi"/>
          <w:szCs w:val="22"/>
        </w:rPr>
        <w:t>.6</w:t>
      </w:r>
      <w:r w:rsidR="00816581">
        <w:rPr>
          <w:rFonts w:cstheme="minorHAnsi"/>
          <w:szCs w:val="22"/>
        </w:rPr>
        <w:t xml:space="preserve"> percent</w:t>
      </w:r>
      <w:r w:rsidR="00DA07B3">
        <w:rPr>
          <w:rFonts w:cstheme="minorHAnsi"/>
          <w:szCs w:val="22"/>
        </w:rPr>
        <w:t xml:space="preserve"> (</w:t>
      </w:r>
      <w:r w:rsidR="00297D40">
        <w:rPr>
          <w:rFonts w:cstheme="minorHAnsi"/>
          <w:szCs w:val="22"/>
        </w:rPr>
        <w:fldChar w:fldCharType="begin"/>
      </w:r>
      <w:r w:rsidR="00297D40">
        <w:rPr>
          <w:rFonts w:cstheme="minorHAnsi"/>
          <w:szCs w:val="22"/>
        </w:rPr>
        <w:instrText xml:space="preserve"> REF _Ref71564329 \h </w:instrText>
      </w:r>
      <w:r w:rsidR="00297D40">
        <w:rPr>
          <w:rFonts w:cstheme="minorHAnsi"/>
          <w:szCs w:val="22"/>
        </w:rPr>
      </w:r>
      <w:r w:rsidR="00297D40">
        <w:rPr>
          <w:rFonts w:cstheme="minorHAnsi"/>
          <w:szCs w:val="22"/>
        </w:rPr>
        <w:fldChar w:fldCharType="separate"/>
      </w:r>
      <w:r w:rsidR="00297D40">
        <w:t xml:space="preserve">Figure </w:t>
      </w:r>
      <w:r w:rsidR="00297D40">
        <w:rPr>
          <w:noProof/>
        </w:rPr>
        <w:t>3</w:t>
      </w:r>
      <w:r w:rsidR="00297D40">
        <w:rPr>
          <w:rFonts w:cstheme="minorHAnsi"/>
          <w:szCs w:val="22"/>
        </w:rPr>
        <w:fldChar w:fldCharType="end"/>
      </w:r>
      <w:r w:rsidR="00D542E4">
        <w:rPr>
          <w:rFonts w:cstheme="minorHAnsi"/>
          <w:szCs w:val="22"/>
        </w:rPr>
        <w:t>)</w:t>
      </w:r>
      <w:r w:rsidR="00816581" w:rsidRPr="00A42175">
        <w:rPr>
          <w:rFonts w:cstheme="minorHAnsi"/>
          <w:szCs w:val="22"/>
        </w:rPr>
        <w:t>.</w:t>
      </w:r>
      <w:r w:rsidR="001627CE">
        <w:rPr>
          <w:rStyle w:val="FootnoteReference"/>
          <w:rFonts w:cstheme="minorHAnsi"/>
          <w:szCs w:val="22"/>
        </w:rPr>
        <w:footnoteReference w:id="10"/>
      </w:r>
      <w:r w:rsidR="00816581">
        <w:rPr>
          <w:rFonts w:cstheme="minorHAnsi"/>
          <w:szCs w:val="22"/>
        </w:rPr>
        <w:t xml:space="preserve"> </w:t>
      </w:r>
      <w:r w:rsidR="00B30BF0" w:rsidRPr="00A42175">
        <w:rPr>
          <w:rFonts w:cstheme="minorHAnsi"/>
          <w:szCs w:val="22"/>
        </w:rPr>
        <w:t xml:space="preserve">Delayed and erratic rainfall distribution characterized the October to December 2020 </w:t>
      </w:r>
      <w:proofErr w:type="spellStart"/>
      <w:r w:rsidR="00B30BF0" w:rsidRPr="00086B14">
        <w:rPr>
          <w:rFonts w:cstheme="minorHAnsi"/>
          <w:i/>
          <w:iCs/>
          <w:szCs w:val="22"/>
        </w:rPr>
        <w:t>Deyr</w:t>
      </w:r>
      <w:proofErr w:type="spellEnd"/>
      <w:r w:rsidR="00B30BF0" w:rsidRPr="00A42175">
        <w:rPr>
          <w:rFonts w:cstheme="minorHAnsi"/>
          <w:szCs w:val="22"/>
        </w:rPr>
        <w:t xml:space="preserve"> season, resulting in below-average, cumulative rainfall across most </w:t>
      </w:r>
      <w:r w:rsidR="005B7298">
        <w:rPr>
          <w:rFonts w:cstheme="minorHAnsi"/>
          <w:szCs w:val="22"/>
        </w:rPr>
        <w:t>regions</w:t>
      </w:r>
      <w:r w:rsidR="006B74CE" w:rsidRPr="00A42175">
        <w:rPr>
          <w:rFonts w:cstheme="minorHAnsi"/>
          <w:szCs w:val="22"/>
        </w:rPr>
        <w:t xml:space="preserve"> (FNAU, March 2021)</w:t>
      </w:r>
      <w:r w:rsidR="00B30BF0" w:rsidRPr="00A42175">
        <w:rPr>
          <w:rFonts w:cstheme="minorHAnsi"/>
          <w:szCs w:val="22"/>
        </w:rPr>
        <w:t xml:space="preserve">. The poor rains led to inadequate replenishment of pasture and water resources and below-average </w:t>
      </w:r>
      <w:proofErr w:type="spellStart"/>
      <w:r w:rsidR="00B30BF0" w:rsidRPr="00A42175">
        <w:rPr>
          <w:rFonts w:cstheme="minorHAnsi"/>
          <w:szCs w:val="22"/>
        </w:rPr>
        <w:t>Deyr</w:t>
      </w:r>
      <w:proofErr w:type="spellEnd"/>
      <w:r w:rsidR="00B30BF0" w:rsidRPr="00A42175">
        <w:rPr>
          <w:rFonts w:cstheme="minorHAnsi"/>
          <w:szCs w:val="22"/>
        </w:rPr>
        <w:t xml:space="preserve"> crop production.</w:t>
      </w:r>
      <w:r w:rsidR="000A72EC" w:rsidRPr="00A42175">
        <w:rPr>
          <w:rFonts w:cstheme="minorHAnsi"/>
          <w:szCs w:val="22"/>
        </w:rPr>
        <w:t xml:space="preserve"> In addition, </w:t>
      </w:r>
      <w:r w:rsidR="00B30BF0" w:rsidRPr="00A42175">
        <w:rPr>
          <w:rFonts w:cstheme="minorHAnsi"/>
          <w:szCs w:val="22"/>
        </w:rPr>
        <w:t xml:space="preserve">recurrent floods between July and early November caused further population displacement and damaged crops and farmland in riverine areas of </w:t>
      </w:r>
      <w:proofErr w:type="spellStart"/>
      <w:r w:rsidR="00B30BF0" w:rsidRPr="00A42175">
        <w:rPr>
          <w:rFonts w:cstheme="minorHAnsi"/>
          <w:szCs w:val="22"/>
        </w:rPr>
        <w:t>Hiiraan</w:t>
      </w:r>
      <w:proofErr w:type="spellEnd"/>
      <w:r w:rsidR="00B30BF0" w:rsidRPr="00A42175">
        <w:rPr>
          <w:rFonts w:cstheme="minorHAnsi"/>
          <w:szCs w:val="22"/>
        </w:rPr>
        <w:t xml:space="preserve">, Shabelle, and Juba regions. Despite favorable </w:t>
      </w:r>
      <w:proofErr w:type="spellStart"/>
      <w:r w:rsidR="00B30BF0" w:rsidRPr="00086B14">
        <w:rPr>
          <w:rFonts w:cstheme="minorHAnsi"/>
          <w:i/>
          <w:iCs/>
          <w:szCs w:val="22"/>
        </w:rPr>
        <w:t>Hagaa</w:t>
      </w:r>
      <w:proofErr w:type="spellEnd"/>
      <w:r w:rsidR="00B30BF0" w:rsidRPr="00086B14">
        <w:rPr>
          <w:rFonts w:cstheme="minorHAnsi"/>
          <w:i/>
          <w:iCs/>
          <w:szCs w:val="22"/>
        </w:rPr>
        <w:t>/Karan</w:t>
      </w:r>
      <w:r w:rsidR="00B30BF0" w:rsidRPr="00A42175">
        <w:rPr>
          <w:rFonts w:cstheme="minorHAnsi"/>
          <w:szCs w:val="22"/>
        </w:rPr>
        <w:t xml:space="preserve"> (July</w:t>
      </w:r>
      <w:r w:rsidR="00086B14">
        <w:rPr>
          <w:rFonts w:cstheme="minorHAnsi"/>
          <w:szCs w:val="22"/>
        </w:rPr>
        <w:t>–</w:t>
      </w:r>
      <w:r w:rsidR="00B30BF0" w:rsidRPr="00A42175">
        <w:rPr>
          <w:rFonts w:cstheme="minorHAnsi"/>
          <w:szCs w:val="22"/>
        </w:rPr>
        <w:t xml:space="preserve">September) rainfall in agropastoral and pastoral livelihood zones in the Northwest, the rains could not compensate for crop losses caused by poor </w:t>
      </w:r>
      <w:r w:rsidR="00B30BF0" w:rsidRPr="00086B14">
        <w:rPr>
          <w:rFonts w:cstheme="minorHAnsi"/>
          <w:i/>
          <w:iCs/>
          <w:szCs w:val="22"/>
        </w:rPr>
        <w:t>Gu</w:t>
      </w:r>
      <w:r w:rsidR="00B30BF0" w:rsidRPr="00A42175">
        <w:rPr>
          <w:rFonts w:cstheme="minorHAnsi"/>
          <w:szCs w:val="22"/>
        </w:rPr>
        <w:t xml:space="preserve"> (April</w:t>
      </w:r>
      <w:r w:rsidR="00086B14">
        <w:rPr>
          <w:rFonts w:cstheme="minorHAnsi"/>
          <w:szCs w:val="22"/>
        </w:rPr>
        <w:t>–</w:t>
      </w:r>
      <w:r w:rsidR="00B30BF0" w:rsidRPr="00A42175">
        <w:rPr>
          <w:rFonts w:cstheme="minorHAnsi"/>
          <w:szCs w:val="22"/>
        </w:rPr>
        <w:t xml:space="preserve">June 2020). </w:t>
      </w:r>
      <w:r w:rsidR="00AA59BB">
        <w:rPr>
          <w:rFonts w:cstheme="minorHAnsi"/>
          <w:szCs w:val="22"/>
        </w:rPr>
        <w:t>Similar</w:t>
      </w:r>
      <w:r w:rsidR="00CC7655">
        <w:rPr>
          <w:rFonts w:cstheme="minorHAnsi"/>
          <w:szCs w:val="22"/>
        </w:rPr>
        <w:t xml:space="preserve">ly, </w:t>
      </w:r>
      <w:r w:rsidR="0060363C" w:rsidRPr="00A42175">
        <w:rPr>
          <w:rFonts w:cstheme="minorHAnsi"/>
          <w:szCs w:val="22"/>
        </w:rPr>
        <w:t>pastoral areas</w:t>
      </w:r>
      <w:r w:rsidR="00E07C99">
        <w:rPr>
          <w:rFonts w:cstheme="minorHAnsi"/>
          <w:szCs w:val="22"/>
        </w:rPr>
        <w:t xml:space="preserve"> faced</w:t>
      </w:r>
      <w:r w:rsidR="00B30BF0" w:rsidRPr="00A42175">
        <w:rPr>
          <w:rFonts w:cstheme="minorHAnsi"/>
          <w:szCs w:val="22"/>
        </w:rPr>
        <w:t xml:space="preserve"> water scarcity and pasture shortages, prompting atypical, earlier-than-normal livestock migration to distant grazing areas</w:t>
      </w:r>
      <w:r w:rsidR="0083474A">
        <w:rPr>
          <w:rFonts w:cstheme="minorHAnsi"/>
          <w:szCs w:val="22"/>
        </w:rPr>
        <w:t xml:space="preserve">, and </w:t>
      </w:r>
      <w:r w:rsidR="00B30BF0" w:rsidRPr="00A42175">
        <w:rPr>
          <w:rFonts w:cstheme="minorHAnsi"/>
          <w:szCs w:val="22"/>
        </w:rPr>
        <w:t xml:space="preserve">milk availability for consumption and sale </w:t>
      </w:r>
      <w:r w:rsidR="0083474A">
        <w:rPr>
          <w:rFonts w:cstheme="minorHAnsi"/>
          <w:szCs w:val="22"/>
        </w:rPr>
        <w:t>became</w:t>
      </w:r>
      <w:r w:rsidR="0083474A" w:rsidRPr="00A42175">
        <w:rPr>
          <w:rFonts w:cstheme="minorHAnsi"/>
          <w:szCs w:val="22"/>
        </w:rPr>
        <w:t xml:space="preserve"> </w:t>
      </w:r>
      <w:r w:rsidR="00B30BF0" w:rsidRPr="00A42175">
        <w:rPr>
          <w:rFonts w:cstheme="minorHAnsi"/>
          <w:szCs w:val="22"/>
        </w:rPr>
        <w:t xml:space="preserve">limited. Additionally, a sharp decline in livestock exports since August 2020 adversely affected pastoralists and other households who work in the livestock value chain. </w:t>
      </w:r>
      <w:r w:rsidR="008B3F45">
        <w:rPr>
          <w:rFonts w:cstheme="minorHAnsi"/>
          <w:szCs w:val="22"/>
        </w:rPr>
        <w:t xml:space="preserve">Finally, </w:t>
      </w:r>
      <w:r w:rsidR="008B3F45" w:rsidRPr="008B3F45">
        <w:rPr>
          <w:rFonts w:cstheme="minorHAnsi"/>
          <w:szCs w:val="22"/>
        </w:rPr>
        <w:t>in late November,</w:t>
      </w:r>
      <w:r w:rsidR="008B3F45">
        <w:rPr>
          <w:rFonts w:cstheme="minorHAnsi"/>
          <w:szCs w:val="22"/>
        </w:rPr>
        <w:t xml:space="preserve"> </w:t>
      </w:r>
      <w:r w:rsidR="008B3F45" w:rsidRPr="008B3F45">
        <w:rPr>
          <w:rFonts w:cstheme="minorHAnsi"/>
          <w:szCs w:val="22"/>
        </w:rPr>
        <w:t xml:space="preserve">Cyclone </w:t>
      </w:r>
      <w:proofErr w:type="spellStart"/>
      <w:r w:rsidR="008B3F45" w:rsidRPr="008B3F45">
        <w:rPr>
          <w:rFonts w:cstheme="minorHAnsi"/>
          <w:szCs w:val="22"/>
        </w:rPr>
        <w:t>Gati</w:t>
      </w:r>
      <w:proofErr w:type="spellEnd"/>
      <w:r w:rsidR="008B3F45" w:rsidRPr="008B3F45">
        <w:rPr>
          <w:rFonts w:cstheme="minorHAnsi"/>
          <w:szCs w:val="22"/>
        </w:rPr>
        <w:t xml:space="preserve"> caused significant damages and livestock deaths in northeastern coastal </w:t>
      </w:r>
      <w:r w:rsidR="008B3F45">
        <w:rPr>
          <w:rFonts w:cstheme="minorHAnsi"/>
          <w:szCs w:val="22"/>
        </w:rPr>
        <w:t>regions,</w:t>
      </w:r>
      <w:r w:rsidR="008B3F45" w:rsidRPr="008B3F45">
        <w:rPr>
          <w:rFonts w:cstheme="minorHAnsi"/>
          <w:szCs w:val="22"/>
        </w:rPr>
        <w:t xml:space="preserve"> </w:t>
      </w:r>
      <w:r w:rsidR="008B3F45">
        <w:rPr>
          <w:rFonts w:cstheme="minorHAnsi"/>
          <w:szCs w:val="22"/>
        </w:rPr>
        <w:t>al</w:t>
      </w:r>
      <w:r w:rsidR="008B3F45" w:rsidRPr="008B3F45">
        <w:rPr>
          <w:rFonts w:cstheme="minorHAnsi"/>
          <w:szCs w:val="22"/>
        </w:rPr>
        <w:t>though the rains alleviated dry conditions.</w:t>
      </w:r>
    </w:p>
    <w:p w14:paraId="1DA696AF" w14:textId="0382EB91" w:rsidR="00865C3A" w:rsidRDefault="00E76250" w:rsidP="00E76250">
      <w:pPr>
        <w:pStyle w:val="Caption"/>
        <w:rPr>
          <w:rFonts w:cstheme="minorHAnsi"/>
        </w:rPr>
      </w:pPr>
      <w:bookmarkStart w:id="14" w:name="_Ref71564329"/>
      <w:bookmarkStart w:id="15" w:name="_Toc71725921"/>
      <w:r>
        <w:lastRenderedPageBreak/>
        <w:t xml:space="preserve">Figure </w:t>
      </w:r>
      <w:fldSimple w:instr=" SEQ Figure \* ARABIC ">
        <w:r w:rsidR="00EF291C">
          <w:rPr>
            <w:noProof/>
          </w:rPr>
          <w:t>3</w:t>
        </w:r>
      </w:fldSimple>
      <w:bookmarkEnd w:id="14"/>
      <w:r w:rsidR="00D82CEC">
        <w:rPr>
          <w:rFonts w:cstheme="minorHAnsi"/>
        </w:rPr>
        <w:t xml:space="preserve">: Agricultural production </w:t>
      </w:r>
      <w:r w:rsidR="00AE110C">
        <w:rPr>
          <w:rFonts w:cstheme="minorHAnsi"/>
        </w:rPr>
        <w:t xml:space="preserve">remained </w:t>
      </w:r>
      <w:r w:rsidR="00DA07B3">
        <w:rPr>
          <w:rFonts w:cstheme="minorHAnsi"/>
        </w:rPr>
        <w:t>subdued</w:t>
      </w:r>
      <w:r w:rsidR="00D82CEC">
        <w:rPr>
          <w:rFonts w:cstheme="minorHAnsi"/>
        </w:rPr>
        <w:t xml:space="preserve"> in 2020</w:t>
      </w:r>
      <w:bookmarkEnd w:id="15"/>
    </w:p>
    <w:p w14:paraId="737B4200" w14:textId="05AB782F" w:rsidR="005906A0" w:rsidRDefault="00AE110C" w:rsidP="008E6ED9">
      <w:pPr>
        <w:pStyle w:val="Default"/>
        <w:spacing w:after="120" w:line="259" w:lineRule="auto"/>
        <w:jc w:val="both"/>
        <w:rPr>
          <w:rFonts w:cstheme="minorHAnsi"/>
          <w:szCs w:val="22"/>
        </w:rPr>
      </w:pPr>
      <w:r>
        <w:rPr>
          <w:noProof/>
        </w:rPr>
        <w:drawing>
          <wp:inline distT="0" distB="0" distL="0" distR="0" wp14:anchorId="3724ECD2" wp14:editId="72C2A106">
            <wp:extent cx="5001370" cy="2759103"/>
            <wp:effectExtent l="0" t="0" r="8890" b="3175"/>
            <wp:docPr id="54" name="Chart 54">
              <a:extLst xmlns:a="http://schemas.openxmlformats.org/drawingml/2006/main">
                <a:ext uri="{FF2B5EF4-FFF2-40B4-BE49-F238E27FC236}">
                  <a16:creationId xmlns:a16="http://schemas.microsoft.com/office/drawing/2014/main" id="{000E3627-C1EA-4247-B404-F4C6FEE3C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99098D" w14:textId="21C7EBAC" w:rsidR="00382ED2" w:rsidRDefault="00BF2748" w:rsidP="008E6ED9">
      <w:pPr>
        <w:pStyle w:val="Default"/>
        <w:spacing w:after="120" w:line="259" w:lineRule="auto"/>
        <w:jc w:val="both"/>
        <w:rPr>
          <w:rFonts w:cstheme="minorHAnsi"/>
          <w:szCs w:val="22"/>
        </w:rPr>
      </w:pPr>
      <w:r>
        <w:rPr>
          <w:rFonts w:cstheme="minorHAnsi"/>
          <w:szCs w:val="22"/>
        </w:rPr>
        <w:t>Source: FAO database</w:t>
      </w:r>
    </w:p>
    <w:p w14:paraId="492C669D" w14:textId="08B34BA3" w:rsidR="00B71B60" w:rsidRPr="008E6ED9" w:rsidRDefault="00816581" w:rsidP="008E6ED9">
      <w:pPr>
        <w:pStyle w:val="Heading2"/>
        <w:spacing w:before="120" w:after="120"/>
      </w:pPr>
      <w:bookmarkStart w:id="16" w:name="_Toc71725883"/>
      <w:r>
        <w:t xml:space="preserve">Businesses </w:t>
      </w:r>
      <w:r w:rsidR="00D57C06">
        <w:t>were adversely</w:t>
      </w:r>
      <w:r w:rsidR="00423BD4">
        <w:t xml:space="preserve"> affected </w:t>
      </w:r>
      <w:r w:rsidR="003E75D5">
        <w:t>by the</w:t>
      </w:r>
      <w:r>
        <w:t xml:space="preserve"> </w:t>
      </w:r>
      <w:r w:rsidR="00B71B60" w:rsidRPr="008E6ED9">
        <w:t>C</w:t>
      </w:r>
      <w:r w:rsidR="00F8082B">
        <w:t>OVID-</w:t>
      </w:r>
      <w:r w:rsidR="00B71B60" w:rsidRPr="008E6ED9">
        <w:t>19</w:t>
      </w:r>
      <w:r w:rsidR="003E75D5">
        <w:t xml:space="preserve"> pandemic</w:t>
      </w:r>
      <w:bookmarkEnd w:id="16"/>
    </w:p>
    <w:p w14:paraId="2C54A48A" w14:textId="6E10D6A0" w:rsidR="00DC2C5B" w:rsidRDefault="00B71B60" w:rsidP="008E6ED9">
      <w:pPr>
        <w:pStyle w:val="Default"/>
        <w:spacing w:after="120"/>
        <w:jc w:val="both"/>
        <w:rPr>
          <w:rFonts w:cstheme="minorHAnsi"/>
          <w:szCs w:val="22"/>
        </w:rPr>
      </w:pPr>
      <w:r w:rsidRPr="00045867">
        <w:rPr>
          <w:rFonts w:cstheme="minorHAnsi"/>
          <w:b/>
          <w:bCs/>
          <w:szCs w:val="22"/>
        </w:rPr>
        <w:t xml:space="preserve">COVID-19 </w:t>
      </w:r>
      <w:r w:rsidR="00816581">
        <w:rPr>
          <w:rFonts w:cstheme="minorHAnsi"/>
          <w:b/>
          <w:bCs/>
          <w:szCs w:val="22"/>
        </w:rPr>
        <w:t>mobility restrictions</w:t>
      </w:r>
      <w:r w:rsidRPr="00045867">
        <w:rPr>
          <w:rFonts w:cstheme="minorHAnsi"/>
          <w:b/>
          <w:bCs/>
          <w:szCs w:val="22"/>
        </w:rPr>
        <w:t xml:space="preserve"> </w:t>
      </w:r>
      <w:r w:rsidR="003E75D5">
        <w:rPr>
          <w:rFonts w:cstheme="minorHAnsi"/>
          <w:b/>
          <w:bCs/>
          <w:szCs w:val="22"/>
        </w:rPr>
        <w:t>severely disrupted</w:t>
      </w:r>
      <w:r w:rsidRPr="00045867">
        <w:rPr>
          <w:rFonts w:cstheme="minorHAnsi"/>
          <w:b/>
          <w:bCs/>
          <w:szCs w:val="22"/>
        </w:rPr>
        <w:t xml:space="preserve"> businesses </w:t>
      </w:r>
      <w:r w:rsidR="003E75D5">
        <w:rPr>
          <w:rFonts w:cstheme="minorHAnsi"/>
          <w:b/>
          <w:bCs/>
          <w:szCs w:val="22"/>
        </w:rPr>
        <w:t>activity</w:t>
      </w:r>
      <w:r w:rsidRPr="00045867">
        <w:rPr>
          <w:rFonts w:cstheme="minorHAnsi"/>
          <w:b/>
          <w:bCs/>
          <w:szCs w:val="22"/>
        </w:rPr>
        <w:t xml:space="preserve"> 2020 but</w:t>
      </w:r>
      <w:r w:rsidR="00F75525">
        <w:rPr>
          <w:rFonts w:cstheme="minorHAnsi"/>
          <w:b/>
          <w:bCs/>
          <w:szCs w:val="22"/>
        </w:rPr>
        <w:t xml:space="preserve"> conditions became less severe toward the end of the year.</w:t>
      </w:r>
      <w:r w:rsidRPr="00045867">
        <w:rPr>
          <w:rFonts w:cstheme="minorHAnsi"/>
          <w:b/>
          <w:bCs/>
          <w:szCs w:val="22"/>
        </w:rPr>
        <w:t xml:space="preserve"> </w:t>
      </w:r>
      <w:r w:rsidR="00BD787F">
        <w:rPr>
          <w:rFonts w:cstheme="minorHAnsi"/>
          <w:szCs w:val="22"/>
        </w:rPr>
        <w:t xml:space="preserve">The Somalia </w:t>
      </w:r>
      <w:r w:rsidR="00E827B4">
        <w:rPr>
          <w:rFonts w:cstheme="minorHAnsi"/>
          <w:szCs w:val="22"/>
        </w:rPr>
        <w:t xml:space="preserve">Enterprise </w:t>
      </w:r>
      <w:r w:rsidR="00BD787F">
        <w:rPr>
          <w:rFonts w:cstheme="minorHAnsi"/>
          <w:szCs w:val="22"/>
        </w:rPr>
        <w:t>S</w:t>
      </w:r>
      <w:r w:rsidR="00BD787F" w:rsidRPr="00045867">
        <w:rPr>
          <w:rFonts w:cstheme="minorHAnsi"/>
          <w:szCs w:val="22"/>
        </w:rPr>
        <w:t>urvey</w:t>
      </w:r>
      <w:r w:rsidR="00E827B4">
        <w:rPr>
          <w:rFonts w:cstheme="minorHAnsi"/>
          <w:szCs w:val="22"/>
        </w:rPr>
        <w:t xml:space="preserve"> (2021)</w:t>
      </w:r>
      <w:r w:rsidR="00BD787F" w:rsidRPr="00045867">
        <w:rPr>
          <w:rFonts w:cstheme="minorHAnsi"/>
          <w:szCs w:val="22"/>
        </w:rPr>
        <w:t xml:space="preserve"> </w:t>
      </w:r>
      <w:r w:rsidR="00BD787F">
        <w:rPr>
          <w:rFonts w:cstheme="minorHAnsi"/>
          <w:szCs w:val="22"/>
        </w:rPr>
        <w:t>reports that a</w:t>
      </w:r>
      <w:r w:rsidRPr="00045867">
        <w:rPr>
          <w:rFonts w:cstheme="minorHAnsi"/>
          <w:szCs w:val="22"/>
        </w:rPr>
        <w:t xml:space="preserve">bout </w:t>
      </w:r>
      <w:r w:rsidR="00BD787F">
        <w:rPr>
          <w:rFonts w:cstheme="minorHAnsi"/>
          <w:szCs w:val="22"/>
        </w:rPr>
        <w:t>75 percent</w:t>
      </w:r>
      <w:r w:rsidRPr="00045867">
        <w:rPr>
          <w:rFonts w:cstheme="minorHAnsi"/>
          <w:szCs w:val="22"/>
        </w:rPr>
        <w:t xml:space="preserve"> of the firms </w:t>
      </w:r>
      <w:r w:rsidR="00BD787F">
        <w:rPr>
          <w:rFonts w:cstheme="minorHAnsi"/>
          <w:szCs w:val="22"/>
        </w:rPr>
        <w:t>surveyed in June/July 2020 suffered</w:t>
      </w:r>
      <w:r w:rsidRPr="00045867">
        <w:rPr>
          <w:rFonts w:cstheme="minorHAnsi"/>
          <w:szCs w:val="22"/>
        </w:rPr>
        <w:t xml:space="preserve"> </w:t>
      </w:r>
      <w:r w:rsidR="00ED13AB">
        <w:rPr>
          <w:rFonts w:cstheme="minorHAnsi"/>
          <w:szCs w:val="22"/>
        </w:rPr>
        <w:t>a drop</w:t>
      </w:r>
      <w:r w:rsidRPr="00045867">
        <w:rPr>
          <w:rFonts w:cstheme="minorHAnsi"/>
          <w:szCs w:val="22"/>
        </w:rPr>
        <w:t xml:space="preserve"> in sales </w:t>
      </w:r>
      <w:r w:rsidR="00BD787F">
        <w:rPr>
          <w:rFonts w:cstheme="minorHAnsi"/>
          <w:szCs w:val="22"/>
        </w:rPr>
        <w:t>compared to a year earlier</w:t>
      </w:r>
      <w:r w:rsidR="00ED13AB">
        <w:rPr>
          <w:rFonts w:cstheme="minorHAnsi"/>
          <w:szCs w:val="22"/>
        </w:rPr>
        <w:t>—and in some parts of the country, virtually all firms l</w:t>
      </w:r>
      <w:r w:rsidR="003B3C84">
        <w:rPr>
          <w:rFonts w:cstheme="minorHAnsi"/>
          <w:szCs w:val="22"/>
        </w:rPr>
        <w:t>o</w:t>
      </w:r>
      <w:r w:rsidR="00ED13AB">
        <w:rPr>
          <w:rFonts w:cstheme="minorHAnsi"/>
          <w:szCs w:val="22"/>
        </w:rPr>
        <w:t>st sales—</w:t>
      </w:r>
      <w:r w:rsidR="00BD787F">
        <w:rPr>
          <w:rFonts w:cstheme="minorHAnsi"/>
          <w:szCs w:val="22"/>
        </w:rPr>
        <w:t xml:space="preserve">but that this share </w:t>
      </w:r>
      <w:r w:rsidR="00ED13AB">
        <w:rPr>
          <w:rFonts w:cstheme="minorHAnsi"/>
          <w:szCs w:val="22"/>
        </w:rPr>
        <w:t xml:space="preserve">fell to </w:t>
      </w:r>
      <w:r w:rsidR="00BD787F">
        <w:rPr>
          <w:rFonts w:cstheme="minorHAnsi"/>
          <w:szCs w:val="22"/>
        </w:rPr>
        <w:t>around 50 percent at the end of 2020 (</w:t>
      </w:r>
      <w:r w:rsidR="00ED0DCF">
        <w:rPr>
          <w:rFonts w:cstheme="minorHAnsi"/>
          <w:szCs w:val="22"/>
        </w:rPr>
        <w:fldChar w:fldCharType="begin"/>
      </w:r>
      <w:r w:rsidR="00ED0DCF">
        <w:rPr>
          <w:rFonts w:cstheme="minorHAnsi"/>
          <w:szCs w:val="22"/>
        </w:rPr>
        <w:instrText xml:space="preserve"> REF _Ref71566693 \h </w:instrText>
      </w:r>
      <w:r w:rsidR="00ED0DCF">
        <w:rPr>
          <w:rFonts w:cstheme="minorHAnsi"/>
          <w:szCs w:val="22"/>
        </w:rPr>
      </w:r>
      <w:r w:rsidR="00ED0DCF">
        <w:rPr>
          <w:rFonts w:cstheme="minorHAnsi"/>
          <w:szCs w:val="22"/>
        </w:rPr>
        <w:fldChar w:fldCharType="separate"/>
      </w:r>
      <w:r w:rsidR="00ED0DCF">
        <w:t xml:space="preserve">Figure </w:t>
      </w:r>
      <w:r w:rsidR="00ED0DCF">
        <w:rPr>
          <w:noProof/>
        </w:rPr>
        <w:t>4</w:t>
      </w:r>
      <w:r w:rsidR="00ED0DCF">
        <w:rPr>
          <w:rFonts w:cstheme="minorHAnsi"/>
          <w:szCs w:val="22"/>
        </w:rPr>
        <w:fldChar w:fldCharType="end"/>
      </w:r>
      <w:r w:rsidR="00327A9B">
        <w:rPr>
          <w:rFonts w:cstheme="minorHAnsi"/>
          <w:szCs w:val="22"/>
        </w:rPr>
        <w:t>a</w:t>
      </w:r>
      <w:r w:rsidR="00BD787F">
        <w:rPr>
          <w:rFonts w:cstheme="minorHAnsi"/>
          <w:szCs w:val="22"/>
        </w:rPr>
        <w:t>).</w:t>
      </w:r>
      <w:r w:rsidR="00BD787F">
        <w:rPr>
          <w:rStyle w:val="FootnoteReference"/>
          <w:rFonts w:cstheme="minorHAnsi"/>
          <w:szCs w:val="22"/>
        </w:rPr>
        <w:footnoteReference w:id="11"/>
      </w:r>
      <w:r w:rsidR="00E63145">
        <w:rPr>
          <w:rFonts w:cstheme="minorHAnsi"/>
          <w:szCs w:val="22"/>
        </w:rPr>
        <w:t xml:space="preserve"> </w:t>
      </w:r>
      <w:r w:rsidR="00ED13AB">
        <w:rPr>
          <w:rFonts w:cstheme="minorHAnsi"/>
          <w:szCs w:val="22"/>
        </w:rPr>
        <w:t>Although</w:t>
      </w:r>
      <w:r w:rsidR="00ED13AB" w:rsidRPr="00ED13AB">
        <w:rPr>
          <w:rFonts w:cstheme="minorHAnsi"/>
          <w:szCs w:val="22"/>
        </w:rPr>
        <w:t xml:space="preserve"> sales </w:t>
      </w:r>
      <w:r w:rsidR="00ED13AB">
        <w:rPr>
          <w:rFonts w:cstheme="minorHAnsi"/>
          <w:szCs w:val="22"/>
        </w:rPr>
        <w:t>at year’s end remained</w:t>
      </w:r>
      <w:r w:rsidR="00ED13AB" w:rsidRPr="00ED13AB">
        <w:rPr>
          <w:rFonts w:cstheme="minorHAnsi"/>
          <w:szCs w:val="22"/>
        </w:rPr>
        <w:t xml:space="preserve"> below their levels a year </w:t>
      </w:r>
      <w:r w:rsidR="00ED13AB">
        <w:rPr>
          <w:rFonts w:cstheme="minorHAnsi"/>
          <w:szCs w:val="22"/>
        </w:rPr>
        <w:t>earlier</w:t>
      </w:r>
      <w:r w:rsidR="00ED13AB" w:rsidRPr="00ED13AB">
        <w:rPr>
          <w:rFonts w:cstheme="minorHAnsi"/>
          <w:szCs w:val="22"/>
        </w:rPr>
        <w:t>,</w:t>
      </w:r>
      <w:r w:rsidR="00ED13AB">
        <w:rPr>
          <w:rFonts w:cstheme="minorHAnsi"/>
          <w:szCs w:val="22"/>
        </w:rPr>
        <w:t xml:space="preserve"> </w:t>
      </w:r>
      <w:r w:rsidR="00D27764">
        <w:rPr>
          <w:rFonts w:cstheme="minorHAnsi"/>
          <w:szCs w:val="22"/>
        </w:rPr>
        <w:fldChar w:fldCharType="begin"/>
      </w:r>
      <w:r w:rsidR="00D27764">
        <w:rPr>
          <w:rFonts w:cstheme="minorHAnsi"/>
          <w:szCs w:val="22"/>
        </w:rPr>
        <w:instrText xml:space="preserve"> REF _Ref71566693 \h </w:instrText>
      </w:r>
      <w:r w:rsidR="00D27764">
        <w:rPr>
          <w:rFonts w:cstheme="minorHAnsi"/>
          <w:szCs w:val="22"/>
        </w:rPr>
      </w:r>
      <w:r w:rsidR="00D27764">
        <w:rPr>
          <w:rFonts w:cstheme="minorHAnsi"/>
          <w:szCs w:val="22"/>
        </w:rPr>
        <w:fldChar w:fldCharType="separate"/>
      </w:r>
      <w:r w:rsidR="00D27764">
        <w:t xml:space="preserve">Figure </w:t>
      </w:r>
      <w:r w:rsidR="00D27764">
        <w:rPr>
          <w:noProof/>
        </w:rPr>
        <w:t>4</w:t>
      </w:r>
      <w:r w:rsidR="00D27764">
        <w:rPr>
          <w:rFonts w:cstheme="minorHAnsi"/>
          <w:szCs w:val="22"/>
        </w:rPr>
        <w:fldChar w:fldCharType="end"/>
      </w:r>
      <w:r w:rsidR="00ED13AB">
        <w:rPr>
          <w:rFonts w:cstheme="minorHAnsi"/>
          <w:szCs w:val="22"/>
        </w:rPr>
        <w:t xml:space="preserve">, panel </w:t>
      </w:r>
      <w:r w:rsidR="00ED0DCF">
        <w:rPr>
          <w:rFonts w:cstheme="minorHAnsi"/>
          <w:szCs w:val="22"/>
        </w:rPr>
        <w:t>b</w:t>
      </w:r>
      <w:r w:rsidR="00ED13AB">
        <w:rPr>
          <w:rFonts w:cstheme="minorHAnsi"/>
          <w:szCs w:val="22"/>
        </w:rPr>
        <w:t>, shows a lessening in the severity of firms’ sales declines in almost all parts of the country.</w:t>
      </w:r>
      <w:r w:rsidR="00DC2C5B" w:rsidRPr="00DC2C5B">
        <w:t xml:space="preserve"> </w:t>
      </w:r>
      <w:r w:rsidR="00DC2C5B" w:rsidRPr="00DC2C5B">
        <w:rPr>
          <w:rFonts w:cstheme="minorHAnsi"/>
          <w:szCs w:val="22"/>
        </w:rPr>
        <w:t>The slight easing up of the impact is reflected in the financial health of the business.</w:t>
      </w:r>
      <w:r w:rsidR="00DC2C5B">
        <w:rPr>
          <w:rFonts w:cstheme="minorHAnsi"/>
          <w:szCs w:val="22"/>
        </w:rPr>
        <w:t xml:space="preserve"> </w:t>
      </w:r>
      <w:r w:rsidR="00DC2C5B" w:rsidRPr="00DC2C5B">
        <w:rPr>
          <w:rFonts w:cstheme="minorHAnsi"/>
          <w:szCs w:val="22"/>
        </w:rPr>
        <w:t>The share of firms reporting liquidity and cash flow shortages has gone down from to about 50 percent in Round 2 (December/January) from 90 percent in Round 1 (June/July).</w:t>
      </w:r>
    </w:p>
    <w:p w14:paraId="56069159" w14:textId="070DE872" w:rsidR="00DC7C62" w:rsidRDefault="00ED0DCF" w:rsidP="00ED0DCF">
      <w:pPr>
        <w:pStyle w:val="Caption"/>
      </w:pPr>
      <w:bookmarkStart w:id="17" w:name="_Ref71566693"/>
      <w:bookmarkStart w:id="18" w:name="_Toc71725922"/>
      <w:r>
        <w:lastRenderedPageBreak/>
        <w:t xml:space="preserve">Figure </w:t>
      </w:r>
      <w:fldSimple w:instr=" SEQ Figure \* ARABIC ">
        <w:r w:rsidR="00EF291C">
          <w:rPr>
            <w:noProof/>
          </w:rPr>
          <w:t>4</w:t>
        </w:r>
      </w:fldSimple>
      <w:bookmarkEnd w:id="17"/>
      <w:r w:rsidR="00DC7C62">
        <w:t>: Shocks to sales have been widespread, but eased toward the end of 2020</w:t>
      </w:r>
      <w:bookmarkEnd w:id="18"/>
    </w:p>
    <w:p w14:paraId="5502F9F1" w14:textId="2900B093" w:rsidR="00DC7C62" w:rsidRDefault="00D562D8" w:rsidP="00DC7C62">
      <w:pPr>
        <w:keepNext/>
        <w:spacing w:after="0" w:line="240" w:lineRule="auto"/>
      </w:pPr>
      <w:r>
        <w:t xml:space="preserve">a. </w:t>
      </w:r>
      <w:r w:rsidR="00DC7C62">
        <w:t>Firms reporting decreased monthly sales compared to the same month in 20</w:t>
      </w:r>
      <w:r w:rsidR="004A70A0">
        <w:t>20 (Percent)</w:t>
      </w:r>
    </w:p>
    <w:p w14:paraId="6E3B80FE" w14:textId="7E37F23D" w:rsidR="00DC7C62" w:rsidRDefault="004A70A0" w:rsidP="00DC7C62">
      <w:pPr>
        <w:pStyle w:val="Figure"/>
      </w:pPr>
      <w:r>
        <w:drawing>
          <wp:inline distT="0" distB="0" distL="0" distR="0" wp14:anchorId="50736AE7" wp14:editId="7533DEC8">
            <wp:extent cx="5868035" cy="3395049"/>
            <wp:effectExtent l="0" t="0" r="0" b="0"/>
            <wp:docPr id="55" name="Chart 55">
              <a:extLst xmlns:a="http://schemas.openxmlformats.org/drawingml/2006/main">
                <a:ext uri="{FF2B5EF4-FFF2-40B4-BE49-F238E27FC236}">
                  <a16:creationId xmlns:a16="http://schemas.microsoft.com/office/drawing/2014/main" id="{C480F3B5-A535-455B-9A69-46439907A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D0866F" w14:textId="42667CEB" w:rsidR="00DC7C62" w:rsidRPr="0090781B" w:rsidRDefault="00D562D8" w:rsidP="001E09E9">
      <w:pPr>
        <w:keepNext/>
        <w:spacing w:after="0"/>
      </w:pPr>
      <w:r>
        <w:t>b</w:t>
      </w:r>
      <w:r w:rsidR="00DC7C62">
        <w:t xml:space="preserve">. </w:t>
      </w:r>
      <w:r w:rsidR="00DC7C62" w:rsidRPr="003C47C5">
        <w:t>Average change in monthly sales compared to the same month in 20</w:t>
      </w:r>
      <w:r w:rsidR="00B12222">
        <w:t>20 (Percent)</w:t>
      </w:r>
    </w:p>
    <w:p w14:paraId="09C23B66" w14:textId="298DA96C" w:rsidR="00DC7C62" w:rsidRDefault="00B12222" w:rsidP="00DC7C62">
      <w:pPr>
        <w:pStyle w:val="Figure"/>
      </w:pPr>
      <w:r>
        <w:drawing>
          <wp:inline distT="0" distB="0" distL="0" distR="0" wp14:anchorId="3ACC6C6C" wp14:editId="3E766924">
            <wp:extent cx="5732780" cy="3576119"/>
            <wp:effectExtent l="0" t="0" r="1270" b="5715"/>
            <wp:docPr id="56" name="Chart 56">
              <a:extLst xmlns:a="http://schemas.openxmlformats.org/drawingml/2006/main">
                <a:ext uri="{FF2B5EF4-FFF2-40B4-BE49-F238E27FC236}">
                  <a16:creationId xmlns:a16="http://schemas.microsoft.com/office/drawing/2014/main" id="{BF8EED30-DAED-4332-A14A-6B1C9BF97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6D8142" w14:textId="77777777" w:rsidR="00DC7C62" w:rsidRDefault="00DC7C62" w:rsidP="001E09E9">
      <w:pPr>
        <w:pStyle w:val="Source"/>
        <w:spacing w:after="0"/>
      </w:pPr>
      <w:r>
        <w:t>Sources: Somalia Rapid Business Survey</w:t>
      </w:r>
    </w:p>
    <w:p w14:paraId="3304AC93" w14:textId="2804E9FC" w:rsidR="00DC7C62" w:rsidRPr="00344737" w:rsidRDefault="00DC7C62" w:rsidP="00DC7C62">
      <w:pPr>
        <w:pStyle w:val="Source"/>
      </w:pPr>
      <w:r w:rsidRPr="00782E07">
        <w:t xml:space="preserve">Notes: </w:t>
      </w:r>
      <w:r w:rsidRPr="001E09E9">
        <w:t>Round 1</w:t>
      </w:r>
      <w:r w:rsidR="006349C7" w:rsidRPr="00782E07">
        <w:t xml:space="preserve"> (February</w:t>
      </w:r>
      <w:r w:rsidR="006349C7">
        <w:t xml:space="preserve"> to July 2020) </w:t>
      </w:r>
      <w:r w:rsidR="000C6D18">
        <w:t>and Round</w:t>
      </w:r>
      <w:r w:rsidR="006349C7">
        <w:t xml:space="preserve"> (</w:t>
      </w:r>
      <w:r w:rsidR="00866486">
        <w:t>July 2020 to January 2021)</w:t>
      </w:r>
    </w:p>
    <w:p w14:paraId="24E690A5" w14:textId="555D56F2" w:rsidR="0098476E" w:rsidRDefault="0098476E" w:rsidP="00686A00">
      <w:pPr>
        <w:rPr>
          <w:b/>
          <w:bCs/>
        </w:rPr>
      </w:pPr>
    </w:p>
    <w:p w14:paraId="4B7CD19A" w14:textId="2189FFF5" w:rsidR="00686A00" w:rsidRDefault="00686A00" w:rsidP="001E09E9">
      <w:pPr>
        <w:jc w:val="both"/>
      </w:pPr>
      <w:r w:rsidRPr="00707E3D">
        <w:rPr>
          <w:b/>
          <w:bCs/>
        </w:rPr>
        <w:lastRenderedPageBreak/>
        <w:t>Firms made numerous adjustments to cope under COVID</w:t>
      </w:r>
      <w:r>
        <w:rPr>
          <w:b/>
          <w:bCs/>
        </w:rPr>
        <w:t>-</w:t>
      </w:r>
      <w:r w:rsidRPr="00707E3D">
        <w:rPr>
          <w:b/>
          <w:bCs/>
        </w:rPr>
        <w:t>19 conditions.</w:t>
      </w:r>
      <w:r w:rsidRPr="00707E3D">
        <w:t xml:space="preserve"> For businesses in fragile economies like Somalia that already face a plethora of existing structural challenges, recovering from such a systemic shock could be slow and protracted. The disruptions to supply and demand </w:t>
      </w:r>
      <w:proofErr w:type="gramStart"/>
      <w:r w:rsidRPr="00707E3D">
        <w:t>as a result of</w:t>
      </w:r>
      <w:proofErr w:type="gramEnd"/>
      <w:r w:rsidRPr="00707E3D">
        <w:t xml:space="preserve"> the pandemic have persisted, although eased </w:t>
      </w:r>
      <w:r>
        <w:t xml:space="preserve">with the reopening of the economy </w:t>
      </w:r>
      <w:r w:rsidRPr="00707E3D">
        <w:t xml:space="preserve">compared to the </w:t>
      </w:r>
      <w:r>
        <w:t>lockdown period</w:t>
      </w:r>
      <w:r w:rsidRPr="00707E3D">
        <w:t>. In November/December 2020, 44</w:t>
      </w:r>
      <w:r>
        <w:t xml:space="preserve"> percent </w:t>
      </w:r>
      <w:r w:rsidRPr="00707E3D">
        <w:t>of the firms faced disruptions to their supply of inputs, raw materials or finished goods purchased for resale, down from the 71</w:t>
      </w:r>
      <w:r>
        <w:t xml:space="preserve"> percent</w:t>
      </w:r>
      <w:r w:rsidRPr="00707E3D">
        <w:t xml:space="preserve"> in June/July2020.</w:t>
      </w:r>
      <w:r>
        <w:t xml:space="preserve"> </w:t>
      </w:r>
      <w:r w:rsidRPr="00707E3D">
        <w:t>Changes in production and ways of delivering goods and services was the most common adjustments mechanisms made by firms as opposed to employment related cuts which happened at the beginning of the pandemic.</w:t>
      </w:r>
      <w:r>
        <w:t xml:space="preserve"> </w:t>
      </w:r>
      <w:r w:rsidRPr="00707E3D">
        <w:t>About 82 percent of business</w:t>
      </w:r>
      <w:r>
        <w:t>es</w:t>
      </w:r>
      <w:r w:rsidRPr="00707E3D">
        <w:t xml:space="preserve"> adjusted their product or services since the pandemic while about 70 percent adjusted ways of delivering good or services.</w:t>
      </w:r>
      <w:r w:rsidRPr="00707E3D">
        <w:rPr>
          <w:rStyle w:val="FootnoteReference"/>
          <w:rFonts w:cstheme="minorHAnsi"/>
        </w:rPr>
        <w:footnoteReference w:id="12"/>
      </w:r>
      <w:r w:rsidRPr="00707E3D">
        <w:t xml:space="preserve"> </w:t>
      </w:r>
      <w:r>
        <w:t xml:space="preserve">Eighty percent of firms have delayed payments to their service providers and tax authorities. </w:t>
      </w:r>
      <w:r w:rsidRPr="00707E3D">
        <w:t xml:space="preserve">Most firms still report reducing wages following the pandemic, particularly large </w:t>
      </w:r>
      <w:proofErr w:type="gramStart"/>
      <w:r w:rsidRPr="00707E3D">
        <w:t>firms</w:t>
      </w:r>
      <w:proofErr w:type="gramEnd"/>
      <w:r w:rsidRPr="00707E3D">
        <w:t xml:space="preserve"> and exporters. However, comparatively only 46 percent </w:t>
      </w:r>
      <w:r>
        <w:t xml:space="preserve">of </w:t>
      </w:r>
      <w:r w:rsidRPr="00707E3D">
        <w:t>firms reduced the number of full-time permanent employees compared to the level in February 2020. One year into the crisis, employment contracted on average by 37</w:t>
      </w:r>
      <w:r>
        <w:t xml:space="preserve"> percent</w:t>
      </w:r>
      <w:r w:rsidRPr="00707E3D">
        <w:t xml:space="preserve"> with medium, </w:t>
      </w:r>
      <w:r w:rsidR="003655BA" w:rsidRPr="00707E3D">
        <w:t>large,</w:t>
      </w:r>
      <w:r w:rsidRPr="00707E3D">
        <w:t xml:space="preserve"> and older firms shedding most of the jobs</w:t>
      </w:r>
      <w:r w:rsidR="009722EB">
        <w:t xml:space="preserve"> (see </w:t>
      </w:r>
      <w:r w:rsidR="00327A9B">
        <w:fldChar w:fldCharType="begin"/>
      </w:r>
      <w:r w:rsidR="00327A9B">
        <w:instrText xml:space="preserve"> REF _Ref71566934 \h </w:instrText>
      </w:r>
      <w:r w:rsidR="00327A9B">
        <w:fldChar w:fldCharType="separate"/>
      </w:r>
      <w:r w:rsidR="00327A9B">
        <w:t xml:space="preserve">Table </w:t>
      </w:r>
      <w:r w:rsidR="00327A9B">
        <w:rPr>
          <w:noProof/>
        </w:rPr>
        <w:t>3</w:t>
      </w:r>
      <w:r w:rsidR="00327A9B">
        <w:fldChar w:fldCharType="end"/>
      </w:r>
      <w:r w:rsidR="009722EB">
        <w:t>)</w:t>
      </w:r>
      <w:r w:rsidRPr="00707E3D">
        <w:t>.</w:t>
      </w:r>
    </w:p>
    <w:p w14:paraId="2D8399F1" w14:textId="65F09823" w:rsidR="00050A53" w:rsidRPr="004B3629" w:rsidRDefault="00327A9B" w:rsidP="00327A9B">
      <w:pPr>
        <w:pStyle w:val="Caption"/>
        <w:jc w:val="left"/>
        <w:rPr>
          <w:b w:val="0"/>
          <w:bCs/>
        </w:rPr>
      </w:pPr>
      <w:bookmarkStart w:id="19" w:name="_Ref71566934"/>
      <w:bookmarkStart w:id="20" w:name="_Toc71725960"/>
      <w:r>
        <w:t xml:space="preserve">Table </w:t>
      </w:r>
      <w:fldSimple w:instr=" SEQ Table \* ARABIC ">
        <w:r w:rsidR="00EF1142">
          <w:rPr>
            <w:noProof/>
          </w:rPr>
          <w:t>3</w:t>
        </w:r>
      </w:fldSimple>
      <w:bookmarkEnd w:id="19"/>
      <w:r w:rsidR="00050A53" w:rsidRPr="004B3629">
        <w:rPr>
          <w:bCs/>
        </w:rPr>
        <w:t xml:space="preserve">: </w:t>
      </w:r>
      <w:r w:rsidR="00C86236">
        <w:rPr>
          <w:bCs/>
        </w:rPr>
        <w:t xml:space="preserve">Impact of COVID19 </w:t>
      </w:r>
      <w:r w:rsidR="00E545C2">
        <w:rPr>
          <w:bCs/>
        </w:rPr>
        <w:t xml:space="preserve">on </w:t>
      </w:r>
      <w:r w:rsidR="00050A53" w:rsidRPr="004B3629">
        <w:rPr>
          <w:bCs/>
        </w:rPr>
        <w:t>Firms Operations</w:t>
      </w:r>
      <w:bookmarkEnd w:id="20"/>
      <w:r w:rsidR="00050A53" w:rsidRPr="004B3629">
        <w:rPr>
          <w:bCs/>
        </w:rPr>
        <w:t xml:space="preserve"> </w:t>
      </w:r>
    </w:p>
    <w:tbl>
      <w:tblPr>
        <w:tblStyle w:val="TableGrid"/>
        <w:tblW w:w="9265" w:type="dxa"/>
        <w:tblLook w:val="04A0" w:firstRow="1" w:lastRow="0" w:firstColumn="1" w:lastColumn="0" w:noHBand="0" w:noVBand="1"/>
      </w:tblPr>
      <w:tblGrid>
        <w:gridCol w:w="4744"/>
        <w:gridCol w:w="1463"/>
        <w:gridCol w:w="1463"/>
        <w:gridCol w:w="1595"/>
      </w:tblGrid>
      <w:tr w:rsidR="00050A53" w:rsidRPr="001E09E9" w14:paraId="3610E1D0" w14:textId="77777777" w:rsidTr="00E77132">
        <w:trPr>
          <w:trHeight w:val="109"/>
        </w:trPr>
        <w:tc>
          <w:tcPr>
            <w:tcW w:w="4744" w:type="dxa"/>
          </w:tcPr>
          <w:p w14:paraId="2CB570AB" w14:textId="77777777" w:rsidR="00050A53" w:rsidRPr="001E09E9" w:rsidRDefault="00050A53" w:rsidP="00441AD4">
            <w:pPr>
              <w:rPr>
                <w:sz w:val="20"/>
                <w:szCs w:val="20"/>
              </w:rPr>
            </w:pPr>
          </w:p>
        </w:tc>
        <w:tc>
          <w:tcPr>
            <w:tcW w:w="1463" w:type="dxa"/>
          </w:tcPr>
          <w:p w14:paraId="47B019DA" w14:textId="77777777" w:rsidR="00050A53" w:rsidRPr="001E09E9" w:rsidRDefault="00050A53" w:rsidP="001E09E9">
            <w:pPr>
              <w:jc w:val="center"/>
              <w:rPr>
                <w:sz w:val="20"/>
                <w:szCs w:val="20"/>
              </w:rPr>
            </w:pPr>
            <w:r w:rsidRPr="001E09E9">
              <w:rPr>
                <w:sz w:val="20"/>
                <w:szCs w:val="20"/>
              </w:rPr>
              <w:t>Round 1</w:t>
            </w:r>
          </w:p>
        </w:tc>
        <w:tc>
          <w:tcPr>
            <w:tcW w:w="1463" w:type="dxa"/>
          </w:tcPr>
          <w:p w14:paraId="49DC8FD8" w14:textId="77777777" w:rsidR="00050A53" w:rsidRPr="001E09E9" w:rsidRDefault="00050A53" w:rsidP="001E09E9">
            <w:pPr>
              <w:jc w:val="center"/>
              <w:rPr>
                <w:sz w:val="20"/>
                <w:szCs w:val="20"/>
              </w:rPr>
            </w:pPr>
            <w:r w:rsidRPr="001E09E9">
              <w:rPr>
                <w:sz w:val="20"/>
                <w:szCs w:val="20"/>
              </w:rPr>
              <w:t>Round 2</w:t>
            </w:r>
          </w:p>
        </w:tc>
        <w:tc>
          <w:tcPr>
            <w:tcW w:w="1595" w:type="dxa"/>
          </w:tcPr>
          <w:p w14:paraId="2D872E88" w14:textId="77777777" w:rsidR="00050A53" w:rsidRPr="001E09E9" w:rsidRDefault="00050A53" w:rsidP="001E09E9">
            <w:pPr>
              <w:jc w:val="center"/>
              <w:rPr>
                <w:b/>
                <w:bCs/>
                <w:sz w:val="20"/>
                <w:szCs w:val="20"/>
              </w:rPr>
            </w:pPr>
            <w:r w:rsidRPr="001E09E9">
              <w:rPr>
                <w:b/>
                <w:bCs/>
                <w:sz w:val="20"/>
                <w:szCs w:val="20"/>
              </w:rPr>
              <w:t>change</w:t>
            </w:r>
          </w:p>
        </w:tc>
      </w:tr>
      <w:tr w:rsidR="00050A53" w:rsidRPr="001E09E9" w14:paraId="11BDB99B" w14:textId="77777777" w:rsidTr="00E77132">
        <w:trPr>
          <w:trHeight w:val="224"/>
        </w:trPr>
        <w:tc>
          <w:tcPr>
            <w:tcW w:w="4744" w:type="dxa"/>
          </w:tcPr>
          <w:p w14:paraId="40B3AA33" w14:textId="77777777" w:rsidR="00050A53" w:rsidRPr="001E09E9" w:rsidRDefault="00050A53" w:rsidP="00441AD4">
            <w:pPr>
              <w:rPr>
                <w:sz w:val="20"/>
                <w:szCs w:val="20"/>
              </w:rPr>
            </w:pPr>
            <w:r w:rsidRPr="001E09E9">
              <w:rPr>
                <w:sz w:val="20"/>
                <w:szCs w:val="20"/>
              </w:rPr>
              <w:t>% of firms with decrease in supply of inputs compared to a year ago</w:t>
            </w:r>
          </w:p>
        </w:tc>
        <w:tc>
          <w:tcPr>
            <w:tcW w:w="1463" w:type="dxa"/>
          </w:tcPr>
          <w:p w14:paraId="479544DD" w14:textId="77777777" w:rsidR="00050A53" w:rsidRPr="001E09E9" w:rsidRDefault="00050A53" w:rsidP="001E09E9">
            <w:pPr>
              <w:jc w:val="center"/>
              <w:rPr>
                <w:sz w:val="20"/>
                <w:szCs w:val="20"/>
              </w:rPr>
            </w:pPr>
            <w:r w:rsidRPr="001E09E9">
              <w:rPr>
                <w:sz w:val="20"/>
                <w:szCs w:val="20"/>
              </w:rPr>
              <w:t>71</w:t>
            </w:r>
          </w:p>
        </w:tc>
        <w:tc>
          <w:tcPr>
            <w:tcW w:w="1463" w:type="dxa"/>
          </w:tcPr>
          <w:p w14:paraId="447FA010" w14:textId="77777777" w:rsidR="00050A53" w:rsidRPr="001E09E9" w:rsidRDefault="00050A53" w:rsidP="001E09E9">
            <w:pPr>
              <w:jc w:val="center"/>
              <w:rPr>
                <w:sz w:val="20"/>
                <w:szCs w:val="20"/>
              </w:rPr>
            </w:pPr>
            <w:r w:rsidRPr="001E09E9">
              <w:rPr>
                <w:sz w:val="20"/>
                <w:szCs w:val="20"/>
              </w:rPr>
              <w:t>44</w:t>
            </w:r>
          </w:p>
        </w:tc>
        <w:tc>
          <w:tcPr>
            <w:tcW w:w="1595" w:type="dxa"/>
          </w:tcPr>
          <w:p w14:paraId="6F2C4E1E" w14:textId="77777777" w:rsidR="00050A53" w:rsidRPr="001E09E9" w:rsidRDefault="00050A53" w:rsidP="001E09E9">
            <w:pPr>
              <w:jc w:val="center"/>
              <w:rPr>
                <w:b/>
                <w:bCs/>
                <w:sz w:val="20"/>
                <w:szCs w:val="20"/>
              </w:rPr>
            </w:pPr>
            <w:r w:rsidRPr="001E09E9">
              <w:rPr>
                <w:b/>
                <w:bCs/>
                <w:sz w:val="20"/>
                <w:szCs w:val="20"/>
              </w:rPr>
              <w:t>-27</w:t>
            </w:r>
          </w:p>
        </w:tc>
      </w:tr>
      <w:tr w:rsidR="00050A53" w:rsidRPr="001E09E9" w14:paraId="59AB6B69" w14:textId="77777777" w:rsidTr="00E77132">
        <w:trPr>
          <w:trHeight w:val="224"/>
        </w:trPr>
        <w:tc>
          <w:tcPr>
            <w:tcW w:w="4744" w:type="dxa"/>
          </w:tcPr>
          <w:p w14:paraId="36862795" w14:textId="77777777" w:rsidR="00050A53" w:rsidRPr="001E09E9" w:rsidRDefault="00050A53" w:rsidP="00441AD4">
            <w:pPr>
              <w:rPr>
                <w:sz w:val="20"/>
                <w:szCs w:val="20"/>
              </w:rPr>
            </w:pPr>
            <w:r w:rsidRPr="001E09E9">
              <w:rPr>
                <w:sz w:val="20"/>
                <w:szCs w:val="20"/>
              </w:rPr>
              <w:t>% of firms experiencing decrease in monthly sales compared to a year ago</w:t>
            </w:r>
          </w:p>
        </w:tc>
        <w:tc>
          <w:tcPr>
            <w:tcW w:w="1463" w:type="dxa"/>
          </w:tcPr>
          <w:p w14:paraId="53A9426A" w14:textId="77777777" w:rsidR="00050A53" w:rsidRPr="001E09E9" w:rsidRDefault="00050A53" w:rsidP="001E09E9">
            <w:pPr>
              <w:jc w:val="center"/>
              <w:rPr>
                <w:sz w:val="20"/>
                <w:szCs w:val="20"/>
              </w:rPr>
            </w:pPr>
            <w:r w:rsidRPr="001E09E9">
              <w:rPr>
                <w:sz w:val="20"/>
                <w:szCs w:val="20"/>
              </w:rPr>
              <w:t>75</w:t>
            </w:r>
          </w:p>
        </w:tc>
        <w:tc>
          <w:tcPr>
            <w:tcW w:w="1463" w:type="dxa"/>
          </w:tcPr>
          <w:p w14:paraId="1F65BAB2" w14:textId="77777777" w:rsidR="00050A53" w:rsidRPr="001E09E9" w:rsidRDefault="00050A53" w:rsidP="001E09E9">
            <w:pPr>
              <w:jc w:val="center"/>
              <w:rPr>
                <w:sz w:val="20"/>
                <w:szCs w:val="20"/>
              </w:rPr>
            </w:pPr>
            <w:r w:rsidRPr="001E09E9">
              <w:rPr>
                <w:sz w:val="20"/>
                <w:szCs w:val="20"/>
              </w:rPr>
              <w:t>52</w:t>
            </w:r>
          </w:p>
        </w:tc>
        <w:tc>
          <w:tcPr>
            <w:tcW w:w="1595" w:type="dxa"/>
          </w:tcPr>
          <w:p w14:paraId="1CB7FE81" w14:textId="77777777" w:rsidR="00050A53" w:rsidRPr="001E09E9" w:rsidRDefault="00050A53" w:rsidP="001E09E9">
            <w:pPr>
              <w:jc w:val="center"/>
              <w:rPr>
                <w:b/>
                <w:bCs/>
                <w:sz w:val="20"/>
                <w:szCs w:val="20"/>
              </w:rPr>
            </w:pPr>
            <w:r w:rsidRPr="001E09E9">
              <w:rPr>
                <w:b/>
                <w:bCs/>
                <w:sz w:val="20"/>
                <w:szCs w:val="20"/>
              </w:rPr>
              <w:t>-23</w:t>
            </w:r>
          </w:p>
        </w:tc>
      </w:tr>
      <w:tr w:rsidR="00050A53" w:rsidRPr="001E09E9" w14:paraId="3F9AC73F" w14:textId="77777777" w:rsidTr="00E77132">
        <w:trPr>
          <w:trHeight w:val="220"/>
        </w:trPr>
        <w:tc>
          <w:tcPr>
            <w:tcW w:w="4744" w:type="dxa"/>
          </w:tcPr>
          <w:p w14:paraId="20447F1A" w14:textId="77777777" w:rsidR="00050A53" w:rsidRPr="001E09E9" w:rsidRDefault="00050A53" w:rsidP="00441AD4">
            <w:pPr>
              <w:rPr>
                <w:sz w:val="20"/>
                <w:szCs w:val="20"/>
              </w:rPr>
            </w:pPr>
            <w:r w:rsidRPr="001E09E9">
              <w:rPr>
                <w:sz w:val="20"/>
                <w:szCs w:val="20"/>
              </w:rPr>
              <w:t>% change of permanent full-time workers since February 2020</w:t>
            </w:r>
          </w:p>
        </w:tc>
        <w:tc>
          <w:tcPr>
            <w:tcW w:w="1463" w:type="dxa"/>
          </w:tcPr>
          <w:p w14:paraId="7ECCC7C2" w14:textId="77777777" w:rsidR="00050A53" w:rsidRPr="001E09E9" w:rsidRDefault="00050A53" w:rsidP="001E09E9">
            <w:pPr>
              <w:jc w:val="center"/>
              <w:rPr>
                <w:sz w:val="20"/>
                <w:szCs w:val="20"/>
              </w:rPr>
            </w:pPr>
            <w:r w:rsidRPr="001E09E9">
              <w:rPr>
                <w:sz w:val="20"/>
                <w:szCs w:val="20"/>
              </w:rPr>
              <w:t>-31</w:t>
            </w:r>
          </w:p>
        </w:tc>
        <w:tc>
          <w:tcPr>
            <w:tcW w:w="1463" w:type="dxa"/>
          </w:tcPr>
          <w:p w14:paraId="111849FA" w14:textId="77777777" w:rsidR="00050A53" w:rsidRPr="001E09E9" w:rsidRDefault="00050A53" w:rsidP="001E09E9">
            <w:pPr>
              <w:jc w:val="center"/>
              <w:rPr>
                <w:sz w:val="20"/>
                <w:szCs w:val="20"/>
              </w:rPr>
            </w:pPr>
            <w:r w:rsidRPr="001E09E9">
              <w:rPr>
                <w:sz w:val="20"/>
                <w:szCs w:val="20"/>
              </w:rPr>
              <w:t>-37</w:t>
            </w:r>
          </w:p>
        </w:tc>
        <w:tc>
          <w:tcPr>
            <w:tcW w:w="1595" w:type="dxa"/>
          </w:tcPr>
          <w:p w14:paraId="6BDAAFE5" w14:textId="77777777" w:rsidR="00050A53" w:rsidRPr="001E09E9" w:rsidRDefault="00050A53" w:rsidP="001E09E9">
            <w:pPr>
              <w:jc w:val="center"/>
              <w:rPr>
                <w:b/>
                <w:bCs/>
                <w:sz w:val="20"/>
                <w:szCs w:val="20"/>
              </w:rPr>
            </w:pPr>
            <w:r w:rsidRPr="001E09E9">
              <w:rPr>
                <w:b/>
                <w:bCs/>
                <w:sz w:val="20"/>
                <w:szCs w:val="20"/>
              </w:rPr>
              <w:t>-6</w:t>
            </w:r>
          </w:p>
        </w:tc>
      </w:tr>
      <w:tr w:rsidR="00050A53" w:rsidRPr="001E09E9" w14:paraId="6B027696" w14:textId="77777777" w:rsidTr="00E77132">
        <w:trPr>
          <w:trHeight w:val="224"/>
        </w:trPr>
        <w:tc>
          <w:tcPr>
            <w:tcW w:w="4744" w:type="dxa"/>
          </w:tcPr>
          <w:p w14:paraId="2FDA9AD2" w14:textId="77777777" w:rsidR="00050A53" w:rsidRPr="001E09E9" w:rsidRDefault="00050A53" w:rsidP="00441AD4">
            <w:pPr>
              <w:rPr>
                <w:sz w:val="20"/>
                <w:szCs w:val="20"/>
              </w:rPr>
            </w:pPr>
            <w:r w:rsidRPr="001E09E9">
              <w:rPr>
                <w:sz w:val="20"/>
                <w:szCs w:val="20"/>
              </w:rPr>
              <w:t>% of firms experiencing liquidity or cashflow availability</w:t>
            </w:r>
          </w:p>
        </w:tc>
        <w:tc>
          <w:tcPr>
            <w:tcW w:w="1463" w:type="dxa"/>
          </w:tcPr>
          <w:p w14:paraId="70724972" w14:textId="77777777" w:rsidR="00050A53" w:rsidRPr="001E09E9" w:rsidRDefault="00050A53" w:rsidP="001E09E9">
            <w:pPr>
              <w:jc w:val="center"/>
              <w:rPr>
                <w:sz w:val="20"/>
                <w:szCs w:val="20"/>
              </w:rPr>
            </w:pPr>
            <w:r w:rsidRPr="001E09E9">
              <w:rPr>
                <w:sz w:val="20"/>
                <w:szCs w:val="20"/>
              </w:rPr>
              <w:t>90</w:t>
            </w:r>
          </w:p>
        </w:tc>
        <w:tc>
          <w:tcPr>
            <w:tcW w:w="1463" w:type="dxa"/>
          </w:tcPr>
          <w:p w14:paraId="6B788E7A" w14:textId="77777777" w:rsidR="00050A53" w:rsidRPr="001E09E9" w:rsidRDefault="00050A53" w:rsidP="001E09E9">
            <w:pPr>
              <w:jc w:val="center"/>
              <w:rPr>
                <w:sz w:val="20"/>
                <w:szCs w:val="20"/>
              </w:rPr>
            </w:pPr>
            <w:r w:rsidRPr="001E09E9">
              <w:rPr>
                <w:sz w:val="20"/>
                <w:szCs w:val="20"/>
              </w:rPr>
              <w:t>49</w:t>
            </w:r>
          </w:p>
        </w:tc>
        <w:tc>
          <w:tcPr>
            <w:tcW w:w="1595" w:type="dxa"/>
          </w:tcPr>
          <w:p w14:paraId="0AFEC619" w14:textId="77777777" w:rsidR="00050A53" w:rsidRPr="001E09E9" w:rsidRDefault="00050A53" w:rsidP="001E09E9">
            <w:pPr>
              <w:jc w:val="center"/>
              <w:rPr>
                <w:b/>
                <w:bCs/>
                <w:sz w:val="20"/>
                <w:szCs w:val="20"/>
              </w:rPr>
            </w:pPr>
            <w:r w:rsidRPr="001E09E9">
              <w:rPr>
                <w:b/>
                <w:bCs/>
                <w:sz w:val="20"/>
                <w:szCs w:val="20"/>
              </w:rPr>
              <w:t>-41</w:t>
            </w:r>
          </w:p>
        </w:tc>
      </w:tr>
      <w:tr w:rsidR="00050A53" w:rsidRPr="001E09E9" w14:paraId="431B33E3" w14:textId="77777777" w:rsidTr="00E77132">
        <w:trPr>
          <w:trHeight w:val="224"/>
        </w:trPr>
        <w:tc>
          <w:tcPr>
            <w:tcW w:w="4744" w:type="dxa"/>
          </w:tcPr>
          <w:p w14:paraId="588C3999" w14:textId="77777777" w:rsidR="00050A53" w:rsidRPr="001E09E9" w:rsidRDefault="00050A53" w:rsidP="00441AD4">
            <w:pPr>
              <w:rPr>
                <w:sz w:val="20"/>
                <w:szCs w:val="20"/>
              </w:rPr>
            </w:pPr>
            <w:r w:rsidRPr="001E09E9">
              <w:rPr>
                <w:sz w:val="20"/>
                <w:szCs w:val="20"/>
              </w:rPr>
              <w:t>% of firms delaying payments to supplies, landlords or tax authorities</w:t>
            </w:r>
          </w:p>
        </w:tc>
        <w:tc>
          <w:tcPr>
            <w:tcW w:w="1463" w:type="dxa"/>
          </w:tcPr>
          <w:p w14:paraId="168A8C02" w14:textId="77777777" w:rsidR="00050A53" w:rsidRPr="001E09E9" w:rsidRDefault="00050A53" w:rsidP="001E09E9">
            <w:pPr>
              <w:jc w:val="center"/>
              <w:rPr>
                <w:sz w:val="20"/>
                <w:szCs w:val="20"/>
              </w:rPr>
            </w:pPr>
            <w:r w:rsidRPr="001E09E9">
              <w:rPr>
                <w:sz w:val="20"/>
                <w:szCs w:val="20"/>
              </w:rPr>
              <w:t>89</w:t>
            </w:r>
          </w:p>
        </w:tc>
        <w:tc>
          <w:tcPr>
            <w:tcW w:w="1463" w:type="dxa"/>
          </w:tcPr>
          <w:p w14:paraId="5C29F201" w14:textId="77777777" w:rsidR="00050A53" w:rsidRPr="001E09E9" w:rsidRDefault="00050A53" w:rsidP="001E09E9">
            <w:pPr>
              <w:jc w:val="center"/>
              <w:rPr>
                <w:sz w:val="20"/>
                <w:szCs w:val="20"/>
              </w:rPr>
            </w:pPr>
            <w:r w:rsidRPr="001E09E9">
              <w:rPr>
                <w:sz w:val="20"/>
                <w:szCs w:val="20"/>
              </w:rPr>
              <w:t>80</w:t>
            </w:r>
          </w:p>
        </w:tc>
        <w:tc>
          <w:tcPr>
            <w:tcW w:w="1595" w:type="dxa"/>
          </w:tcPr>
          <w:p w14:paraId="503602EE" w14:textId="77777777" w:rsidR="00050A53" w:rsidRPr="001E09E9" w:rsidRDefault="00050A53" w:rsidP="001E09E9">
            <w:pPr>
              <w:jc w:val="center"/>
              <w:rPr>
                <w:b/>
                <w:bCs/>
                <w:sz w:val="20"/>
                <w:szCs w:val="20"/>
              </w:rPr>
            </w:pPr>
            <w:r w:rsidRPr="001E09E9">
              <w:rPr>
                <w:b/>
                <w:bCs/>
                <w:sz w:val="20"/>
                <w:szCs w:val="20"/>
              </w:rPr>
              <w:t>-9</w:t>
            </w:r>
          </w:p>
        </w:tc>
      </w:tr>
      <w:tr w:rsidR="00050A53" w:rsidRPr="001E09E9" w14:paraId="1524DA4C" w14:textId="77777777" w:rsidTr="00E77132">
        <w:trPr>
          <w:trHeight w:val="220"/>
        </w:trPr>
        <w:tc>
          <w:tcPr>
            <w:tcW w:w="4744" w:type="dxa"/>
          </w:tcPr>
          <w:p w14:paraId="05A253A0" w14:textId="77777777" w:rsidR="00050A53" w:rsidRPr="001E09E9" w:rsidRDefault="00050A53" w:rsidP="00441AD4">
            <w:pPr>
              <w:rPr>
                <w:sz w:val="20"/>
                <w:szCs w:val="20"/>
              </w:rPr>
            </w:pPr>
            <w:r w:rsidRPr="001E09E9">
              <w:rPr>
                <w:sz w:val="20"/>
                <w:szCs w:val="20"/>
              </w:rPr>
              <w:t>% of firms that have temporarily closed because of COVID19</w:t>
            </w:r>
          </w:p>
        </w:tc>
        <w:tc>
          <w:tcPr>
            <w:tcW w:w="1463" w:type="dxa"/>
          </w:tcPr>
          <w:p w14:paraId="3F6ED187" w14:textId="77777777" w:rsidR="00050A53" w:rsidRPr="001E09E9" w:rsidRDefault="00050A53" w:rsidP="001E09E9">
            <w:pPr>
              <w:jc w:val="center"/>
              <w:rPr>
                <w:sz w:val="20"/>
                <w:szCs w:val="20"/>
              </w:rPr>
            </w:pPr>
            <w:r w:rsidRPr="001E09E9">
              <w:rPr>
                <w:sz w:val="20"/>
                <w:szCs w:val="20"/>
              </w:rPr>
              <w:t>45</w:t>
            </w:r>
          </w:p>
        </w:tc>
        <w:tc>
          <w:tcPr>
            <w:tcW w:w="1463" w:type="dxa"/>
          </w:tcPr>
          <w:p w14:paraId="19690EEC" w14:textId="77777777" w:rsidR="00050A53" w:rsidRPr="001E09E9" w:rsidRDefault="00050A53" w:rsidP="001E09E9">
            <w:pPr>
              <w:jc w:val="center"/>
              <w:rPr>
                <w:sz w:val="20"/>
                <w:szCs w:val="20"/>
              </w:rPr>
            </w:pPr>
            <w:r w:rsidRPr="001E09E9">
              <w:rPr>
                <w:sz w:val="20"/>
                <w:szCs w:val="20"/>
              </w:rPr>
              <w:t>37</w:t>
            </w:r>
          </w:p>
        </w:tc>
        <w:tc>
          <w:tcPr>
            <w:tcW w:w="1595" w:type="dxa"/>
          </w:tcPr>
          <w:p w14:paraId="6E6E3645" w14:textId="77777777" w:rsidR="00050A53" w:rsidRPr="001E09E9" w:rsidRDefault="00050A53" w:rsidP="001E09E9">
            <w:pPr>
              <w:jc w:val="center"/>
              <w:rPr>
                <w:b/>
                <w:bCs/>
                <w:sz w:val="20"/>
                <w:szCs w:val="20"/>
              </w:rPr>
            </w:pPr>
            <w:r w:rsidRPr="001E09E9">
              <w:rPr>
                <w:b/>
                <w:bCs/>
                <w:sz w:val="20"/>
                <w:szCs w:val="20"/>
              </w:rPr>
              <w:t>-8</w:t>
            </w:r>
          </w:p>
        </w:tc>
      </w:tr>
    </w:tbl>
    <w:p w14:paraId="200B0F97" w14:textId="1E76E64E" w:rsidR="00175A2F" w:rsidRPr="001E09E9" w:rsidRDefault="00327A9B" w:rsidP="00327A9B">
      <w:pPr>
        <w:pStyle w:val="Caption"/>
        <w:spacing w:before="120"/>
        <w:jc w:val="left"/>
        <w:rPr>
          <w:bCs/>
        </w:rPr>
      </w:pPr>
      <w:bookmarkStart w:id="21" w:name="_Toc71725923"/>
      <w:r>
        <w:t xml:space="preserve">Figure </w:t>
      </w:r>
      <w:fldSimple w:instr=" SEQ Figure \* ARABIC ">
        <w:r w:rsidR="00EF291C">
          <w:rPr>
            <w:noProof/>
          </w:rPr>
          <w:t>5</w:t>
        </w:r>
      </w:fldSimple>
      <w:r w:rsidR="009A601F" w:rsidRPr="001E09E9">
        <w:rPr>
          <w:bCs/>
        </w:rPr>
        <w:t>: Effects of COVID19 on Firms Operations</w:t>
      </w:r>
      <w:bookmarkEnd w:id="21"/>
    </w:p>
    <w:p w14:paraId="3A484C9E" w14:textId="3AE64D18" w:rsidR="00175A2F" w:rsidRDefault="009A601F" w:rsidP="00327A9B">
      <w:pPr>
        <w:spacing w:after="0"/>
      </w:pPr>
      <w:r>
        <w:rPr>
          <w:noProof/>
        </w:rPr>
        <w:drawing>
          <wp:inline distT="0" distB="0" distL="0" distR="0" wp14:anchorId="30286172" wp14:editId="201CA63A">
            <wp:extent cx="5040630" cy="2127565"/>
            <wp:effectExtent l="0" t="0" r="7620" b="6350"/>
            <wp:docPr id="57" name="Chart 57">
              <a:extLst xmlns:a="http://schemas.openxmlformats.org/drawingml/2006/main">
                <a:ext uri="{FF2B5EF4-FFF2-40B4-BE49-F238E27FC236}">
                  <a16:creationId xmlns:a16="http://schemas.microsoft.com/office/drawing/2014/main" id="{BB51C9A9-B70A-40F3-B25C-EF7FF94FF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503C5E" w14:textId="02B02CAF" w:rsidR="00DF216C" w:rsidRDefault="00DF216C" w:rsidP="00327A9B">
      <w:pPr>
        <w:spacing w:after="0"/>
      </w:pPr>
      <w:r>
        <w:t>Source: Somalia Enterprise Su</w:t>
      </w:r>
      <w:r w:rsidR="00F263B5">
        <w:t>rvey, 2021</w:t>
      </w:r>
    </w:p>
    <w:p w14:paraId="539E1D07" w14:textId="42B4ABA9" w:rsidR="00F557E5" w:rsidRDefault="00F557E5" w:rsidP="00686A00">
      <w:pPr>
        <w:autoSpaceDE w:val="0"/>
        <w:autoSpaceDN w:val="0"/>
        <w:adjustRightInd w:val="0"/>
        <w:spacing w:after="120"/>
        <w:jc w:val="both"/>
        <w:rPr>
          <w:rFonts w:cstheme="minorHAnsi"/>
          <w:color w:val="000000"/>
        </w:rPr>
      </w:pPr>
      <w:r>
        <w:rPr>
          <w:rFonts w:cstheme="minorHAnsi"/>
          <w:b/>
          <w:bCs/>
          <w:color w:val="000000"/>
        </w:rPr>
        <w:lastRenderedPageBreak/>
        <w:t xml:space="preserve">COVID-19 crisis heightened liquidity challenges among businesses. </w:t>
      </w:r>
      <w:r w:rsidRPr="0073775F">
        <w:rPr>
          <w:rFonts w:cstheme="minorHAnsi"/>
          <w:color w:val="000000"/>
        </w:rPr>
        <w:t xml:space="preserve">The depth and breadth of the impacts </w:t>
      </w:r>
      <w:r>
        <w:rPr>
          <w:rFonts w:cstheme="minorHAnsi"/>
          <w:color w:val="000000"/>
        </w:rPr>
        <w:t xml:space="preserve">of the </w:t>
      </w:r>
      <w:r w:rsidRPr="0082414E">
        <w:rPr>
          <w:rFonts w:cstheme="minorHAnsi"/>
          <w:color w:val="000000"/>
        </w:rPr>
        <w:t xml:space="preserve">pandemic points to a need for </w:t>
      </w:r>
      <w:r w:rsidRPr="0073775F">
        <w:rPr>
          <w:rFonts w:cstheme="minorHAnsi"/>
          <w:color w:val="000000"/>
        </w:rPr>
        <w:t xml:space="preserve">a broader and inclusive assistance to businesses. There is also a growing importance of accessing external finance since the initial periods of the crisis. </w:t>
      </w:r>
      <w:r w:rsidRPr="006C63B6">
        <w:rPr>
          <w:rFonts w:cstheme="minorHAnsi"/>
          <w:color w:val="000000"/>
        </w:rPr>
        <w:t>Bank loans is now the most common means of bridging liquidity and cash flow shortages for most firms, 46 percent</w:t>
      </w:r>
      <w:r w:rsidRPr="00B55423">
        <w:rPr>
          <w:rFonts w:cstheme="minorHAnsi"/>
          <w:color w:val="000000"/>
        </w:rPr>
        <w:t xml:space="preserve">) </w:t>
      </w:r>
      <w:r w:rsidRPr="000D19DE">
        <w:rPr>
          <w:rFonts w:cstheme="minorHAnsi"/>
          <w:color w:val="000000"/>
        </w:rPr>
        <w:t xml:space="preserve">up from 14 percent in June/July 2020. </w:t>
      </w:r>
      <w:r w:rsidRPr="009D6253">
        <w:rPr>
          <w:rFonts w:cstheme="minorHAnsi"/>
          <w:color w:val="000000"/>
        </w:rPr>
        <w:t xml:space="preserve">However, </w:t>
      </w:r>
      <w:r w:rsidRPr="006C63B6">
        <w:rPr>
          <w:rFonts w:cstheme="minorHAnsi"/>
          <w:color w:val="000000"/>
        </w:rPr>
        <w:t xml:space="preserve">firms face difficulty accessing credit with 68% of the firms considered credit </w:t>
      </w:r>
      <w:r w:rsidRPr="00F557E5">
        <w:rPr>
          <w:rFonts w:cstheme="minorHAnsi"/>
          <w:color w:val="000000"/>
        </w:rPr>
        <w:t>constrained across five cities in Somalia.</w:t>
      </w:r>
      <w:r w:rsidRPr="00B55423">
        <w:rPr>
          <w:rFonts w:cstheme="minorHAnsi"/>
          <w:color w:val="000000"/>
        </w:rPr>
        <w:t xml:space="preserve"> </w:t>
      </w:r>
      <w:r w:rsidRPr="0073775F">
        <w:rPr>
          <w:rFonts w:cstheme="minorHAnsi"/>
          <w:color w:val="000000"/>
        </w:rPr>
        <w:t xml:space="preserve">One year into the crisis, </w:t>
      </w:r>
      <w:r>
        <w:rPr>
          <w:rFonts w:cstheme="minorHAnsi"/>
          <w:color w:val="000000"/>
        </w:rPr>
        <w:t>only a very small share—</w:t>
      </w:r>
      <w:r w:rsidRPr="0073775F">
        <w:rPr>
          <w:rFonts w:cstheme="minorHAnsi"/>
          <w:color w:val="000000"/>
        </w:rPr>
        <w:t>less than 3</w:t>
      </w:r>
      <w:r>
        <w:rPr>
          <w:rFonts w:cstheme="minorHAnsi"/>
          <w:color w:val="000000"/>
        </w:rPr>
        <w:t xml:space="preserve"> percent—</w:t>
      </w:r>
      <w:r w:rsidRPr="0073775F">
        <w:rPr>
          <w:rFonts w:cstheme="minorHAnsi"/>
          <w:color w:val="000000"/>
        </w:rPr>
        <w:t>of firms have received or expect to receive government support</w:t>
      </w:r>
      <w:r>
        <w:rPr>
          <w:rFonts w:cstheme="minorHAnsi"/>
          <w:color w:val="000000"/>
        </w:rPr>
        <w:t xml:space="preserve"> with </w:t>
      </w:r>
      <w:r w:rsidRPr="0073775F">
        <w:rPr>
          <w:rFonts w:cstheme="minorHAnsi"/>
          <w:color w:val="000000"/>
        </w:rPr>
        <w:t>delaying payment to service providers</w:t>
      </w:r>
      <w:r>
        <w:rPr>
          <w:rFonts w:cstheme="minorHAnsi"/>
          <w:color w:val="000000"/>
        </w:rPr>
        <w:t xml:space="preserve"> and tax authorities cited</w:t>
      </w:r>
      <w:r w:rsidRPr="0073775F">
        <w:rPr>
          <w:rFonts w:cstheme="minorHAnsi"/>
          <w:color w:val="000000"/>
        </w:rPr>
        <w:t xml:space="preserve"> as the most desired </w:t>
      </w:r>
      <w:r>
        <w:rPr>
          <w:rFonts w:cstheme="minorHAnsi"/>
          <w:color w:val="000000"/>
        </w:rPr>
        <w:t xml:space="preserve">policy </w:t>
      </w:r>
      <w:r w:rsidRPr="0073775F">
        <w:rPr>
          <w:rFonts w:cstheme="minorHAnsi"/>
          <w:color w:val="000000"/>
        </w:rPr>
        <w:t>support</w:t>
      </w:r>
      <w:r>
        <w:rPr>
          <w:rFonts w:cstheme="minorHAnsi"/>
          <w:color w:val="000000"/>
        </w:rPr>
        <w:t xml:space="preserve"> from the government (see Table 3)</w:t>
      </w:r>
    </w:p>
    <w:p w14:paraId="5D802671" w14:textId="65B6258E" w:rsidR="00AE155E" w:rsidRDefault="00D25696" w:rsidP="00AE155E">
      <w:pPr>
        <w:spacing w:after="120"/>
        <w:jc w:val="both"/>
      </w:pPr>
      <w:r>
        <w:rPr>
          <w:rFonts w:cstheme="minorHAnsi"/>
          <w:b/>
          <w:bCs/>
        </w:rPr>
        <w:t>Distribution</w:t>
      </w:r>
      <w:r w:rsidR="00185087">
        <w:rPr>
          <w:rFonts w:cstheme="minorHAnsi"/>
          <w:b/>
          <w:bCs/>
        </w:rPr>
        <w:t xml:space="preserve"> </w:t>
      </w:r>
      <w:r w:rsidR="00E77132">
        <w:rPr>
          <w:rFonts w:cstheme="minorHAnsi"/>
          <w:b/>
          <w:bCs/>
        </w:rPr>
        <w:t>of bank</w:t>
      </w:r>
      <w:r w:rsidR="00185087">
        <w:rPr>
          <w:rFonts w:cstheme="minorHAnsi"/>
          <w:b/>
          <w:bCs/>
        </w:rPr>
        <w:t xml:space="preserve"> credit </w:t>
      </w:r>
      <w:r w:rsidR="00281F3D">
        <w:rPr>
          <w:rFonts w:cstheme="minorHAnsi"/>
          <w:b/>
          <w:bCs/>
        </w:rPr>
        <w:t>remained unaffected during the crisis</w:t>
      </w:r>
      <w:r w:rsidR="00550A04">
        <w:rPr>
          <w:rFonts w:cstheme="minorHAnsi"/>
          <w:b/>
          <w:bCs/>
        </w:rPr>
        <w:t>.</w:t>
      </w:r>
      <w:r w:rsidR="00550A04" w:rsidRPr="00DC2C5B">
        <w:rPr>
          <w:rFonts w:cstheme="minorHAnsi"/>
        </w:rPr>
        <w:t xml:space="preserve"> </w:t>
      </w:r>
      <w:r w:rsidR="005677AA">
        <w:rPr>
          <w:rFonts w:cstheme="minorHAnsi"/>
        </w:rPr>
        <w:t>Data from the</w:t>
      </w:r>
      <w:r w:rsidR="00DC2C5B">
        <w:rPr>
          <w:rFonts w:cstheme="minorHAnsi"/>
        </w:rPr>
        <w:t xml:space="preserve"> Central Bank of Somalia (CBS) </w:t>
      </w:r>
      <w:r w:rsidR="005677AA">
        <w:rPr>
          <w:rFonts w:cstheme="minorHAnsi"/>
        </w:rPr>
        <w:t>show that the s</w:t>
      </w:r>
      <w:r w:rsidR="00550A04" w:rsidRPr="00B93429">
        <w:t xml:space="preserve">ectoral allocation of bank loans </w:t>
      </w:r>
      <w:r w:rsidR="00AF7628">
        <w:t>remained relative</w:t>
      </w:r>
      <w:r w:rsidR="00F636AD">
        <w:t xml:space="preserve">ly the same </w:t>
      </w:r>
      <w:r w:rsidR="00AF7628">
        <w:t xml:space="preserve">in </w:t>
      </w:r>
      <w:r w:rsidR="00AE155E" w:rsidRPr="00B93429">
        <w:t xml:space="preserve">2020. Households’ share of loans rose from 11.6 percent in </w:t>
      </w:r>
      <w:r w:rsidR="00495D95">
        <w:t xml:space="preserve">December 2019 </w:t>
      </w:r>
      <w:r w:rsidR="00AE155E" w:rsidRPr="00B93429">
        <w:t>to 13</w:t>
      </w:r>
      <w:r w:rsidR="00495D95">
        <w:t xml:space="preserve"> </w:t>
      </w:r>
      <w:r w:rsidR="00AE155E" w:rsidRPr="00B93429">
        <w:t xml:space="preserve">percent in </w:t>
      </w:r>
      <w:r w:rsidR="00495D95">
        <w:t xml:space="preserve">December </w:t>
      </w:r>
      <w:r w:rsidR="00AE155E" w:rsidRPr="00B93429">
        <w:t>2020. These w</w:t>
      </w:r>
      <w:r w:rsidR="00424690">
        <w:t>as</w:t>
      </w:r>
      <w:r w:rsidR="00AE155E" w:rsidRPr="00B93429">
        <w:t xml:space="preserve"> continuation of pre-pandemic trends in loans to other major sectors (</w:t>
      </w:r>
      <w:r w:rsidR="003E75D5">
        <w:t>v</w:t>
      </w:r>
      <w:r w:rsidR="00AE155E" w:rsidRPr="00B93429">
        <w:t>ehicle, trade,</w:t>
      </w:r>
      <w:r w:rsidR="00A453F2">
        <w:t xml:space="preserve"> and</w:t>
      </w:r>
      <w:r w:rsidR="00AE155E" w:rsidRPr="00B93429">
        <w:t xml:space="preserve"> construction)</w:t>
      </w:r>
      <w:r w:rsidR="009055E5">
        <w:t xml:space="preserve"> with a </w:t>
      </w:r>
      <w:r w:rsidR="00AE155E" w:rsidRPr="00B93429">
        <w:t>marginal drop</w:t>
      </w:r>
      <w:r w:rsidR="009C5B2E">
        <w:t xml:space="preserve"> recorded in financial services </w:t>
      </w:r>
      <w:r w:rsidR="00A453F2">
        <w:t xml:space="preserve">and real estate </w:t>
      </w:r>
      <w:r w:rsidR="00D83935">
        <w:t>sector</w:t>
      </w:r>
      <w:r w:rsidR="00A453F2">
        <w:t>s</w:t>
      </w:r>
      <w:r w:rsidR="00D83935">
        <w:t xml:space="preserve"> </w:t>
      </w:r>
      <w:r w:rsidR="00AE155E" w:rsidRPr="00B93429">
        <w:t>(</w:t>
      </w:r>
      <w:r w:rsidR="001C6F8E">
        <w:fldChar w:fldCharType="begin"/>
      </w:r>
      <w:r w:rsidR="001C6F8E">
        <w:instrText xml:space="preserve"> REF _Ref70923295 \h </w:instrText>
      </w:r>
      <w:r w:rsidR="001C6F8E">
        <w:fldChar w:fldCharType="separate"/>
      </w:r>
      <w:r w:rsidR="001C6F8E">
        <w:t xml:space="preserve">Figure </w:t>
      </w:r>
      <w:r w:rsidR="001C6F8E">
        <w:rPr>
          <w:noProof/>
        </w:rPr>
        <w:t>6</w:t>
      </w:r>
      <w:r w:rsidR="001C6F8E">
        <w:fldChar w:fldCharType="end"/>
      </w:r>
      <w:r w:rsidR="00AE155E" w:rsidRPr="00B93429">
        <w:t xml:space="preserve">). </w:t>
      </w:r>
      <w:r w:rsidR="00CF00B3">
        <w:t>Loans</w:t>
      </w:r>
      <w:r w:rsidR="00AE155E" w:rsidRPr="00B93429">
        <w:t xml:space="preserve"> for “trade financing”</w:t>
      </w:r>
      <w:r w:rsidR="003E75D5">
        <w:t>—</w:t>
      </w:r>
      <w:r w:rsidR="00AE155E" w:rsidRPr="00B93429">
        <w:t>which includes letters of credit for importers and exporters and lending to the retail and wholesale trade sector</w:t>
      </w:r>
      <w:r w:rsidR="003E75D5">
        <w:t>—</w:t>
      </w:r>
      <w:r w:rsidR="00AE155E" w:rsidRPr="00B93429">
        <w:t>and construction were steady</w:t>
      </w:r>
      <w:r w:rsidR="00193361">
        <w:t xml:space="preserve">. </w:t>
      </w:r>
      <w:r w:rsidR="005130B7">
        <w:t xml:space="preserve">Therefore, </w:t>
      </w:r>
      <w:r w:rsidR="00763B09">
        <w:t xml:space="preserve">the </w:t>
      </w:r>
      <w:r w:rsidR="00193361">
        <w:t>expected decline</w:t>
      </w:r>
      <w:r w:rsidR="005130B7">
        <w:t xml:space="preserve"> in</w:t>
      </w:r>
      <w:r w:rsidR="00AE155E" w:rsidRPr="00B93429">
        <w:t xml:space="preserve"> lending to these sectors did not materialize</w:t>
      </w:r>
      <w:r w:rsidR="005130B7">
        <w:t xml:space="preserve"> </w:t>
      </w:r>
      <w:r w:rsidR="00424690">
        <w:t>even with the lockdown/</w:t>
      </w:r>
      <w:r w:rsidR="00AE155E" w:rsidRPr="00B93429">
        <w:t>mobility</w:t>
      </w:r>
      <w:r w:rsidR="0063415B">
        <w:t xml:space="preserve"> restrictions</w:t>
      </w:r>
      <w:r w:rsidR="00AE155E" w:rsidRPr="00B93429">
        <w:t xml:space="preserve">. </w:t>
      </w:r>
    </w:p>
    <w:p w14:paraId="0643F332" w14:textId="54647314" w:rsidR="00816581" w:rsidRDefault="00816581" w:rsidP="00E167EC">
      <w:pPr>
        <w:pStyle w:val="Caption"/>
        <w:spacing w:before="120"/>
        <w:jc w:val="left"/>
      </w:pPr>
      <w:bookmarkStart w:id="22" w:name="_Ref70923295"/>
      <w:bookmarkStart w:id="23" w:name="_Toc71725924"/>
      <w:r>
        <w:t xml:space="preserve">Figure </w:t>
      </w:r>
      <w:fldSimple w:instr=" SEQ Figure \* ARABIC ">
        <w:r w:rsidR="00EF291C">
          <w:rPr>
            <w:noProof/>
          </w:rPr>
          <w:t>6</w:t>
        </w:r>
      </w:fldSimple>
      <w:bookmarkEnd w:id="22"/>
      <w:r>
        <w:t>:</w:t>
      </w:r>
      <w:r w:rsidR="003E75D5">
        <w:t xml:space="preserve"> </w:t>
      </w:r>
      <w:r w:rsidRPr="00AE2B36">
        <w:t>COVID-19 disruptions and restrictions did not greatly interrupt credit to the private sector.</w:t>
      </w:r>
      <w:bookmarkEnd w:id="23"/>
    </w:p>
    <w:p w14:paraId="44148EDB" w14:textId="77777777" w:rsidR="0063415B" w:rsidRDefault="00431390" w:rsidP="008E6ED9">
      <w:pPr>
        <w:spacing w:after="0"/>
      </w:pPr>
      <w:r>
        <w:rPr>
          <w:noProof/>
        </w:rPr>
        <w:drawing>
          <wp:inline distT="0" distB="0" distL="0" distR="0" wp14:anchorId="58E990FF" wp14:editId="526AF70D">
            <wp:extent cx="5776111" cy="3213980"/>
            <wp:effectExtent l="0" t="0" r="0" b="5715"/>
            <wp:docPr id="1" name="Chart 1">
              <a:extLst xmlns:a="http://schemas.openxmlformats.org/drawingml/2006/main">
                <a:ext uri="{FF2B5EF4-FFF2-40B4-BE49-F238E27FC236}">
                  <a16:creationId xmlns:a16="http://schemas.microsoft.com/office/drawing/2014/main" id="{66377740-7FB9-46F9-8812-85D43564D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B93C73" w14:textId="3D078F77" w:rsidR="0063415B" w:rsidRDefault="0063415B" w:rsidP="008E6ED9">
      <w:pPr>
        <w:spacing w:after="120"/>
        <w:rPr>
          <w:rFonts w:cs="Times New Roman"/>
          <w:sz w:val="20"/>
          <w:szCs w:val="20"/>
        </w:rPr>
      </w:pPr>
      <w:r w:rsidRPr="008E6ED9">
        <w:rPr>
          <w:rFonts w:cs="Times New Roman"/>
          <w:sz w:val="20"/>
          <w:szCs w:val="20"/>
        </w:rPr>
        <w:t>Source: Central Bank of Somalia database</w:t>
      </w:r>
    </w:p>
    <w:p w14:paraId="26BAE726" w14:textId="59DA72BD" w:rsidR="00DA4C40" w:rsidRDefault="00AD405E">
      <w:pPr>
        <w:autoSpaceDE w:val="0"/>
        <w:autoSpaceDN w:val="0"/>
        <w:adjustRightInd w:val="0"/>
        <w:spacing w:after="120"/>
        <w:jc w:val="both"/>
        <w:rPr>
          <w:rFonts w:cstheme="minorHAnsi"/>
        </w:rPr>
      </w:pPr>
      <w:r>
        <w:rPr>
          <w:b/>
          <w:bCs/>
        </w:rPr>
        <w:t>T</w:t>
      </w:r>
      <w:r w:rsidR="00995742" w:rsidRPr="00995742">
        <w:rPr>
          <w:b/>
          <w:bCs/>
        </w:rPr>
        <w:t xml:space="preserve">he roll-out of pro-poor programs </w:t>
      </w:r>
      <w:r w:rsidR="007B687C">
        <w:rPr>
          <w:b/>
          <w:bCs/>
        </w:rPr>
        <w:t xml:space="preserve">are providing </w:t>
      </w:r>
      <w:r w:rsidR="00194058">
        <w:rPr>
          <w:b/>
          <w:bCs/>
        </w:rPr>
        <w:t xml:space="preserve">welcome relief to </w:t>
      </w:r>
      <w:r w:rsidR="008950E6">
        <w:rPr>
          <w:b/>
          <w:bCs/>
        </w:rPr>
        <w:t>households and businesses</w:t>
      </w:r>
      <w:r w:rsidR="00995742" w:rsidRPr="00995742">
        <w:rPr>
          <w:b/>
          <w:bCs/>
        </w:rPr>
        <w:t>.</w:t>
      </w:r>
      <w:r w:rsidR="00995742" w:rsidRPr="003B2123">
        <w:t xml:space="preserve"> </w:t>
      </w:r>
      <w:r w:rsidR="007B687C">
        <w:t>The Ministry of Labor and Social Affairs launched t</w:t>
      </w:r>
      <w:r w:rsidR="007B687C" w:rsidRPr="007B687C">
        <w:t>he “</w:t>
      </w:r>
      <w:proofErr w:type="spellStart"/>
      <w:r w:rsidR="007B687C" w:rsidRPr="007B687C">
        <w:t>Baxnaano</w:t>
      </w:r>
      <w:proofErr w:type="spellEnd"/>
      <w:r w:rsidR="007B687C" w:rsidRPr="007B687C">
        <w:t>” program</w:t>
      </w:r>
      <w:r w:rsidR="007B687C">
        <w:t xml:space="preserve"> in April 2020. This</w:t>
      </w:r>
      <w:r w:rsidR="007B687C" w:rsidRPr="007B687C">
        <w:t xml:space="preserve"> </w:t>
      </w:r>
      <w:r w:rsidR="007B687C">
        <w:t>delivers</w:t>
      </w:r>
      <w:r w:rsidR="007B687C" w:rsidRPr="007B687C">
        <w:t xml:space="preserve"> cash transfers to vulnerable households</w:t>
      </w:r>
      <w:r w:rsidR="007B687C">
        <w:t xml:space="preserve"> and </w:t>
      </w:r>
      <w:r w:rsidR="005519FD">
        <w:t>provided a platform</w:t>
      </w:r>
      <w:r w:rsidR="007B687C">
        <w:t xml:space="preserve"> to support households suffering losses caused by locusts and weather shocks.</w:t>
      </w:r>
      <w:r w:rsidR="005519FD">
        <w:t xml:space="preserve"> </w:t>
      </w:r>
      <w:r w:rsidR="000831D2">
        <w:t xml:space="preserve">About </w:t>
      </w:r>
      <w:r w:rsidR="00AD52F6">
        <w:t>1</w:t>
      </w:r>
      <w:r w:rsidR="00BB6B88">
        <w:t>00 thousand households ha</w:t>
      </w:r>
      <w:r w:rsidR="000831D2">
        <w:t>ve</w:t>
      </w:r>
      <w:r w:rsidR="00BB6B88">
        <w:t xml:space="preserve"> benefit</w:t>
      </w:r>
      <w:r w:rsidR="000831D2">
        <w:t>ed</w:t>
      </w:r>
      <w:r w:rsidR="00BB6B88">
        <w:t xml:space="preserve"> under th</w:t>
      </w:r>
      <w:r w:rsidR="00F14BCC">
        <w:t xml:space="preserve">e </w:t>
      </w:r>
      <w:proofErr w:type="spellStart"/>
      <w:r w:rsidR="00F14BCC">
        <w:t>Bax</w:t>
      </w:r>
      <w:r w:rsidR="00EE6909">
        <w:t>n</w:t>
      </w:r>
      <w:r w:rsidR="00F14BCC">
        <w:t>aan</w:t>
      </w:r>
      <w:r w:rsidR="00EE6909">
        <w:t>o</w:t>
      </w:r>
      <w:proofErr w:type="spellEnd"/>
      <w:r w:rsidR="00BB6B88">
        <w:t xml:space="preserve"> program.</w:t>
      </w:r>
      <w:r w:rsidR="007B687C" w:rsidRPr="007B687C">
        <w:t xml:space="preserve"> </w:t>
      </w:r>
      <w:r w:rsidR="007B687C">
        <w:t>T</w:t>
      </w:r>
      <w:r w:rsidR="007B687C" w:rsidRPr="007B687C">
        <w:t xml:space="preserve">he </w:t>
      </w:r>
      <w:proofErr w:type="spellStart"/>
      <w:r w:rsidR="007B687C" w:rsidRPr="007B687C">
        <w:t>Garg</w:t>
      </w:r>
      <w:r w:rsidR="007B687C">
        <w:t>a</w:t>
      </w:r>
      <w:r w:rsidR="007B687C" w:rsidRPr="007B687C">
        <w:t>ara</w:t>
      </w:r>
      <w:proofErr w:type="spellEnd"/>
      <w:r w:rsidR="007B687C">
        <w:t xml:space="preserve"> </w:t>
      </w:r>
      <w:r w:rsidR="005519FD">
        <w:t>Company Limited (</w:t>
      </w:r>
      <w:proofErr w:type="spellStart"/>
      <w:r w:rsidR="005519FD">
        <w:t>Gargaara</w:t>
      </w:r>
      <w:proofErr w:type="spellEnd"/>
      <w:r w:rsidR="005519FD">
        <w:t>),</w:t>
      </w:r>
      <w:r w:rsidR="007B687C" w:rsidRPr="007B687C">
        <w:t xml:space="preserve"> </w:t>
      </w:r>
      <w:r w:rsidR="007B687C">
        <w:t>was established [in 2019] as an apex institution to increase credit to</w:t>
      </w:r>
      <w:r w:rsidR="007B687C" w:rsidRPr="007B687C">
        <w:rPr>
          <w:rFonts w:cstheme="minorHAnsi"/>
        </w:rPr>
        <w:t xml:space="preserve"> </w:t>
      </w:r>
      <w:r w:rsidR="007B687C" w:rsidRPr="00274AC2">
        <w:rPr>
          <w:rFonts w:cstheme="minorHAnsi"/>
        </w:rPr>
        <w:t>micro, small and medium</w:t>
      </w:r>
      <w:r w:rsidR="007B687C">
        <w:rPr>
          <w:rFonts w:cstheme="minorHAnsi"/>
        </w:rPr>
        <w:t>-sized</w:t>
      </w:r>
      <w:r w:rsidR="007B687C" w:rsidRPr="00274AC2">
        <w:rPr>
          <w:rFonts w:cstheme="minorHAnsi"/>
        </w:rPr>
        <w:t xml:space="preserve"> enterprises (MSMEs)</w:t>
      </w:r>
      <w:r w:rsidR="00B946EB">
        <w:rPr>
          <w:rFonts w:cstheme="minorHAnsi"/>
        </w:rPr>
        <w:t>. It expanded</w:t>
      </w:r>
      <w:r w:rsidR="00DB4186" w:rsidRPr="00747B1E">
        <w:rPr>
          <w:rFonts w:cstheme="minorHAnsi"/>
        </w:rPr>
        <w:t xml:space="preserve"> the MSME Financing Facility </w:t>
      </w:r>
      <w:proofErr w:type="gramStart"/>
      <w:r w:rsidR="00DB4186" w:rsidRPr="00747B1E">
        <w:rPr>
          <w:rFonts w:cstheme="minorHAnsi"/>
        </w:rPr>
        <w:t>in light of</w:t>
      </w:r>
      <w:proofErr w:type="gramEnd"/>
      <w:r w:rsidR="00DB4186" w:rsidRPr="00747B1E">
        <w:rPr>
          <w:rFonts w:cstheme="minorHAnsi"/>
        </w:rPr>
        <w:t xml:space="preserve"> COVID-19 concerns, and with the objective of supporting economic relief and recovery </w:t>
      </w:r>
      <w:r w:rsidR="00DB4186" w:rsidRPr="00747B1E">
        <w:rPr>
          <w:rFonts w:cstheme="minorHAnsi"/>
        </w:rPr>
        <w:lastRenderedPageBreak/>
        <w:t>of MSMEs</w:t>
      </w:r>
      <w:r w:rsidR="00D25FF2">
        <w:rPr>
          <w:rFonts w:cstheme="minorHAnsi"/>
        </w:rPr>
        <w:t xml:space="preserve"> by</w:t>
      </w:r>
      <w:r w:rsidR="00DB4186" w:rsidRPr="00747B1E">
        <w:rPr>
          <w:rFonts w:cstheme="minorHAnsi"/>
        </w:rPr>
        <w:t xml:space="preserve"> enhancing liquidity and supporting de-risking</w:t>
      </w:r>
      <w:r w:rsidR="005519FD">
        <w:rPr>
          <w:rFonts w:cstheme="minorHAnsi"/>
        </w:rPr>
        <w:t xml:space="preserve"> in 2020 to </w:t>
      </w:r>
      <w:r w:rsidR="00DA4C40" w:rsidRPr="00995742">
        <w:rPr>
          <w:rFonts w:cstheme="minorHAnsi"/>
        </w:rPr>
        <w:t>mitigate negative effects of COVID</w:t>
      </w:r>
      <w:r w:rsidR="000241DF">
        <w:rPr>
          <w:rFonts w:cstheme="minorHAnsi"/>
        </w:rPr>
        <w:t>-</w:t>
      </w:r>
      <w:r w:rsidR="00DA4C40" w:rsidRPr="00995742">
        <w:rPr>
          <w:rFonts w:cstheme="minorHAnsi"/>
        </w:rPr>
        <w:t>19</w:t>
      </w:r>
      <w:r w:rsidR="000241DF">
        <w:rPr>
          <w:rFonts w:cstheme="minorHAnsi"/>
        </w:rPr>
        <w:t xml:space="preserve"> pandemic</w:t>
      </w:r>
      <w:r w:rsidR="00AD19B9" w:rsidRPr="003B2123">
        <w:t xml:space="preserve">. </w:t>
      </w:r>
      <w:r w:rsidR="00DA4C40" w:rsidRPr="00274AC2">
        <w:rPr>
          <w:rFonts w:cstheme="minorHAnsi"/>
        </w:rPr>
        <w:t xml:space="preserve">As of September 2020, </w:t>
      </w:r>
      <w:proofErr w:type="spellStart"/>
      <w:r w:rsidR="00DA4C40" w:rsidRPr="00274AC2">
        <w:rPr>
          <w:rFonts w:cstheme="minorHAnsi"/>
        </w:rPr>
        <w:t>Gargaara</w:t>
      </w:r>
      <w:proofErr w:type="spellEnd"/>
      <w:r w:rsidR="00DA4C40" w:rsidRPr="00274AC2">
        <w:rPr>
          <w:rFonts w:cstheme="minorHAnsi"/>
        </w:rPr>
        <w:t xml:space="preserve"> had on-boarded three Somali financial institutions to participate </w:t>
      </w:r>
      <w:r w:rsidR="00C16E74">
        <w:rPr>
          <w:rFonts w:cstheme="minorHAnsi"/>
        </w:rPr>
        <w:t>i</w:t>
      </w:r>
      <w:r w:rsidR="00DA4C40" w:rsidRPr="00274AC2">
        <w:rPr>
          <w:rFonts w:cstheme="minorHAnsi"/>
        </w:rPr>
        <w:t>n the US$15 million MSME Financing Facility, with a total US$1.45 million having been disbursed to 76 beneficiaries</w:t>
      </w:r>
      <w:r w:rsidR="00C16E74">
        <w:rPr>
          <w:rFonts w:cstheme="minorHAnsi"/>
        </w:rPr>
        <w:t xml:space="preserve">; a </w:t>
      </w:r>
      <w:r w:rsidR="00DA4C40" w:rsidRPr="00274AC2">
        <w:rPr>
          <w:rFonts w:cstheme="minorHAnsi"/>
        </w:rPr>
        <w:t xml:space="preserve">further US$0.85 million </w:t>
      </w:r>
      <w:r w:rsidR="00C16E74">
        <w:rPr>
          <w:rFonts w:cstheme="minorHAnsi"/>
        </w:rPr>
        <w:t xml:space="preserve">is expected to be disbursed by </w:t>
      </w:r>
      <w:r w:rsidR="006E17CB">
        <w:rPr>
          <w:rFonts w:cstheme="minorHAnsi"/>
        </w:rPr>
        <w:t>2021</w:t>
      </w:r>
      <w:r w:rsidR="00DA4C40" w:rsidRPr="00274AC2">
        <w:rPr>
          <w:rFonts w:cstheme="minorHAnsi"/>
        </w:rPr>
        <w:t>.</w:t>
      </w:r>
    </w:p>
    <w:p w14:paraId="002627AE" w14:textId="7F4DE0E5" w:rsidR="005677AA" w:rsidRPr="008E6ED9" w:rsidRDefault="005677AA" w:rsidP="005677AA">
      <w:pPr>
        <w:pStyle w:val="Heading2"/>
        <w:spacing w:before="120" w:after="120"/>
      </w:pPr>
      <w:bookmarkStart w:id="24" w:name="_Toc71725884"/>
      <w:r w:rsidRPr="008E6ED9">
        <w:t>Inflation has remained low</w:t>
      </w:r>
      <w:bookmarkEnd w:id="24"/>
      <w:r w:rsidRPr="008E6ED9">
        <w:t xml:space="preserve"> </w:t>
      </w:r>
    </w:p>
    <w:p w14:paraId="52CCF7FB" w14:textId="3355CEEB" w:rsidR="005677AA" w:rsidRDefault="005677AA" w:rsidP="00E167EC">
      <w:pPr>
        <w:spacing w:after="120"/>
        <w:jc w:val="both"/>
      </w:pPr>
      <w:r w:rsidRPr="008C30D9">
        <w:rPr>
          <w:b/>
          <w:bCs/>
        </w:rPr>
        <w:t>Inflation remains low</w:t>
      </w:r>
      <w:r>
        <w:t>. Overall inflation in Mogadishu increased from 3.1 percent in 2019 to 4.8 percent in 2020, and further rose to 5.1 percent in March 2021 (</w:t>
      </w:r>
      <w:r w:rsidR="001C6F8E">
        <w:fldChar w:fldCharType="begin"/>
      </w:r>
      <w:r w:rsidR="001C6F8E">
        <w:instrText xml:space="preserve"> REF _Ref70942801 \h </w:instrText>
      </w:r>
      <w:r w:rsidR="001C6F8E">
        <w:fldChar w:fldCharType="separate"/>
      </w:r>
      <w:r w:rsidR="001C6F8E">
        <w:t xml:space="preserve">Figure </w:t>
      </w:r>
      <w:r w:rsidR="001C6F8E">
        <w:rPr>
          <w:noProof/>
        </w:rPr>
        <w:t>7</w:t>
      </w:r>
      <w:r w:rsidR="001C6F8E">
        <w:fldChar w:fldCharType="end"/>
      </w:r>
      <w:r w:rsidR="001C6F8E">
        <w:t>a</w:t>
      </w:r>
      <w:r>
        <w:t xml:space="preserve">). </w:t>
      </w:r>
      <w:r w:rsidR="00086B14">
        <w:t>H</w:t>
      </w:r>
      <w:r>
        <w:t>owever, food price</w:t>
      </w:r>
      <w:r w:rsidR="00086B14">
        <w:t xml:space="preserve"> inflation</w:t>
      </w:r>
      <w:r>
        <w:t xml:space="preserve"> declined</w:t>
      </w:r>
      <w:r w:rsidR="00086B14">
        <w:t xml:space="preserve"> to 1.2 percent in December 2020</w:t>
      </w:r>
      <w:r>
        <w:t xml:space="preserve"> from 3.8 percent in December 2019 and declined further to -0.3 percent in March 2021. </w:t>
      </w:r>
      <w:r w:rsidRPr="008D3FD4">
        <w:rPr>
          <w:color w:val="000000" w:themeColor="text1"/>
        </w:rPr>
        <w:t xml:space="preserve">This is attributable </w:t>
      </w:r>
      <w:r w:rsidR="008D3FD4" w:rsidRPr="008D3FD4">
        <w:rPr>
          <w:color w:val="000000" w:themeColor="text1"/>
        </w:rPr>
        <w:t xml:space="preserve">to increased supplies from </w:t>
      </w:r>
      <w:r w:rsidR="008D3FD4" w:rsidRPr="008D3FD4">
        <w:rPr>
          <w:rFonts w:ascii="Arial" w:hAnsi="Arial" w:cs="Arial"/>
          <w:color w:val="000000" w:themeColor="text1"/>
          <w:sz w:val="20"/>
          <w:szCs w:val="20"/>
          <w:shd w:val="clear" w:color="auto" w:fill="FFFFFF"/>
        </w:rPr>
        <w:t xml:space="preserve">crops </w:t>
      </w:r>
      <w:r w:rsidRPr="008D3FD4">
        <w:rPr>
          <w:color w:val="000000" w:themeColor="text1"/>
        </w:rPr>
        <w:t>harvest</w:t>
      </w:r>
      <w:r w:rsidR="009D2758" w:rsidRPr="008D3FD4">
        <w:rPr>
          <w:color w:val="000000" w:themeColor="text1"/>
        </w:rPr>
        <w:t xml:space="preserve"> from the dyer rains in December</w:t>
      </w:r>
      <w:r w:rsidRPr="008D3FD4">
        <w:rPr>
          <w:color w:val="000000" w:themeColor="text1"/>
        </w:rPr>
        <w:t xml:space="preserve"> 2020 and </w:t>
      </w:r>
      <w:r>
        <w:t>enough food imports to meet domestic demand. The increase in overall inflation is driven by higher</w:t>
      </w:r>
      <w:r w:rsidR="00F05CC5">
        <w:t xml:space="preserve"> prices of</w:t>
      </w:r>
      <w:r>
        <w:t xml:space="preserve"> health </w:t>
      </w:r>
      <w:r w:rsidR="00F557E5">
        <w:t>services</w:t>
      </w:r>
      <w:r>
        <w:t xml:space="preserve"> due to COVID-19 crisis and higher prices of </w:t>
      </w:r>
      <w:r w:rsidR="005519FD">
        <w:t>h</w:t>
      </w:r>
      <w:r>
        <w:t>ousing, water, and electricity and gas</w:t>
      </w:r>
      <w:r w:rsidR="005519FD">
        <w:t>—</w:t>
      </w:r>
      <w:r>
        <w:t>mainly driven by higher costs of international oil prices (</w:t>
      </w:r>
      <w:r w:rsidR="001C6F8E">
        <w:fldChar w:fldCharType="begin"/>
      </w:r>
      <w:r w:rsidR="001C6F8E">
        <w:instrText xml:space="preserve"> REF _Ref70942817 \h </w:instrText>
      </w:r>
      <w:r w:rsidR="001C6F8E">
        <w:fldChar w:fldCharType="separate"/>
      </w:r>
      <w:r w:rsidR="001C6F8E">
        <w:t xml:space="preserve">Figure </w:t>
      </w:r>
      <w:r w:rsidR="001C6F8E">
        <w:rPr>
          <w:noProof/>
        </w:rPr>
        <w:t>8</w:t>
      </w:r>
      <w:r w:rsidR="001C6F8E">
        <w:fldChar w:fldCharType="end"/>
      </w:r>
      <w:r>
        <w:t>).</w:t>
      </w:r>
      <w:r w:rsidR="008B3F45">
        <w:t xml:space="preserve"> De facto dollarization tends to keep overall price inflation at relatively low levels.</w:t>
      </w:r>
    </w:p>
    <w:p w14:paraId="3FFDFAF4" w14:textId="3DC385F0" w:rsidR="005519FD" w:rsidRDefault="005519FD" w:rsidP="00E167EC">
      <w:pPr>
        <w:pStyle w:val="Caption"/>
        <w:spacing w:before="120"/>
        <w:jc w:val="left"/>
      </w:pPr>
      <w:bookmarkStart w:id="25" w:name="_Ref70942801"/>
      <w:bookmarkStart w:id="26" w:name="_Toc71725925"/>
      <w:r>
        <w:t xml:space="preserve">Figure </w:t>
      </w:r>
      <w:fldSimple w:instr=" SEQ Figure \* ARABIC ">
        <w:r w:rsidR="00EF291C">
          <w:rPr>
            <w:noProof/>
          </w:rPr>
          <w:t>7</w:t>
        </w:r>
      </w:fldSimple>
      <w:bookmarkEnd w:id="25"/>
      <w:r>
        <w:t xml:space="preserve">: </w:t>
      </w:r>
      <w:r w:rsidRPr="007A079D">
        <w:t>Inflation has remained low driven by lower food prices</w:t>
      </w:r>
      <w:bookmarkEnd w:id="26"/>
    </w:p>
    <w:p w14:paraId="18980D44" w14:textId="2C70A8C8" w:rsidR="005677AA" w:rsidRDefault="00592F4D" w:rsidP="005519FD">
      <w:pPr>
        <w:pStyle w:val="Figure"/>
      </w:pPr>
      <w:r>
        <w:drawing>
          <wp:inline distT="0" distB="0" distL="0" distR="0" wp14:anchorId="18EB5D9E" wp14:editId="08ECFB15">
            <wp:extent cx="2011680" cy="2170706"/>
            <wp:effectExtent l="0" t="0" r="7620" b="1270"/>
            <wp:docPr id="50" name="Chart 50">
              <a:extLst xmlns:a="http://schemas.openxmlformats.org/drawingml/2006/main">
                <a:ext uri="{FF2B5EF4-FFF2-40B4-BE49-F238E27FC236}">
                  <a16:creationId xmlns:a16="http://schemas.microsoft.com/office/drawing/2014/main" id="{EF061ACA-C085-4457-857F-6747D0C34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drawing>
          <wp:inline distT="0" distB="0" distL="0" distR="0" wp14:anchorId="18FCDB4E" wp14:editId="1C7E0D51">
            <wp:extent cx="1979295" cy="2115047"/>
            <wp:effectExtent l="0" t="0" r="1905" b="0"/>
            <wp:docPr id="51" name="Chart 51">
              <a:extLst xmlns:a="http://schemas.openxmlformats.org/drawingml/2006/main">
                <a:ext uri="{FF2B5EF4-FFF2-40B4-BE49-F238E27FC236}">
                  <a16:creationId xmlns:a16="http://schemas.microsoft.com/office/drawing/2014/main" id="{200CAD2D-0043-4FD7-9C8B-3F5EC7F5F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drawing>
          <wp:inline distT="0" distB="0" distL="0" distR="0" wp14:anchorId="41E87322" wp14:editId="63B174C4">
            <wp:extent cx="1892300" cy="2091193"/>
            <wp:effectExtent l="0" t="0" r="0" b="4445"/>
            <wp:docPr id="52" name="Chart 52">
              <a:extLst xmlns:a="http://schemas.openxmlformats.org/drawingml/2006/main">
                <a:ext uri="{FF2B5EF4-FFF2-40B4-BE49-F238E27FC236}">
                  <a16:creationId xmlns:a16="http://schemas.microsoft.com/office/drawing/2014/main" id="{E85B890A-A218-4F66-AD7E-EF7EA80B7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41AC3E" w14:textId="77777777" w:rsidR="005677AA" w:rsidRPr="008E6ED9" w:rsidRDefault="005677AA" w:rsidP="00D756D2">
      <w:pPr>
        <w:pStyle w:val="Source"/>
      </w:pPr>
      <w:r w:rsidRPr="008E6ED9">
        <w:t>Source: Somalia National Bureau of Statistics, Somaliland Ministry of Planning, Puntland Ministry of Planning.</w:t>
      </w:r>
    </w:p>
    <w:p w14:paraId="28D1906B" w14:textId="1A679885" w:rsidR="005519FD" w:rsidRDefault="005519FD" w:rsidP="00E167EC">
      <w:pPr>
        <w:pStyle w:val="Caption"/>
        <w:spacing w:before="120"/>
        <w:jc w:val="left"/>
      </w:pPr>
      <w:bookmarkStart w:id="27" w:name="_Ref70942817"/>
      <w:bookmarkStart w:id="28" w:name="_Toc71725926"/>
      <w:r>
        <w:t xml:space="preserve">Figure </w:t>
      </w:r>
      <w:fldSimple w:instr=" SEQ Figure \* ARABIC ">
        <w:r w:rsidR="00EF291C">
          <w:rPr>
            <w:noProof/>
          </w:rPr>
          <w:t>8</w:t>
        </w:r>
      </w:fldSimple>
      <w:bookmarkEnd w:id="27"/>
      <w:r>
        <w:t xml:space="preserve">: </w:t>
      </w:r>
      <w:r w:rsidRPr="007B7D70">
        <w:t>Higher oil prices and medical costs are driving increases in prices</w:t>
      </w:r>
      <w:bookmarkEnd w:id="28"/>
    </w:p>
    <w:p w14:paraId="36FF1004" w14:textId="77777777" w:rsidR="005677AA" w:rsidRDefault="005677AA" w:rsidP="005519FD">
      <w:pPr>
        <w:pStyle w:val="Figure"/>
      </w:pPr>
      <w:r>
        <w:drawing>
          <wp:inline distT="0" distB="0" distL="0" distR="0" wp14:anchorId="3221A0C9" wp14:editId="1DE28C5D">
            <wp:extent cx="5822950" cy="2671638"/>
            <wp:effectExtent l="0" t="0" r="6350" b="0"/>
            <wp:docPr id="2" name="Chart 2">
              <a:extLst xmlns:a="http://schemas.openxmlformats.org/drawingml/2006/main">
                <a:ext uri="{FF2B5EF4-FFF2-40B4-BE49-F238E27FC236}">
                  <a16:creationId xmlns:a16="http://schemas.microsoft.com/office/drawing/2014/main" id="{67054A85-657A-4885-A770-2A132249C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163640" w14:textId="77777777" w:rsidR="005677AA" w:rsidRPr="008E6ED9" w:rsidRDefault="005677AA" w:rsidP="00D756D2">
      <w:pPr>
        <w:pStyle w:val="Source"/>
      </w:pPr>
      <w:r w:rsidRPr="008E6ED9">
        <w:t xml:space="preserve">Source: Somalia National Bureau of Statistics </w:t>
      </w:r>
    </w:p>
    <w:p w14:paraId="76539C93" w14:textId="77777777" w:rsidR="00816581" w:rsidRPr="008E6ED9" w:rsidRDefault="00816581" w:rsidP="00816581">
      <w:pPr>
        <w:pStyle w:val="Heading2"/>
        <w:spacing w:before="120" w:after="120"/>
      </w:pPr>
      <w:bookmarkStart w:id="29" w:name="_Toc71725885"/>
      <w:r>
        <w:lastRenderedPageBreak/>
        <w:t>The triple crisis pushed more people into p</w:t>
      </w:r>
      <w:r w:rsidRPr="008E6ED9">
        <w:t>overty</w:t>
      </w:r>
      <w:bookmarkEnd w:id="29"/>
      <w:r w:rsidRPr="008E6ED9">
        <w:t xml:space="preserve"> </w:t>
      </w:r>
    </w:p>
    <w:p w14:paraId="00AABC27" w14:textId="44FAA50A" w:rsidR="00816581" w:rsidRDefault="00816581" w:rsidP="00816581">
      <w:pPr>
        <w:pStyle w:val="Default"/>
        <w:spacing w:after="120"/>
        <w:jc w:val="both"/>
        <w:rPr>
          <w:rFonts w:cstheme="minorHAnsi"/>
          <w:szCs w:val="22"/>
        </w:rPr>
      </w:pPr>
      <w:r>
        <w:rPr>
          <w:rFonts w:cstheme="minorHAnsi"/>
          <w:b/>
          <w:bCs/>
          <w:szCs w:val="22"/>
        </w:rPr>
        <w:t xml:space="preserve">The COVID-19 crisis </w:t>
      </w:r>
      <w:r w:rsidRPr="001854A6">
        <w:rPr>
          <w:rFonts w:cstheme="minorHAnsi"/>
          <w:b/>
          <w:bCs/>
          <w:szCs w:val="22"/>
        </w:rPr>
        <w:t>placed further pressure on joblessness</w:t>
      </w:r>
      <w:r>
        <w:rPr>
          <w:rFonts w:cstheme="minorHAnsi"/>
          <w:b/>
          <w:bCs/>
          <w:szCs w:val="22"/>
        </w:rPr>
        <w:t xml:space="preserve"> </w:t>
      </w:r>
      <w:r w:rsidRPr="001854A6">
        <w:rPr>
          <w:rFonts w:cstheme="minorHAnsi"/>
          <w:b/>
          <w:bCs/>
          <w:szCs w:val="22"/>
        </w:rPr>
        <w:t xml:space="preserve">and poverty. </w:t>
      </w:r>
      <w:r w:rsidRPr="008E6ED9">
        <w:rPr>
          <w:rFonts w:cstheme="minorHAnsi"/>
          <w:szCs w:val="22"/>
        </w:rPr>
        <w:t>It is estimated that 21 percent of Somalis had to stop their work activity following the outbreak of COVID-19</w:t>
      </w:r>
      <w:r w:rsidR="00F87AED">
        <w:rPr>
          <w:rFonts w:cstheme="minorHAnsi"/>
          <w:szCs w:val="22"/>
        </w:rPr>
        <w:t>,</w:t>
      </w:r>
      <w:r w:rsidR="00F87AED" w:rsidRPr="00F87AED">
        <w:rPr>
          <w:rFonts w:cstheme="minorHAnsi"/>
        </w:rPr>
        <w:t xml:space="preserve"> </w:t>
      </w:r>
      <w:r w:rsidR="00F87AED">
        <w:rPr>
          <w:rFonts w:cstheme="minorHAnsi"/>
        </w:rPr>
        <w:t>in a country where only 55 percent of the population is actively engaged in the labor market</w:t>
      </w:r>
      <w:r w:rsidR="00F87AED" w:rsidRPr="00747B1E">
        <w:rPr>
          <w:rFonts w:cstheme="minorHAnsi"/>
        </w:rPr>
        <w:t>.</w:t>
      </w:r>
      <w:r w:rsidRPr="008E6ED9">
        <w:rPr>
          <w:rFonts w:cstheme="minorHAnsi"/>
          <w:szCs w:val="22"/>
        </w:rPr>
        <w:t xml:space="preserve"> </w:t>
      </w:r>
      <w:r w:rsidR="00DA09E2">
        <w:rPr>
          <w:rFonts w:cstheme="minorHAnsi"/>
          <w:szCs w:val="22"/>
        </w:rPr>
        <w:t>In addition</w:t>
      </w:r>
      <w:r w:rsidR="00B20025">
        <w:rPr>
          <w:rFonts w:cstheme="minorHAnsi"/>
          <w:szCs w:val="22"/>
        </w:rPr>
        <w:t xml:space="preserve">, </w:t>
      </w:r>
      <w:r w:rsidRPr="008E6ED9">
        <w:rPr>
          <w:rFonts w:cstheme="minorHAnsi"/>
          <w:szCs w:val="22"/>
        </w:rPr>
        <w:t>78 percent of households reported some reduction in their income from wages.</w:t>
      </w:r>
      <w:r w:rsidR="000C690C">
        <w:rPr>
          <w:rStyle w:val="FootnoteReference"/>
          <w:rFonts w:cstheme="minorHAnsi"/>
          <w:szCs w:val="22"/>
        </w:rPr>
        <w:footnoteReference w:id="13"/>
      </w:r>
      <w:r w:rsidR="00A72913">
        <w:rPr>
          <w:rFonts w:cstheme="minorHAnsi"/>
          <w:szCs w:val="22"/>
        </w:rPr>
        <w:t xml:space="preserve"> </w:t>
      </w:r>
      <w:r w:rsidR="00A72913">
        <w:rPr>
          <w:rFonts w:cstheme="minorHAnsi"/>
        </w:rPr>
        <w:t>In particular, w</w:t>
      </w:r>
      <w:r w:rsidR="00A72913" w:rsidRPr="00747B1E">
        <w:rPr>
          <w:rFonts w:cstheme="minorHAnsi"/>
        </w:rPr>
        <w:t xml:space="preserve">ork activities in the agricultural, energy, and professional services sectors </w:t>
      </w:r>
      <w:r w:rsidR="006B0BE8">
        <w:rPr>
          <w:rFonts w:cstheme="minorHAnsi"/>
        </w:rPr>
        <w:t>were</w:t>
      </w:r>
      <w:r w:rsidR="00A72913" w:rsidRPr="00747B1E">
        <w:rPr>
          <w:rFonts w:cstheme="minorHAnsi"/>
        </w:rPr>
        <w:t xml:space="preserve"> most</w:t>
      </w:r>
      <w:r w:rsidR="006B0BE8">
        <w:rPr>
          <w:rFonts w:cstheme="minorHAnsi"/>
        </w:rPr>
        <w:t>ly</w:t>
      </w:r>
      <w:r w:rsidR="00A72913" w:rsidRPr="00747B1E">
        <w:rPr>
          <w:rFonts w:cstheme="minorHAnsi"/>
        </w:rPr>
        <w:t xml:space="preserve"> disrupted. </w:t>
      </w:r>
      <w:r w:rsidR="00A72913">
        <w:rPr>
          <w:rFonts w:cstheme="minorHAnsi"/>
        </w:rPr>
        <w:t xml:space="preserve">With limited formal job opportunities, more than a third of Somalis </w:t>
      </w:r>
      <w:r w:rsidR="00C16D8E">
        <w:rPr>
          <w:rFonts w:cstheme="minorHAnsi"/>
        </w:rPr>
        <w:t>were</w:t>
      </w:r>
      <w:r w:rsidR="00A72913">
        <w:rPr>
          <w:rFonts w:cstheme="minorHAnsi"/>
        </w:rPr>
        <w:t xml:space="preserve"> engaged in self-employment, which ha</w:t>
      </w:r>
      <w:r w:rsidR="005513DA">
        <w:rPr>
          <w:rFonts w:cstheme="minorHAnsi"/>
        </w:rPr>
        <w:t>d</w:t>
      </w:r>
      <w:r w:rsidR="00A72913">
        <w:rPr>
          <w:rFonts w:cstheme="minorHAnsi"/>
        </w:rPr>
        <w:t xml:space="preserve"> been particularly hard hit, with a</w:t>
      </w:r>
      <w:r w:rsidR="00A72913" w:rsidRPr="00747B1E">
        <w:rPr>
          <w:rFonts w:cstheme="minorHAnsi"/>
        </w:rPr>
        <w:t xml:space="preserve">lmost </w:t>
      </w:r>
      <w:r w:rsidR="00A72913">
        <w:rPr>
          <w:rFonts w:cstheme="minorHAnsi"/>
        </w:rPr>
        <w:t>one in three</w:t>
      </w:r>
      <w:r w:rsidR="00A72913" w:rsidRPr="00747B1E">
        <w:rPr>
          <w:rFonts w:cstheme="minorHAnsi"/>
        </w:rPr>
        <w:t xml:space="preserve"> household</w:t>
      </w:r>
      <w:r w:rsidR="00A72913">
        <w:rPr>
          <w:rFonts w:cstheme="minorHAnsi"/>
        </w:rPr>
        <w:t xml:space="preserve"> enterprises </w:t>
      </w:r>
      <w:r w:rsidR="00A72913" w:rsidRPr="00747B1E">
        <w:rPr>
          <w:rFonts w:cstheme="minorHAnsi"/>
        </w:rPr>
        <w:t xml:space="preserve">not operating in July 2020, and </w:t>
      </w:r>
      <w:r w:rsidR="00A72913">
        <w:rPr>
          <w:rFonts w:cstheme="minorHAnsi"/>
        </w:rPr>
        <w:t xml:space="preserve">revenue generation estimated to have </w:t>
      </w:r>
      <w:r w:rsidR="00A72913" w:rsidRPr="00747B1E">
        <w:rPr>
          <w:rFonts w:cstheme="minorHAnsi"/>
        </w:rPr>
        <w:t xml:space="preserve">almost </w:t>
      </w:r>
      <w:r w:rsidR="00A72913">
        <w:rPr>
          <w:rFonts w:cstheme="minorHAnsi"/>
        </w:rPr>
        <w:t>halved</w:t>
      </w:r>
      <w:r w:rsidR="00A72913" w:rsidRPr="00747B1E">
        <w:rPr>
          <w:rFonts w:cstheme="minorHAnsi"/>
        </w:rPr>
        <w:t xml:space="preserve">. </w:t>
      </w:r>
      <w:r w:rsidR="00A72913">
        <w:rPr>
          <w:rFonts w:cstheme="minorHAnsi"/>
        </w:rPr>
        <w:t xml:space="preserve">With the added shocks of locust’s infestation and floods, </w:t>
      </w:r>
      <w:r w:rsidR="00A72913" w:rsidRPr="00747B1E">
        <w:rPr>
          <w:rFonts w:cstheme="minorHAnsi"/>
        </w:rPr>
        <w:t>25 percent of households involved in farming or livestock activities had not been able to carry out their normal farming activities</w:t>
      </w:r>
      <w:r w:rsidRPr="008E6ED9">
        <w:rPr>
          <w:rFonts w:cstheme="minorHAnsi"/>
          <w:szCs w:val="22"/>
        </w:rPr>
        <w:t xml:space="preserve"> </w:t>
      </w:r>
    </w:p>
    <w:p w14:paraId="3100CFDA" w14:textId="34B961B7" w:rsidR="00816581" w:rsidRDefault="000D7A4A" w:rsidP="001E09E9">
      <w:pPr>
        <w:jc w:val="both"/>
      </w:pPr>
      <w:r>
        <w:rPr>
          <w:rFonts w:cstheme="minorHAnsi"/>
          <w:b/>
          <w:bCs/>
        </w:rPr>
        <w:t>Even though, t</w:t>
      </w:r>
      <w:r w:rsidR="003D0CA1" w:rsidRPr="00747B1E">
        <w:rPr>
          <w:rFonts w:cstheme="minorHAnsi"/>
          <w:b/>
          <w:bCs/>
        </w:rPr>
        <w:t>he disruption from COVID-19 affected household incomes from all sources</w:t>
      </w:r>
      <w:r w:rsidR="003209D7">
        <w:rPr>
          <w:rFonts w:cstheme="minorHAnsi"/>
          <w:b/>
          <w:bCs/>
        </w:rPr>
        <w:t xml:space="preserve">, </w:t>
      </w:r>
      <w:r w:rsidR="00F45ED1">
        <w:rPr>
          <w:rFonts w:cstheme="minorHAnsi"/>
          <w:b/>
          <w:bCs/>
        </w:rPr>
        <w:t>low income house</w:t>
      </w:r>
      <w:r w:rsidR="00683841">
        <w:rPr>
          <w:rFonts w:cstheme="minorHAnsi"/>
          <w:b/>
          <w:bCs/>
        </w:rPr>
        <w:t>holds</w:t>
      </w:r>
      <w:r w:rsidR="002675E6">
        <w:rPr>
          <w:rFonts w:cstheme="minorHAnsi"/>
          <w:b/>
          <w:bCs/>
        </w:rPr>
        <w:t xml:space="preserve"> </w:t>
      </w:r>
      <w:r w:rsidR="0001523E">
        <w:rPr>
          <w:b/>
          <w:bCs/>
        </w:rPr>
        <w:t xml:space="preserve">both </w:t>
      </w:r>
      <w:r w:rsidR="0001523E" w:rsidRPr="00A42175">
        <w:rPr>
          <w:b/>
          <w:bCs/>
        </w:rPr>
        <w:t>experienced crop losses and low income from agricultural employment</w:t>
      </w:r>
      <w:r w:rsidR="003D0CA1" w:rsidRPr="00747B1E">
        <w:rPr>
          <w:rFonts w:cstheme="minorHAnsi"/>
        </w:rPr>
        <w:t xml:space="preserve">. 78 percent of households reported some reduction in their income from wages. </w:t>
      </w:r>
      <w:r w:rsidR="003D0CA1">
        <w:rPr>
          <w:rFonts w:cstheme="minorHAnsi"/>
        </w:rPr>
        <w:t xml:space="preserve">Households also reported a decline in remittances in July 2020, although there has been some improvement in the receipt of remittance flows through official channel following accelerated financial sector reforms. </w:t>
      </w:r>
      <w:r w:rsidR="00816581" w:rsidRPr="001E09E9">
        <w:t>Low</w:t>
      </w:r>
      <w:r w:rsidR="00086B14" w:rsidRPr="001E09E9">
        <w:t>-</w:t>
      </w:r>
      <w:r w:rsidR="00816581" w:rsidRPr="001E09E9">
        <w:t>income households</w:t>
      </w:r>
      <w:r w:rsidR="008D49C2">
        <w:t xml:space="preserve"> </w:t>
      </w:r>
      <w:r w:rsidR="00B816BC" w:rsidRPr="001E09E9">
        <w:t xml:space="preserve">both </w:t>
      </w:r>
      <w:r w:rsidR="00816581" w:rsidRPr="001E09E9">
        <w:t>experienced crop losses and low income from agricultural employment.</w:t>
      </w:r>
      <w:r w:rsidR="00816581" w:rsidRPr="00A42175">
        <w:t xml:space="preserve"> With few alternative food and income sources, poor households with limited saleable animals faced moderate to large food consumption gaps in 2020</w:t>
      </w:r>
      <w:r w:rsidR="00816581">
        <w:t xml:space="preserve"> and this is expected to persist</w:t>
      </w:r>
      <w:r w:rsidR="00816581" w:rsidRPr="00A42175">
        <w:t xml:space="preserve"> through mid-2021. </w:t>
      </w:r>
      <w:r w:rsidR="00816581">
        <w:t>E</w:t>
      </w:r>
      <w:r w:rsidR="00816581" w:rsidRPr="00A42175">
        <w:t xml:space="preserve">rratic and poor rainfall, </w:t>
      </w:r>
      <w:r w:rsidR="00816581">
        <w:t>d</w:t>
      </w:r>
      <w:r w:rsidR="00816581" w:rsidRPr="00A42175">
        <w:t xml:space="preserve">esert </w:t>
      </w:r>
      <w:r w:rsidR="00816581">
        <w:t>l</w:t>
      </w:r>
      <w:r w:rsidR="00816581" w:rsidRPr="00A42175">
        <w:t>ocust</w:t>
      </w:r>
      <w:r w:rsidR="00816581">
        <w:t>s</w:t>
      </w:r>
      <w:r w:rsidR="00816581" w:rsidRPr="00A42175">
        <w:t xml:space="preserve"> and stalk borer infestations, and conflict</w:t>
      </w:r>
      <w:r w:rsidR="00816581">
        <w:t xml:space="preserve"> led to </w:t>
      </w:r>
      <w:r w:rsidR="00816581" w:rsidRPr="00A42175">
        <w:t xml:space="preserve">crop losses and low income from agricultural employment. In riverine livelihood zones along the Shabelle and Juba rivers, recurrent floods destroyed farmland and crops and displaced local populations, leading to significant crop </w:t>
      </w:r>
      <w:r w:rsidR="00816581">
        <w:t xml:space="preserve">and income </w:t>
      </w:r>
      <w:r w:rsidR="00816581" w:rsidRPr="00A42175">
        <w:t xml:space="preserve">losses. </w:t>
      </w:r>
      <w:r w:rsidR="00816581">
        <w:t>R</w:t>
      </w:r>
      <w:r w:rsidR="00816581" w:rsidRPr="00A42175">
        <w:t xml:space="preserve">ural livelihood activities have also </w:t>
      </w:r>
      <w:r w:rsidR="00816581">
        <w:t xml:space="preserve">been affected with increased </w:t>
      </w:r>
      <w:r w:rsidR="00816581" w:rsidRPr="00A42175">
        <w:t xml:space="preserve">food </w:t>
      </w:r>
      <w:r w:rsidR="00816581">
        <w:t>in</w:t>
      </w:r>
      <w:r w:rsidR="00816581" w:rsidRPr="00A42175">
        <w:t>security among</w:t>
      </w:r>
      <w:r w:rsidR="00816581">
        <w:t xml:space="preserve"> the rural population and</w:t>
      </w:r>
      <w:r w:rsidR="003E75D5">
        <w:t xml:space="preserve"> </w:t>
      </w:r>
      <w:r w:rsidR="00086B14">
        <w:t>i</w:t>
      </w:r>
      <w:r w:rsidR="00816581" w:rsidRPr="00A42175">
        <w:t xml:space="preserve">nternally </w:t>
      </w:r>
      <w:r w:rsidR="00086B14">
        <w:t>d</w:t>
      </w:r>
      <w:r w:rsidR="00816581" w:rsidRPr="00A42175">
        <w:t xml:space="preserve">isplaced </w:t>
      </w:r>
      <w:r w:rsidR="00086B14">
        <w:t>p</w:t>
      </w:r>
      <w:r w:rsidR="00816581" w:rsidRPr="00A42175">
        <w:t>ersons (IDPs)</w:t>
      </w:r>
      <w:r w:rsidR="00816581">
        <w:t xml:space="preserve">, </w:t>
      </w:r>
      <w:r w:rsidR="00816581" w:rsidRPr="00A42175">
        <w:t xml:space="preserve">while </w:t>
      </w:r>
      <w:r w:rsidR="00816581">
        <w:t xml:space="preserve">the </w:t>
      </w:r>
      <w:r w:rsidR="00816581" w:rsidRPr="00A42175">
        <w:t xml:space="preserve">urban poor </w:t>
      </w:r>
      <w:r w:rsidR="00816581">
        <w:t>faced</w:t>
      </w:r>
      <w:r w:rsidR="00816581" w:rsidRPr="00A42175">
        <w:t xml:space="preserve"> limited livelihood assets, few income-earning opportunities, and high reliance on external humanitarian assistance. In addition, some of the urban poor across Somalia also continued to face moderate to large food consumption gaps partly due to the continued decline in external remittances and a slowdown in economic activities in urban areas related to the impacts of the COVID-19 pandemic.</w:t>
      </w:r>
    </w:p>
    <w:p w14:paraId="797630C8" w14:textId="462C11CE" w:rsidR="000C5F6B" w:rsidRDefault="000C5F6B" w:rsidP="001E09E9">
      <w:pPr>
        <w:pStyle w:val="ListParagraph"/>
        <w:widowControl w:val="0"/>
        <w:autoSpaceDE w:val="0"/>
        <w:autoSpaceDN w:val="0"/>
        <w:adjustRightInd w:val="0"/>
        <w:spacing w:after="120" w:line="240" w:lineRule="auto"/>
        <w:ind w:left="0"/>
        <w:contextualSpacing w:val="0"/>
        <w:jc w:val="both"/>
        <w:rPr>
          <w:rFonts w:cstheme="minorHAnsi"/>
        </w:rPr>
      </w:pPr>
      <w:r w:rsidRPr="00747B1E">
        <w:rPr>
          <w:rFonts w:cstheme="minorHAnsi"/>
          <w:b/>
          <w:bCs/>
        </w:rPr>
        <w:t>COVID-19 has exacerbated food insecurity</w:t>
      </w:r>
      <w:r w:rsidR="008C0174">
        <w:rPr>
          <w:rFonts w:cstheme="minorHAnsi"/>
          <w:b/>
          <w:bCs/>
        </w:rPr>
        <w:t xml:space="preserve"> while sc</w:t>
      </w:r>
      <w:r w:rsidR="00BB3D2D">
        <w:rPr>
          <w:rFonts w:cstheme="minorHAnsi"/>
          <w:b/>
          <w:bCs/>
        </w:rPr>
        <w:t>hool closures affected human capital</w:t>
      </w:r>
      <w:r w:rsidRPr="00747B1E">
        <w:rPr>
          <w:rFonts w:cstheme="minorHAnsi"/>
        </w:rPr>
        <w:t>: 32 percent of households reported having an adult not having eaten for an entire day. The hunger was even more prevalent among nomads (42 percent) and rural households (37 percent).</w:t>
      </w:r>
      <w:r>
        <w:rPr>
          <w:rFonts w:cstheme="minorHAnsi"/>
        </w:rPr>
        <w:t xml:space="preserve"> Food insecurity is expected to remain high through May 2021 </w:t>
      </w:r>
      <w:r w:rsidRPr="006B3F3F">
        <w:rPr>
          <w:rFonts w:cstheme="minorHAnsi"/>
        </w:rPr>
        <w:t xml:space="preserve">due to localized floods, below average </w:t>
      </w:r>
      <w:proofErr w:type="gramStart"/>
      <w:r w:rsidRPr="006B3F3F">
        <w:rPr>
          <w:rFonts w:cstheme="minorHAnsi"/>
        </w:rPr>
        <w:t>rainfall</w:t>
      </w:r>
      <w:proofErr w:type="gramEnd"/>
      <w:r w:rsidRPr="006B3F3F">
        <w:rPr>
          <w:rFonts w:cstheme="minorHAnsi"/>
        </w:rPr>
        <w:t xml:space="preserve"> and a worsening desert locust infestation.</w:t>
      </w:r>
      <w:r w:rsidR="007432BA">
        <w:rPr>
          <w:rFonts w:cstheme="minorHAnsi"/>
        </w:rPr>
        <w:t xml:space="preserve"> </w:t>
      </w:r>
      <w:r w:rsidRPr="001E09E9">
        <w:rPr>
          <w:rFonts w:cstheme="minorHAnsi"/>
        </w:rPr>
        <w:t>Human capital</w:t>
      </w:r>
      <w:r w:rsidRPr="00747B1E">
        <w:rPr>
          <w:rFonts w:cstheme="minorHAnsi"/>
        </w:rPr>
        <w:t xml:space="preserve"> has been affected especially by school closures. On March 18, 2020, the Government of Somalia announced the closure of all primary and secondary schools to curb the spread of the COVID-19 virus. During school closures, only 36 percent had students engaged in alternative learning activities.</w:t>
      </w:r>
    </w:p>
    <w:p w14:paraId="2E99EDCC" w14:textId="7446B14F" w:rsidR="00E40526" w:rsidRDefault="00E40526" w:rsidP="00D67822">
      <w:pPr>
        <w:jc w:val="both"/>
      </w:pPr>
      <w:r>
        <w:rPr>
          <w:b/>
          <w:bCs/>
        </w:rPr>
        <w:t>At the household l</w:t>
      </w:r>
      <w:r w:rsidR="003D00AF">
        <w:rPr>
          <w:b/>
          <w:bCs/>
        </w:rPr>
        <w:t xml:space="preserve">evel, </w:t>
      </w:r>
      <w:r w:rsidR="00CC4139">
        <w:rPr>
          <w:b/>
          <w:bCs/>
        </w:rPr>
        <w:t>t</w:t>
      </w:r>
      <w:r w:rsidRPr="001520CD">
        <w:rPr>
          <w:b/>
          <w:bCs/>
        </w:rPr>
        <w:t>he COVID-19 outbreak adversely affect</w:t>
      </w:r>
      <w:r w:rsidR="005B5774">
        <w:rPr>
          <w:b/>
          <w:bCs/>
        </w:rPr>
        <w:t>ed</w:t>
      </w:r>
      <w:r w:rsidRPr="001520CD">
        <w:rPr>
          <w:b/>
          <w:bCs/>
        </w:rPr>
        <w:t xml:space="preserve"> remittance flows, reducing income for Somali households.</w:t>
      </w:r>
      <w:r w:rsidRPr="00990028">
        <w:t xml:space="preserve"> </w:t>
      </w:r>
      <w:r>
        <w:t xml:space="preserve">Between March and July 2020, </w:t>
      </w:r>
      <w:r w:rsidRPr="00990028">
        <w:t>the frequency of remittances and amount received decreased for 49</w:t>
      </w:r>
      <w:r w:rsidR="00194947">
        <w:t xml:space="preserve"> percent</w:t>
      </w:r>
      <w:r w:rsidRPr="00990028">
        <w:t xml:space="preserve"> and 36</w:t>
      </w:r>
      <w:r w:rsidR="00843707">
        <w:t xml:space="preserve"> percent</w:t>
      </w:r>
      <w:r w:rsidRPr="00990028">
        <w:t xml:space="preserve"> of </w:t>
      </w:r>
      <w:r>
        <w:t>the population</w:t>
      </w:r>
      <w:r w:rsidRPr="00990028">
        <w:t>, respectively</w:t>
      </w:r>
      <w:r w:rsidR="0039445C">
        <w:t xml:space="preserve"> (see </w:t>
      </w:r>
      <w:r w:rsidR="00EF291C">
        <w:fldChar w:fldCharType="begin"/>
      </w:r>
      <w:r w:rsidR="00EF291C">
        <w:instrText xml:space="preserve"> REF _Ref71723036 \h </w:instrText>
      </w:r>
      <w:r w:rsidR="00EF291C">
        <w:fldChar w:fldCharType="separate"/>
      </w:r>
      <w:r w:rsidR="00EF291C">
        <w:t xml:space="preserve">Figure </w:t>
      </w:r>
      <w:r w:rsidR="00EF291C">
        <w:rPr>
          <w:noProof/>
        </w:rPr>
        <w:t>9</w:t>
      </w:r>
      <w:r w:rsidR="00EF291C">
        <w:fldChar w:fldCharType="end"/>
      </w:r>
      <w:r w:rsidR="0039445C">
        <w:t>)</w:t>
      </w:r>
      <w:r w:rsidRPr="00990028">
        <w:t xml:space="preserve">. </w:t>
      </w:r>
      <w:r>
        <w:t xml:space="preserve">Remittance flows decreased further between July 2020 and January 2021 as the frequency and the amount of remittances declined </w:t>
      </w:r>
      <w:r w:rsidRPr="00990028">
        <w:t xml:space="preserve">for </w:t>
      </w:r>
      <w:r>
        <w:t>6</w:t>
      </w:r>
      <w:r w:rsidRPr="00990028">
        <w:t>9</w:t>
      </w:r>
      <w:r w:rsidR="005B6994">
        <w:t xml:space="preserve"> percent</w:t>
      </w:r>
      <w:r w:rsidRPr="00990028">
        <w:t xml:space="preserve"> and 6</w:t>
      </w:r>
      <w:r>
        <w:t>7</w:t>
      </w:r>
      <w:r w:rsidR="00EE54DC">
        <w:t xml:space="preserve"> percent</w:t>
      </w:r>
      <w:r w:rsidRPr="00990028">
        <w:t xml:space="preserve"> of </w:t>
      </w:r>
      <w:r>
        <w:t xml:space="preserve">the population, </w:t>
      </w:r>
      <w:r w:rsidRPr="00990028">
        <w:t>respectively</w:t>
      </w:r>
      <w:r>
        <w:t>. The 31</w:t>
      </w:r>
      <w:r w:rsidR="00EE54DC">
        <w:t xml:space="preserve"> percent</w:t>
      </w:r>
      <w:r>
        <w:t xml:space="preserve"> decrease in the amount of remittances received from abroad between Wave 1 and Wave 2 reflects the adverse effect of the COVID-19 outbreak on </w:t>
      </w:r>
      <w:r w:rsidRPr="00990028">
        <w:t xml:space="preserve">many economies around the world </w:t>
      </w:r>
      <w:r>
        <w:t>and the financial capabilities</w:t>
      </w:r>
      <w:r w:rsidRPr="00990028">
        <w:t xml:space="preserve"> </w:t>
      </w:r>
      <w:r>
        <w:t>of</w:t>
      </w:r>
      <w:r w:rsidRPr="00990028">
        <w:t xml:space="preserve"> the Somali </w:t>
      </w:r>
      <w:r w:rsidRPr="00990028">
        <w:lastRenderedPageBreak/>
        <w:t>diaspora</w:t>
      </w:r>
      <w:r>
        <w:t xml:space="preserve">. </w:t>
      </w:r>
      <w:r w:rsidR="001C1CA7" w:rsidRPr="00D67822">
        <w:t>The largest proportion of Somali households reported a decline in income from all listed key sources in both waves of the survey with the income reduction being more prominent in Wave 2 (84</w:t>
      </w:r>
      <w:r w:rsidR="00EE54DC">
        <w:t xml:space="preserve"> percent</w:t>
      </w:r>
      <w:r w:rsidR="001C1CA7" w:rsidRPr="00D67822">
        <w:t>) than in Wave 1 (80</w:t>
      </w:r>
      <w:r w:rsidR="00EE54DC">
        <w:t xml:space="preserve"> percent</w:t>
      </w:r>
      <w:r w:rsidR="001C1CA7" w:rsidRPr="00D67822">
        <w:t>)</w:t>
      </w:r>
      <w:r w:rsidR="001C1CA7" w:rsidRPr="001C1CA7">
        <w:t>.</w:t>
      </w:r>
      <w:r w:rsidR="001C1CA7">
        <w:t xml:space="preserve"> The reduction in income is most pronounced in moneys received in the form of pension (99</w:t>
      </w:r>
      <w:r w:rsidR="00EE54DC">
        <w:t xml:space="preserve"> percent</w:t>
      </w:r>
      <w:r w:rsidR="001C1CA7">
        <w:t xml:space="preserve"> vs. 31</w:t>
      </w:r>
      <w:r w:rsidR="00136BF2">
        <w:t xml:space="preserve"> percent</w:t>
      </w:r>
      <w:r w:rsidR="001C1CA7">
        <w:t>), government assistance (82</w:t>
      </w:r>
      <w:r w:rsidR="00136BF2">
        <w:t xml:space="preserve"> percent</w:t>
      </w:r>
      <w:r w:rsidR="001C1CA7">
        <w:t xml:space="preserve"> vs. 38</w:t>
      </w:r>
      <w:r w:rsidR="00136BF2">
        <w:t>percent</w:t>
      </w:r>
      <w:r w:rsidR="001C1CA7">
        <w:t>), NGO assistance (85</w:t>
      </w:r>
      <w:r w:rsidR="00136BF2">
        <w:t xml:space="preserve"> percent</w:t>
      </w:r>
      <w:r w:rsidR="001C1CA7">
        <w:t xml:space="preserve"> vs. 56</w:t>
      </w:r>
      <w:r w:rsidR="00136BF2">
        <w:t xml:space="preserve"> percent</w:t>
      </w:r>
      <w:r w:rsidR="001C1CA7">
        <w:t>), and family assistance (76</w:t>
      </w:r>
      <w:r w:rsidR="00136BF2">
        <w:t xml:space="preserve"> percent</w:t>
      </w:r>
      <w:r w:rsidR="001C1CA7">
        <w:t xml:space="preserve"> vs. 58</w:t>
      </w:r>
      <w:r w:rsidR="00136BF2">
        <w:t xml:space="preserve"> percent</w:t>
      </w:r>
      <w:r w:rsidR="001C1CA7">
        <w:t>) in Wave 2 than in Wave 1.</w:t>
      </w:r>
    </w:p>
    <w:p w14:paraId="096F61E2" w14:textId="0BEF93C4" w:rsidR="00194947" w:rsidRDefault="00EF291C" w:rsidP="00EF291C">
      <w:pPr>
        <w:pStyle w:val="Caption"/>
      </w:pPr>
      <w:bookmarkStart w:id="30" w:name="_Ref71723036"/>
      <w:bookmarkStart w:id="31" w:name="_Toc71725927"/>
      <w:bookmarkStart w:id="32" w:name="_Toc66796480"/>
      <w:r>
        <w:t xml:space="preserve">Figure </w:t>
      </w:r>
      <w:fldSimple w:instr=" SEQ Figure \* ARABIC ">
        <w:r>
          <w:rPr>
            <w:noProof/>
          </w:rPr>
          <w:t>9</w:t>
        </w:r>
      </w:fldSimple>
      <w:bookmarkEnd w:id="30"/>
      <w:r>
        <w:t>a</w:t>
      </w:r>
      <w:r w:rsidR="00194947">
        <w:t>: Share of Somalis reporting c</w:t>
      </w:r>
      <w:r w:rsidR="00194947" w:rsidRPr="008107DD">
        <w:t xml:space="preserve">hange in </w:t>
      </w:r>
      <w:r w:rsidR="00194947">
        <w:t>f</w:t>
      </w:r>
      <w:r w:rsidR="00194947" w:rsidRPr="008107DD">
        <w:t xml:space="preserve">requency and </w:t>
      </w:r>
      <w:r w:rsidR="00194947">
        <w:t>a</w:t>
      </w:r>
      <w:r w:rsidR="00194947" w:rsidRPr="008107DD">
        <w:t>mount</w:t>
      </w:r>
      <w:r w:rsidR="00194947">
        <w:t>s</w:t>
      </w:r>
      <w:r w:rsidR="00194947" w:rsidRPr="008107DD">
        <w:t xml:space="preserve"> of </w:t>
      </w:r>
      <w:r w:rsidR="00194947">
        <w:t>r</w:t>
      </w:r>
      <w:r w:rsidR="00194947" w:rsidRPr="008107DD">
        <w:t xml:space="preserve">emittances </w:t>
      </w:r>
      <w:r w:rsidR="00194947">
        <w:t>r</w:t>
      </w:r>
      <w:r w:rsidR="00194947" w:rsidRPr="008107DD">
        <w:t>eceived</w:t>
      </w:r>
      <w:bookmarkEnd w:id="31"/>
    </w:p>
    <w:p w14:paraId="110AD091" w14:textId="77777777" w:rsidR="00194947" w:rsidRDefault="00194947" w:rsidP="00680732">
      <w:pPr>
        <w:spacing w:after="0"/>
        <w:jc w:val="center"/>
      </w:pPr>
      <w:r>
        <w:rPr>
          <w:noProof/>
        </w:rPr>
        <w:drawing>
          <wp:inline distT="0" distB="0" distL="0" distR="0" wp14:anchorId="0F695CDF" wp14:editId="1EA78132">
            <wp:extent cx="5889625" cy="2753832"/>
            <wp:effectExtent l="0" t="0" r="0" b="8890"/>
            <wp:docPr id="8" name="Chart 8">
              <a:extLst xmlns:a="http://schemas.openxmlformats.org/drawingml/2006/main">
                <a:ext uri="{FF2B5EF4-FFF2-40B4-BE49-F238E27FC236}">
                  <a16:creationId xmlns:a16="http://schemas.microsoft.com/office/drawing/2014/main" id="{5774F3A6-4842-4308-98C3-38D43317C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F00202" w14:textId="123DB7B7" w:rsidR="00194947" w:rsidRDefault="00953C81" w:rsidP="00680732">
      <w:pPr>
        <w:pStyle w:val="Caption"/>
        <w:spacing w:before="120"/>
      </w:pPr>
      <w:r>
        <w:t>Figure 9</w:t>
      </w:r>
      <w:r w:rsidR="00EF291C">
        <w:t>b</w:t>
      </w:r>
      <w:r w:rsidR="00194947">
        <w:t xml:space="preserve">: </w:t>
      </w:r>
      <w:r w:rsidR="00194947" w:rsidRPr="00327312">
        <w:t xml:space="preserve">Share of </w:t>
      </w:r>
      <w:r w:rsidR="00194947">
        <w:t>Somalis</w:t>
      </w:r>
      <w:r w:rsidR="00194947" w:rsidRPr="00327312">
        <w:t xml:space="preserve"> </w:t>
      </w:r>
      <w:r w:rsidR="00194947">
        <w:t>that have experienced a</w:t>
      </w:r>
      <w:r w:rsidR="00194947" w:rsidRPr="00327312">
        <w:t xml:space="preserve"> </w:t>
      </w:r>
      <w:r w:rsidR="00194947">
        <w:t>r</w:t>
      </w:r>
      <w:r w:rsidR="00194947" w:rsidRPr="00327312">
        <w:t xml:space="preserve">eduction of </w:t>
      </w:r>
      <w:r w:rsidR="00194947">
        <w:t>i</w:t>
      </w:r>
      <w:r w:rsidR="00194947" w:rsidRPr="00327312">
        <w:t xml:space="preserve">ncome (by </w:t>
      </w:r>
      <w:r w:rsidR="00194947">
        <w:t>i</w:t>
      </w:r>
      <w:r w:rsidR="00194947" w:rsidRPr="00327312">
        <w:t xml:space="preserve">ncome </w:t>
      </w:r>
      <w:r w:rsidR="00194947">
        <w:t>s</w:t>
      </w:r>
      <w:r w:rsidR="00194947" w:rsidRPr="00327312">
        <w:t>ource)</w:t>
      </w:r>
    </w:p>
    <w:p w14:paraId="2089F92F" w14:textId="77777777" w:rsidR="00194947" w:rsidRPr="00181EB6" w:rsidRDefault="00194947" w:rsidP="00194947">
      <w:pPr>
        <w:spacing w:after="0"/>
        <w:jc w:val="center"/>
      </w:pPr>
      <w:r>
        <w:rPr>
          <w:noProof/>
        </w:rPr>
        <w:drawing>
          <wp:inline distT="0" distB="0" distL="0" distR="0" wp14:anchorId="5C9D30B0" wp14:editId="118D8735">
            <wp:extent cx="5922010" cy="3381154"/>
            <wp:effectExtent l="0" t="0" r="2540" b="10160"/>
            <wp:docPr id="10" name="Chart 10">
              <a:extLst xmlns:a="http://schemas.openxmlformats.org/drawingml/2006/main">
                <a:ext uri="{FF2B5EF4-FFF2-40B4-BE49-F238E27FC236}">
                  <a16:creationId xmlns:a16="http://schemas.microsoft.com/office/drawing/2014/main" id="{6AF94956-57BE-4E09-929D-E834E7C49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2931D3" w14:textId="77777777" w:rsidR="00194947" w:rsidRPr="00747B1E" w:rsidRDefault="00194947" w:rsidP="00194947">
      <w:pPr>
        <w:pStyle w:val="ListParagraph"/>
        <w:widowControl w:val="0"/>
        <w:autoSpaceDE w:val="0"/>
        <w:autoSpaceDN w:val="0"/>
        <w:adjustRightInd w:val="0"/>
        <w:spacing w:after="0" w:line="240" w:lineRule="auto"/>
        <w:ind w:left="0"/>
        <w:contextualSpacing w:val="0"/>
        <w:jc w:val="both"/>
        <w:rPr>
          <w:rFonts w:cstheme="minorHAnsi"/>
        </w:rPr>
      </w:pPr>
      <w:r>
        <w:rPr>
          <w:rFonts w:cstheme="minorHAnsi"/>
        </w:rPr>
        <w:t xml:space="preserve">Source: </w:t>
      </w:r>
      <w:r w:rsidRPr="00EC6B20">
        <w:rPr>
          <w:rFonts w:cstheme="minorHAnsi"/>
        </w:rPr>
        <w:t>Somali High Frequency Phone Survey (SHFPS), January 2021</w:t>
      </w:r>
    </w:p>
    <w:bookmarkEnd w:id="32"/>
    <w:p w14:paraId="23B3EFCB" w14:textId="7D88BB7D" w:rsidR="00DA0141" w:rsidRPr="00747B1E" w:rsidRDefault="00136BF2" w:rsidP="001E09E9">
      <w:pPr>
        <w:pStyle w:val="ListParagraph"/>
        <w:widowControl w:val="0"/>
        <w:autoSpaceDE w:val="0"/>
        <w:autoSpaceDN w:val="0"/>
        <w:adjustRightInd w:val="0"/>
        <w:spacing w:after="120" w:line="240" w:lineRule="auto"/>
        <w:ind w:left="0"/>
        <w:contextualSpacing w:val="0"/>
        <w:jc w:val="both"/>
        <w:rPr>
          <w:rFonts w:cstheme="minorHAnsi"/>
        </w:rPr>
      </w:pPr>
      <w:r>
        <w:rPr>
          <w:rFonts w:cstheme="minorHAnsi"/>
        </w:rPr>
        <w:t xml:space="preserve">Notes: </w:t>
      </w:r>
      <w:r w:rsidR="00E77C55">
        <w:rPr>
          <w:rFonts w:cstheme="minorHAnsi"/>
        </w:rPr>
        <w:t>Wave 1 was co</w:t>
      </w:r>
      <w:r w:rsidR="009C0671">
        <w:rPr>
          <w:rFonts w:cstheme="minorHAnsi"/>
        </w:rPr>
        <w:t>nducted</w:t>
      </w:r>
      <w:r w:rsidR="00E77C55">
        <w:rPr>
          <w:rFonts w:cstheme="minorHAnsi"/>
        </w:rPr>
        <w:t xml:space="preserve"> </w:t>
      </w:r>
      <w:r w:rsidR="009C0671">
        <w:rPr>
          <w:rFonts w:cstheme="minorHAnsi"/>
        </w:rPr>
        <w:t>in</w:t>
      </w:r>
      <w:r w:rsidR="00051B82">
        <w:rPr>
          <w:rFonts w:cstheme="minorHAnsi"/>
        </w:rPr>
        <w:t xml:space="preserve"> June</w:t>
      </w:r>
      <w:r w:rsidR="009C0671">
        <w:rPr>
          <w:rFonts w:cstheme="minorHAnsi"/>
        </w:rPr>
        <w:t xml:space="preserve"> - </w:t>
      </w:r>
      <w:r w:rsidR="00051B82">
        <w:rPr>
          <w:rFonts w:cstheme="minorHAnsi"/>
        </w:rPr>
        <w:t xml:space="preserve">July 2020 while Wave 2 was </w:t>
      </w:r>
      <w:r w:rsidR="009C0671">
        <w:rPr>
          <w:rFonts w:cstheme="minorHAnsi"/>
        </w:rPr>
        <w:t>conducted</w:t>
      </w:r>
      <w:r w:rsidR="00051B82">
        <w:rPr>
          <w:rFonts w:cstheme="minorHAnsi"/>
        </w:rPr>
        <w:t xml:space="preserve"> </w:t>
      </w:r>
      <w:r w:rsidR="009C0671">
        <w:rPr>
          <w:rFonts w:cstheme="minorHAnsi"/>
        </w:rPr>
        <w:t>in January – February 2021</w:t>
      </w:r>
    </w:p>
    <w:p w14:paraId="45E4D92D" w14:textId="39B9DB67" w:rsidR="00816581" w:rsidRPr="008E6ED9" w:rsidRDefault="00816581" w:rsidP="00816581">
      <w:pPr>
        <w:pStyle w:val="Heading2"/>
        <w:spacing w:before="120" w:after="120"/>
      </w:pPr>
      <w:bookmarkStart w:id="33" w:name="_Toc71725886"/>
      <w:r w:rsidRPr="008E6ED9">
        <w:lastRenderedPageBreak/>
        <w:t xml:space="preserve">Reforms in the </w:t>
      </w:r>
      <w:r>
        <w:t>f</w:t>
      </w:r>
      <w:r w:rsidRPr="008E6ED9">
        <w:t xml:space="preserve">inancial </w:t>
      </w:r>
      <w:r>
        <w:t>s</w:t>
      </w:r>
      <w:r w:rsidRPr="008E6ED9">
        <w:t>ector</w:t>
      </w:r>
      <w:r w:rsidR="000C690C">
        <w:t xml:space="preserve"> are</w:t>
      </w:r>
      <w:r w:rsidRPr="008E6ED9">
        <w:t xml:space="preserve"> yielding results</w:t>
      </w:r>
      <w:bookmarkEnd w:id="33"/>
      <w:r w:rsidRPr="008E6ED9">
        <w:t xml:space="preserve"> </w:t>
      </w:r>
    </w:p>
    <w:p w14:paraId="0D7399C7" w14:textId="7C22C6E8" w:rsidR="006E317B" w:rsidRPr="00706E2B" w:rsidRDefault="00686A00" w:rsidP="001E09E9">
      <w:pPr>
        <w:autoSpaceDE w:val="0"/>
        <w:autoSpaceDN w:val="0"/>
        <w:adjustRightInd w:val="0"/>
        <w:spacing w:after="120"/>
        <w:jc w:val="both"/>
        <w:rPr>
          <w:rFonts w:cstheme="minorHAnsi"/>
        </w:rPr>
      </w:pPr>
      <w:r>
        <w:rPr>
          <w:rFonts w:cstheme="minorHAnsi"/>
          <w:b/>
          <w:bCs/>
        </w:rPr>
        <w:t>Somalia continues to develop core institutions to support the economy’s nascent financial sector</w:t>
      </w:r>
      <w:r w:rsidR="00816581" w:rsidRPr="001A72AE">
        <w:rPr>
          <w:rFonts w:cstheme="minorHAnsi"/>
          <w:b/>
          <w:bCs/>
        </w:rPr>
        <w:t>.</w:t>
      </w:r>
      <w:r w:rsidR="00816581">
        <w:rPr>
          <w:rFonts w:cstheme="minorHAnsi"/>
        </w:rPr>
        <w:t xml:space="preserve"> </w:t>
      </w:r>
      <w:r>
        <w:rPr>
          <w:rFonts w:cstheme="minorHAnsi"/>
        </w:rPr>
        <w:t>The Central Bank of Somalia (</w:t>
      </w:r>
      <w:r w:rsidRPr="00AF282B">
        <w:rPr>
          <w:rFonts w:cstheme="minorHAnsi"/>
        </w:rPr>
        <w:t>CBS</w:t>
      </w:r>
      <w:r>
        <w:rPr>
          <w:rFonts w:cstheme="minorHAnsi"/>
        </w:rPr>
        <w:t xml:space="preserve">) has made progress in licensing financial institutions. </w:t>
      </w:r>
      <w:r w:rsidR="00816581" w:rsidRPr="00AF282B">
        <w:rPr>
          <w:rFonts w:cstheme="minorHAnsi"/>
        </w:rPr>
        <w:t xml:space="preserve">As of </w:t>
      </w:r>
      <w:r>
        <w:rPr>
          <w:rFonts w:cstheme="minorHAnsi"/>
        </w:rPr>
        <w:t xml:space="preserve">April 2021, </w:t>
      </w:r>
      <w:r w:rsidR="00816581" w:rsidRPr="00AF282B">
        <w:rPr>
          <w:rFonts w:cstheme="minorHAnsi"/>
        </w:rPr>
        <w:t xml:space="preserve">13 banks, 10 money transfer businesses (MTBs), and one mobile network operator (MNO) </w:t>
      </w:r>
      <w:r>
        <w:rPr>
          <w:rFonts w:cstheme="minorHAnsi"/>
        </w:rPr>
        <w:t>have been</w:t>
      </w:r>
      <w:r w:rsidR="00816581" w:rsidRPr="00AF282B">
        <w:rPr>
          <w:rFonts w:cstheme="minorHAnsi"/>
        </w:rPr>
        <w:t xml:space="preserve"> licensed under </w:t>
      </w:r>
      <w:r w:rsidR="00816581">
        <w:rPr>
          <w:rFonts w:cstheme="minorHAnsi"/>
        </w:rPr>
        <w:t xml:space="preserve">the </w:t>
      </w:r>
      <w:r w:rsidR="00816581" w:rsidRPr="00AF282B">
        <w:rPr>
          <w:rFonts w:cstheme="minorHAnsi"/>
        </w:rPr>
        <w:t>Central Bank of Somalia Act</w:t>
      </w:r>
      <w:r w:rsidR="00816581">
        <w:rPr>
          <w:rFonts w:cstheme="minorHAnsi"/>
        </w:rPr>
        <w:t xml:space="preserve"> </w:t>
      </w:r>
      <w:r w:rsidR="00816581" w:rsidRPr="00D9595A">
        <w:rPr>
          <w:rFonts w:cstheme="minorHAnsi"/>
        </w:rPr>
        <w:t>(20</w:t>
      </w:r>
      <w:r w:rsidR="0066312A" w:rsidRPr="00D9595A">
        <w:rPr>
          <w:rFonts w:cstheme="minorHAnsi"/>
        </w:rPr>
        <w:t>1</w:t>
      </w:r>
      <w:r w:rsidR="00816581" w:rsidRPr="00D9595A">
        <w:rPr>
          <w:rFonts w:cstheme="minorHAnsi"/>
        </w:rPr>
        <w:t>2).</w:t>
      </w:r>
      <w:r w:rsidR="00816581">
        <w:rPr>
          <w:rFonts w:cstheme="minorHAnsi"/>
        </w:rPr>
        <w:t xml:space="preserve"> </w:t>
      </w:r>
      <w:r>
        <w:rPr>
          <w:rFonts w:cstheme="minorHAnsi"/>
        </w:rPr>
        <w:t xml:space="preserve">CBS introduced </w:t>
      </w:r>
      <w:r w:rsidR="00816581" w:rsidRPr="00DB48A8">
        <w:rPr>
          <w:rFonts w:cstheme="minorHAnsi"/>
        </w:rPr>
        <w:t>modern payment system platforms were deployed in September 2020 to drive the national payment system.</w:t>
      </w:r>
      <w:r w:rsidR="00816581" w:rsidRPr="00DB48A8">
        <w:rPr>
          <w:rStyle w:val="FootnoteReference"/>
          <w:rFonts w:cstheme="minorHAnsi"/>
        </w:rPr>
        <w:footnoteReference w:id="14"/>
      </w:r>
      <w:r>
        <w:rPr>
          <w:rFonts w:cstheme="minorHAnsi"/>
        </w:rPr>
        <w:t xml:space="preserve"> CBS</w:t>
      </w:r>
      <w:r w:rsidRPr="001A72AE">
        <w:rPr>
          <w:rFonts w:cstheme="minorHAnsi"/>
        </w:rPr>
        <w:t xml:space="preserve"> is </w:t>
      </w:r>
      <w:r>
        <w:rPr>
          <w:rFonts w:cstheme="minorHAnsi"/>
        </w:rPr>
        <w:t xml:space="preserve">also </w:t>
      </w:r>
      <w:r w:rsidRPr="001A72AE">
        <w:rPr>
          <w:rFonts w:cstheme="minorHAnsi"/>
        </w:rPr>
        <w:t>making progress in building greater international confidence in the domestic financial sector to support stronger links with the global financial community</w:t>
      </w:r>
      <w:r>
        <w:rPr>
          <w:rFonts w:cstheme="minorHAnsi"/>
        </w:rPr>
        <w:t>.</w:t>
      </w:r>
      <w:r w:rsidR="00B81E3F">
        <w:rPr>
          <w:rFonts w:cstheme="minorHAnsi"/>
        </w:rPr>
        <w:t xml:space="preserve"> </w:t>
      </w:r>
      <w:r w:rsidR="00000B10" w:rsidRPr="00000B10">
        <w:rPr>
          <w:rFonts w:cstheme="minorHAnsi"/>
        </w:rPr>
        <w:t xml:space="preserve">However, </w:t>
      </w:r>
      <w:r w:rsidR="006E317B" w:rsidRPr="001E09E9">
        <w:rPr>
          <w:rFonts w:cstheme="minorHAnsi"/>
        </w:rPr>
        <w:t>Somali</w:t>
      </w:r>
      <w:r w:rsidR="00CE1604">
        <w:rPr>
          <w:rFonts w:cstheme="minorHAnsi"/>
        </w:rPr>
        <w:t>a</w:t>
      </w:r>
      <w:r w:rsidR="006E317B" w:rsidRPr="001E09E9">
        <w:rPr>
          <w:rFonts w:cstheme="minorHAnsi"/>
        </w:rPr>
        <w:t xml:space="preserve"> missed its own internal deadline to deliver the National Risk Assessment (NRA) of December 2020.</w:t>
      </w:r>
      <w:r w:rsidR="006E317B" w:rsidRPr="00000B10">
        <w:rPr>
          <w:rFonts w:cstheme="minorHAnsi"/>
        </w:rPr>
        <w:t xml:space="preserve"> The NRA exercise is a whole of government self-assessment of </w:t>
      </w:r>
      <w:r w:rsidR="006A7C39" w:rsidRPr="006B497F">
        <w:rPr>
          <w:rFonts w:cstheme="minorHAnsi"/>
        </w:rPr>
        <w:t xml:space="preserve">money laundering (ML) and financing of terrorism (FT) </w:t>
      </w:r>
      <w:r w:rsidR="006E317B" w:rsidRPr="006A7C39">
        <w:rPr>
          <w:rFonts w:cstheme="minorHAnsi"/>
        </w:rPr>
        <w:t>risks</w:t>
      </w:r>
      <w:r w:rsidR="006E317B" w:rsidRPr="00393296">
        <w:rPr>
          <w:rFonts w:cstheme="minorHAnsi"/>
        </w:rPr>
        <w:t>.</w:t>
      </w:r>
      <w:r w:rsidR="006E317B" w:rsidRPr="0066312A">
        <w:rPr>
          <w:rFonts w:cstheme="minorHAnsi"/>
        </w:rPr>
        <w:t xml:space="preserve"> </w:t>
      </w:r>
      <w:r w:rsidR="006E317B" w:rsidRPr="00FE582E">
        <w:rPr>
          <w:rFonts w:cstheme="minorHAnsi"/>
        </w:rPr>
        <w:t>T</w:t>
      </w:r>
      <w:r w:rsidR="006E317B" w:rsidRPr="002412AE">
        <w:rPr>
          <w:rFonts w:cstheme="minorHAnsi"/>
        </w:rPr>
        <w:t xml:space="preserve">his </w:t>
      </w:r>
      <w:r w:rsidR="006E317B" w:rsidRPr="000C005C">
        <w:rPr>
          <w:rFonts w:cstheme="minorHAnsi"/>
        </w:rPr>
        <w:t xml:space="preserve">is important for </w:t>
      </w:r>
      <w:r w:rsidR="006E317B" w:rsidRPr="00ED5FDD">
        <w:rPr>
          <w:rFonts w:cstheme="minorHAnsi"/>
        </w:rPr>
        <w:t xml:space="preserve">Somalia </w:t>
      </w:r>
      <w:r w:rsidR="006E317B" w:rsidRPr="00B81E3F">
        <w:rPr>
          <w:rFonts w:cstheme="minorHAnsi"/>
        </w:rPr>
        <w:t>for</w:t>
      </w:r>
      <w:r w:rsidR="006E317B" w:rsidRPr="00000B10">
        <w:rPr>
          <w:rFonts w:cstheme="minorHAnsi"/>
        </w:rPr>
        <w:t xml:space="preserve"> greater integration of the Somali financial system to the global banking system which requires robust understanding of </w:t>
      </w:r>
      <w:r w:rsidR="006E317B" w:rsidRPr="00CF6929">
        <w:rPr>
          <w:rFonts w:cstheme="minorHAnsi"/>
        </w:rPr>
        <w:t>ML</w:t>
      </w:r>
      <w:r w:rsidR="006E317B" w:rsidRPr="00037AFB">
        <w:rPr>
          <w:rFonts w:cstheme="minorHAnsi"/>
        </w:rPr>
        <w:t xml:space="preserve"> and </w:t>
      </w:r>
      <w:r w:rsidR="006E317B" w:rsidRPr="00450311">
        <w:rPr>
          <w:rFonts w:cstheme="minorHAnsi"/>
        </w:rPr>
        <w:t>FT</w:t>
      </w:r>
      <w:r w:rsidR="006E317B" w:rsidRPr="007E5E10">
        <w:rPr>
          <w:rFonts w:cstheme="minorHAnsi"/>
        </w:rPr>
        <w:t xml:space="preserve"> risks</w:t>
      </w:r>
      <w:r w:rsidR="006E317B" w:rsidRPr="003E7775">
        <w:rPr>
          <w:rFonts w:cstheme="minorHAnsi"/>
        </w:rPr>
        <w:t>.</w:t>
      </w:r>
      <w:r w:rsidR="006E317B" w:rsidRPr="0087465F">
        <w:rPr>
          <w:rFonts w:cstheme="minorHAnsi"/>
        </w:rPr>
        <w:t xml:space="preserve"> Having been admitted as a member of MENAFATF</w:t>
      </w:r>
      <w:r w:rsidR="006E317B" w:rsidRPr="00CB451D">
        <w:rPr>
          <w:rFonts w:cstheme="minorHAnsi"/>
        </w:rPr>
        <w:t>, it</w:t>
      </w:r>
      <w:r w:rsidR="006E317B" w:rsidRPr="0038225C">
        <w:rPr>
          <w:rFonts w:cstheme="minorHAnsi"/>
        </w:rPr>
        <w:t xml:space="preserve"> committed</w:t>
      </w:r>
      <w:r w:rsidR="006E317B" w:rsidRPr="005F4AC3">
        <w:rPr>
          <w:rFonts w:cstheme="minorHAnsi"/>
        </w:rPr>
        <w:t xml:space="preserve"> </w:t>
      </w:r>
      <w:r w:rsidR="006E317B" w:rsidRPr="00EC71D5">
        <w:rPr>
          <w:rFonts w:cstheme="minorHAnsi"/>
        </w:rPr>
        <w:t xml:space="preserve">for an assessed by regional body in 2024 for compliance to </w:t>
      </w:r>
      <w:r w:rsidR="006E317B" w:rsidRPr="009A01A8">
        <w:rPr>
          <w:rFonts w:cstheme="minorHAnsi"/>
        </w:rPr>
        <w:t xml:space="preserve">international standards enhancing </w:t>
      </w:r>
      <w:r w:rsidR="006E317B" w:rsidRPr="0088201D">
        <w:rPr>
          <w:rFonts w:cstheme="minorHAnsi"/>
        </w:rPr>
        <w:t>the fight against ML/FT</w:t>
      </w:r>
      <w:r w:rsidR="006E317B" w:rsidRPr="00F11B3D">
        <w:rPr>
          <w:rFonts w:cstheme="minorHAnsi"/>
        </w:rPr>
        <w:t xml:space="preserve">. As such concerted efforts are being exerted by the authorities to ensure the NRA is completed as soon as possible </w:t>
      </w:r>
      <w:r w:rsidR="006E317B" w:rsidRPr="00720A29">
        <w:rPr>
          <w:rFonts w:cstheme="minorHAnsi"/>
        </w:rPr>
        <w:t>and ensure that gaps and correction actions are implemented well ahead of the mutual evaluation exercise by MENAFAFT.</w:t>
      </w:r>
    </w:p>
    <w:p w14:paraId="15FBD83C" w14:textId="58A6E643" w:rsidR="00816581" w:rsidRDefault="00816581" w:rsidP="00816581">
      <w:pPr>
        <w:autoSpaceDE w:val="0"/>
        <w:autoSpaceDN w:val="0"/>
        <w:adjustRightInd w:val="0"/>
        <w:spacing w:after="120"/>
        <w:jc w:val="both"/>
        <w:rPr>
          <w:rFonts w:cstheme="minorHAnsi"/>
        </w:rPr>
      </w:pPr>
      <w:r w:rsidRPr="00DB48A8">
        <w:rPr>
          <w:rFonts w:cstheme="minorHAnsi"/>
          <w:b/>
          <w:bCs/>
        </w:rPr>
        <w:t xml:space="preserve">CBS is preparing to introduce a new legal national currency to replace counterfeit Somali shillings currently circulating in the economy. </w:t>
      </w:r>
      <w:r w:rsidR="00B508CF" w:rsidRPr="00D67822">
        <w:rPr>
          <w:rFonts w:cstheme="minorHAnsi"/>
        </w:rPr>
        <w:t>Even though t</w:t>
      </w:r>
      <w:r w:rsidR="00071EFE" w:rsidRPr="00D67822">
        <w:rPr>
          <w:rFonts w:cstheme="minorHAnsi"/>
        </w:rPr>
        <w:t>he new currency will</w:t>
      </w:r>
      <w:r w:rsidR="009A13C7" w:rsidRPr="00D67822">
        <w:rPr>
          <w:rFonts w:cstheme="minorHAnsi"/>
        </w:rPr>
        <w:t xml:space="preserve"> </w:t>
      </w:r>
      <w:r w:rsidR="0038037C" w:rsidRPr="00D67822">
        <w:rPr>
          <w:rFonts w:cstheme="minorHAnsi"/>
        </w:rPr>
        <w:t xml:space="preserve">provide Somalia with a </w:t>
      </w:r>
      <w:r w:rsidR="009A13C7" w:rsidRPr="00D67822">
        <w:rPr>
          <w:rFonts w:cstheme="minorHAnsi"/>
        </w:rPr>
        <w:t>monetary pol</w:t>
      </w:r>
      <w:r w:rsidR="00B508CF" w:rsidRPr="00D67822">
        <w:rPr>
          <w:rFonts w:cstheme="minorHAnsi"/>
        </w:rPr>
        <w:t xml:space="preserve">icy lever, </w:t>
      </w:r>
      <w:r w:rsidR="00452AA6" w:rsidRPr="00D67822">
        <w:rPr>
          <w:rFonts w:cstheme="minorHAnsi"/>
        </w:rPr>
        <w:t>the operation</w:t>
      </w:r>
      <w:r w:rsidR="00452AA6">
        <w:rPr>
          <w:rFonts w:cstheme="minorHAnsi"/>
          <w:b/>
          <w:bCs/>
        </w:rPr>
        <w:t xml:space="preserve"> </w:t>
      </w:r>
      <w:r w:rsidRPr="00DB48A8">
        <w:rPr>
          <w:rFonts w:cstheme="minorHAnsi"/>
        </w:rPr>
        <w:t xml:space="preserve">is seen as paving way for financial inclusion of the poor and strengthening CBS supervision </w:t>
      </w:r>
      <w:r>
        <w:rPr>
          <w:rFonts w:cstheme="minorHAnsi"/>
        </w:rPr>
        <w:t xml:space="preserve">role </w:t>
      </w:r>
      <w:r w:rsidRPr="00DB48A8">
        <w:rPr>
          <w:rFonts w:cstheme="minorHAnsi"/>
        </w:rPr>
        <w:t xml:space="preserve">of the financial sector. </w:t>
      </w:r>
      <w:r w:rsidR="007B6946" w:rsidRPr="00BD3BA6">
        <w:rPr>
          <w:rFonts w:cstheme="minorHAnsi"/>
          <w:bCs/>
        </w:rPr>
        <w:t>The lack of a legitimate local currency undermines the prospects for building household wealth and formal financial inclusion for a substantial proportion of the population</w:t>
      </w:r>
      <w:r w:rsidR="002D18F6">
        <w:rPr>
          <w:rFonts w:cstheme="minorHAnsi"/>
          <w:bCs/>
        </w:rPr>
        <w:t xml:space="preserve"> as</w:t>
      </w:r>
      <w:r w:rsidR="00587938" w:rsidRPr="00BD3BA6">
        <w:rPr>
          <w:rFonts w:cstheme="minorHAnsi"/>
          <w:b/>
        </w:rPr>
        <w:t xml:space="preserve"> </w:t>
      </w:r>
      <w:r w:rsidR="00587938" w:rsidRPr="00D67822">
        <w:rPr>
          <w:rFonts w:cstheme="minorHAnsi"/>
          <w:bCs/>
        </w:rPr>
        <w:t>the absence of legitimate banknotes are high and disproportionately affect the poor and the vulnerable population.</w:t>
      </w:r>
      <w:r w:rsidR="00587938" w:rsidRPr="00BD3BA6">
        <w:rPr>
          <w:rFonts w:cstheme="minorHAnsi"/>
          <w:b/>
        </w:rPr>
        <w:t xml:space="preserve"> </w:t>
      </w:r>
      <w:r w:rsidRPr="00DB48A8">
        <w:rPr>
          <w:rFonts w:cstheme="minorHAnsi"/>
        </w:rPr>
        <w:t xml:space="preserve">Key to the success of </w:t>
      </w:r>
      <w:r>
        <w:rPr>
          <w:rFonts w:cstheme="minorHAnsi"/>
        </w:rPr>
        <w:t>this initiative</w:t>
      </w:r>
      <w:r w:rsidRPr="00DB48A8">
        <w:rPr>
          <w:rFonts w:cstheme="minorHAnsi"/>
        </w:rPr>
        <w:t xml:space="preserve"> is political buy-in at the highest levels within FGS and </w:t>
      </w:r>
      <w:r w:rsidR="00686A00">
        <w:rPr>
          <w:rFonts w:cstheme="minorHAnsi"/>
        </w:rPr>
        <w:t>F</w:t>
      </w:r>
      <w:r w:rsidRPr="00DB48A8">
        <w:rPr>
          <w:rFonts w:cstheme="minorHAnsi"/>
        </w:rPr>
        <w:t xml:space="preserve">ederal </w:t>
      </w:r>
      <w:r w:rsidR="00686A00">
        <w:rPr>
          <w:rFonts w:cstheme="minorHAnsi"/>
        </w:rPr>
        <w:t>M</w:t>
      </w:r>
      <w:r w:rsidRPr="00DB48A8">
        <w:rPr>
          <w:rFonts w:cstheme="minorHAnsi"/>
        </w:rPr>
        <w:t xml:space="preserve">ember </w:t>
      </w:r>
      <w:r w:rsidR="00686A00">
        <w:rPr>
          <w:rFonts w:cstheme="minorHAnsi"/>
        </w:rPr>
        <w:t>S</w:t>
      </w:r>
      <w:r w:rsidRPr="00DB48A8">
        <w:rPr>
          <w:rFonts w:cstheme="minorHAnsi"/>
        </w:rPr>
        <w:t>tates (FMS</w:t>
      </w:r>
      <w:r w:rsidR="00686A00">
        <w:rPr>
          <w:rFonts w:cstheme="minorHAnsi"/>
        </w:rPr>
        <w:t>s</w:t>
      </w:r>
      <w:r w:rsidRPr="00DB48A8">
        <w:rPr>
          <w:rFonts w:cstheme="minorHAnsi"/>
        </w:rPr>
        <w:t>). The setting up of a national high-level steering committee for the currency exchange, which is planned to include FMS minsters of finance, is pending but preparation is underway. Speeding up committee setup is critical.</w:t>
      </w:r>
    </w:p>
    <w:p w14:paraId="79A32047" w14:textId="26A2C0CB" w:rsidR="00816581" w:rsidRDefault="00816581" w:rsidP="00816581">
      <w:pPr>
        <w:autoSpaceDE w:val="0"/>
        <w:autoSpaceDN w:val="0"/>
        <w:adjustRightInd w:val="0"/>
        <w:spacing w:after="120"/>
        <w:jc w:val="both"/>
      </w:pPr>
      <w:r w:rsidRPr="008E6ED9">
        <w:rPr>
          <w:rFonts w:cstheme="minorHAnsi"/>
          <w:b/>
          <w:bCs/>
        </w:rPr>
        <w:t>Domestic public confidence in financial institutions is being restored</w:t>
      </w:r>
      <w:r>
        <w:rPr>
          <w:rFonts w:cstheme="minorHAnsi"/>
          <w:b/>
          <w:bCs/>
        </w:rPr>
        <w:t>.</w:t>
      </w:r>
      <w:r w:rsidRPr="00274AC2">
        <w:rPr>
          <w:rFonts w:cstheme="minorHAnsi"/>
        </w:rPr>
        <w:t xml:space="preserve"> Bank deposits continue to grow,</w:t>
      </w:r>
      <w:r>
        <w:rPr>
          <w:rFonts w:cstheme="minorHAnsi"/>
        </w:rPr>
        <w:t xml:space="preserve"> by 53 percent in 2020, </w:t>
      </w:r>
      <w:r w:rsidR="00631AFD">
        <w:rPr>
          <w:rFonts w:cstheme="minorHAnsi"/>
        </w:rPr>
        <w:t xml:space="preserve">to </w:t>
      </w:r>
      <w:r w:rsidR="00631AFD" w:rsidRPr="00274AC2">
        <w:rPr>
          <w:rFonts w:cstheme="minorHAnsi"/>
        </w:rPr>
        <w:t>US$</w:t>
      </w:r>
      <w:r w:rsidR="00631AFD">
        <w:rPr>
          <w:rFonts w:cstheme="minorHAnsi"/>
        </w:rPr>
        <w:t>659</w:t>
      </w:r>
      <w:r w:rsidR="00631AFD" w:rsidRPr="00274AC2">
        <w:rPr>
          <w:rFonts w:cstheme="minorHAnsi"/>
        </w:rPr>
        <w:t xml:space="preserve"> million in </w:t>
      </w:r>
      <w:r w:rsidR="00631AFD">
        <w:rPr>
          <w:rFonts w:cstheme="minorHAnsi"/>
        </w:rPr>
        <w:t>December</w:t>
      </w:r>
      <w:r w:rsidR="00631AFD" w:rsidRPr="00274AC2">
        <w:rPr>
          <w:rFonts w:cstheme="minorHAnsi"/>
        </w:rPr>
        <w:t xml:space="preserve"> 2020</w:t>
      </w:r>
      <w:r w:rsidR="00631AFD">
        <w:rPr>
          <w:rFonts w:cstheme="minorHAnsi"/>
        </w:rPr>
        <w:t xml:space="preserve"> </w:t>
      </w:r>
      <w:r>
        <w:rPr>
          <w:rFonts w:cstheme="minorHAnsi"/>
        </w:rPr>
        <w:t xml:space="preserve">from </w:t>
      </w:r>
      <w:r w:rsidRPr="00274AC2">
        <w:rPr>
          <w:rFonts w:cstheme="minorHAnsi"/>
        </w:rPr>
        <w:t>US$</w:t>
      </w:r>
      <w:r>
        <w:rPr>
          <w:rFonts w:cstheme="minorHAnsi"/>
        </w:rPr>
        <w:t>430</w:t>
      </w:r>
      <w:r w:rsidRPr="00274AC2">
        <w:rPr>
          <w:rFonts w:cstheme="minorHAnsi"/>
        </w:rPr>
        <w:t xml:space="preserve"> million</w:t>
      </w:r>
      <w:r>
        <w:rPr>
          <w:rFonts w:cstheme="minorHAnsi"/>
        </w:rPr>
        <w:t xml:space="preserve"> in December 2019</w:t>
      </w:r>
      <w:r w:rsidR="00631AFD">
        <w:rPr>
          <w:rFonts w:cstheme="minorHAnsi"/>
        </w:rPr>
        <w:t xml:space="preserve"> (</w:t>
      </w:r>
      <w:r w:rsidR="00631AFD">
        <w:rPr>
          <w:rFonts w:cstheme="minorHAnsi"/>
        </w:rPr>
        <w:fldChar w:fldCharType="begin"/>
      </w:r>
      <w:r w:rsidR="00631AFD">
        <w:rPr>
          <w:rFonts w:cstheme="minorHAnsi"/>
        </w:rPr>
        <w:instrText xml:space="preserve"> REF _Ref70935354 \h </w:instrText>
      </w:r>
      <w:r w:rsidR="00631AFD">
        <w:rPr>
          <w:rFonts w:cstheme="minorHAnsi"/>
        </w:rPr>
      </w:r>
      <w:r w:rsidR="00631AFD">
        <w:rPr>
          <w:rFonts w:cstheme="minorHAnsi"/>
        </w:rPr>
        <w:fldChar w:fldCharType="separate"/>
      </w:r>
      <w:r w:rsidR="00631AFD">
        <w:t xml:space="preserve">Figure </w:t>
      </w:r>
      <w:r w:rsidR="00631AFD">
        <w:rPr>
          <w:noProof/>
        </w:rPr>
        <w:t>7</w:t>
      </w:r>
      <w:r w:rsidR="00631AFD">
        <w:rPr>
          <w:rFonts w:cstheme="minorHAnsi"/>
        </w:rPr>
        <w:fldChar w:fldCharType="end"/>
      </w:r>
      <w:r w:rsidR="00631AFD">
        <w:rPr>
          <w:rFonts w:cstheme="minorHAnsi"/>
        </w:rPr>
        <w:t>)</w:t>
      </w:r>
      <w:r>
        <w:rPr>
          <w:rFonts w:cstheme="minorHAnsi"/>
        </w:rPr>
        <w:t xml:space="preserve">. This indicates </w:t>
      </w:r>
      <w:r w:rsidRPr="00274AC2">
        <w:rPr>
          <w:rFonts w:cstheme="minorHAnsi"/>
        </w:rPr>
        <w:t>increased confidence in the formal banking institutions by the public.</w:t>
      </w:r>
      <w:r w:rsidR="003E75D5">
        <w:rPr>
          <w:rFonts w:cstheme="minorHAnsi"/>
        </w:rPr>
        <w:t xml:space="preserve"> </w:t>
      </w:r>
      <w:r>
        <w:rPr>
          <w:rFonts w:cstheme="minorHAnsi"/>
        </w:rPr>
        <w:t>T</w:t>
      </w:r>
      <w:r w:rsidRPr="00274AC2">
        <w:rPr>
          <w:rFonts w:cstheme="minorHAnsi"/>
        </w:rPr>
        <w:t>here is more financing in the system than before</w:t>
      </w:r>
      <w:r w:rsidR="00631AFD">
        <w:rPr>
          <w:rFonts w:cstheme="minorHAnsi"/>
        </w:rPr>
        <w:t>,</w:t>
      </w:r>
      <w:r w:rsidRPr="00274AC2">
        <w:rPr>
          <w:rFonts w:cstheme="minorHAnsi"/>
        </w:rPr>
        <w:t xml:space="preserve"> with bank credit to the private sector </w:t>
      </w:r>
      <w:r>
        <w:rPr>
          <w:rFonts w:cstheme="minorHAnsi"/>
        </w:rPr>
        <w:t xml:space="preserve">increasing by 6.5 percent, to </w:t>
      </w:r>
      <w:r w:rsidRPr="00274AC2">
        <w:rPr>
          <w:rFonts w:cstheme="minorHAnsi"/>
        </w:rPr>
        <w:t>US$</w:t>
      </w:r>
      <w:r>
        <w:rPr>
          <w:rFonts w:cstheme="minorHAnsi"/>
        </w:rPr>
        <w:t>219</w:t>
      </w:r>
      <w:r w:rsidRPr="00274AC2">
        <w:rPr>
          <w:rFonts w:cstheme="minorHAnsi"/>
        </w:rPr>
        <w:t xml:space="preserve"> million in </w:t>
      </w:r>
      <w:r>
        <w:rPr>
          <w:rFonts w:cstheme="minorHAnsi"/>
        </w:rPr>
        <w:t xml:space="preserve">December </w:t>
      </w:r>
      <w:r w:rsidRPr="00274AC2">
        <w:rPr>
          <w:rFonts w:cstheme="minorHAnsi"/>
        </w:rPr>
        <w:t>2020 (from US$</w:t>
      </w:r>
      <w:r>
        <w:rPr>
          <w:rFonts w:cstheme="minorHAnsi"/>
        </w:rPr>
        <w:t>205</w:t>
      </w:r>
      <w:r w:rsidRPr="00274AC2">
        <w:rPr>
          <w:rFonts w:cstheme="minorHAnsi"/>
        </w:rPr>
        <w:t xml:space="preserve"> million in 201</w:t>
      </w:r>
      <w:r>
        <w:rPr>
          <w:rFonts w:cstheme="minorHAnsi"/>
        </w:rPr>
        <w:t>9</w:t>
      </w:r>
      <w:r w:rsidRPr="00274AC2">
        <w:rPr>
          <w:rFonts w:cstheme="minorHAnsi"/>
        </w:rPr>
        <w:t>)</w:t>
      </w:r>
      <w:r>
        <w:rPr>
          <w:rFonts w:cstheme="minorHAnsi"/>
        </w:rPr>
        <w:t xml:space="preserve">. </w:t>
      </w:r>
      <w:r w:rsidRPr="008E6ED9">
        <w:rPr>
          <w:rFonts w:cstheme="minorHAnsi"/>
        </w:rPr>
        <w:t>Nevertheless,</w:t>
      </w:r>
      <w:r>
        <w:rPr>
          <w:rFonts w:cstheme="minorHAnsi"/>
          <w:b/>
          <w:bCs/>
        </w:rPr>
        <w:t xml:space="preserve"> </w:t>
      </w:r>
      <w:r>
        <w:rPr>
          <w:rFonts w:cstheme="minorHAnsi"/>
        </w:rPr>
        <w:t xml:space="preserve">commercial banks were more cautious of lending to the private sector during the pandemic and preferred to </w:t>
      </w:r>
      <w:proofErr w:type="gramStart"/>
      <w:r>
        <w:rPr>
          <w:rFonts w:cstheme="minorHAnsi"/>
        </w:rPr>
        <w:t>enter into</w:t>
      </w:r>
      <w:proofErr w:type="gramEnd"/>
      <w:r>
        <w:rPr>
          <w:rFonts w:cstheme="minorHAnsi"/>
        </w:rPr>
        <w:t xml:space="preserve"> joint ventures and partnerships with the private sector. </w:t>
      </w:r>
      <w:r w:rsidRPr="00C15835">
        <w:t>Loans to firms and households (</w:t>
      </w:r>
      <w:r w:rsidRPr="008D2048">
        <w:rPr>
          <w:i/>
          <w:iCs/>
        </w:rPr>
        <w:t>‘</w:t>
      </w:r>
      <w:proofErr w:type="spellStart"/>
      <w:r w:rsidRPr="008D2048">
        <w:rPr>
          <w:i/>
          <w:iCs/>
        </w:rPr>
        <w:t>murabaha</w:t>
      </w:r>
      <w:proofErr w:type="spellEnd"/>
      <w:r w:rsidRPr="008D2048">
        <w:rPr>
          <w:i/>
          <w:iCs/>
        </w:rPr>
        <w:t>’</w:t>
      </w:r>
      <w:r w:rsidRPr="00C15835">
        <w:t xml:space="preserve"> and </w:t>
      </w:r>
      <w:r w:rsidRPr="008D2048">
        <w:rPr>
          <w:i/>
          <w:iCs/>
        </w:rPr>
        <w:t>‘</w:t>
      </w:r>
      <w:proofErr w:type="spellStart"/>
      <w:r w:rsidRPr="008D2048">
        <w:rPr>
          <w:i/>
          <w:iCs/>
        </w:rPr>
        <w:t>qarad-hasan</w:t>
      </w:r>
      <w:proofErr w:type="spellEnd"/>
      <w:r w:rsidRPr="008D2048">
        <w:rPr>
          <w:i/>
          <w:iCs/>
        </w:rPr>
        <w:t>’</w:t>
      </w:r>
      <w:r w:rsidRPr="00C15835">
        <w:t>) declined in 2020, continuing a trend since early 2019. Meanwhile, the share of financing through bank partnerships and joint ventures (</w:t>
      </w:r>
      <w:r w:rsidRPr="008D2048">
        <w:rPr>
          <w:i/>
          <w:iCs/>
        </w:rPr>
        <w:t>‘</w:t>
      </w:r>
      <w:proofErr w:type="spellStart"/>
      <w:r w:rsidRPr="008D2048">
        <w:rPr>
          <w:i/>
          <w:iCs/>
        </w:rPr>
        <w:t>musharakah</w:t>
      </w:r>
      <w:proofErr w:type="spellEnd"/>
      <w:r w:rsidRPr="008D2048">
        <w:rPr>
          <w:i/>
          <w:iCs/>
        </w:rPr>
        <w:t>’</w:t>
      </w:r>
      <w:r w:rsidRPr="00C15835">
        <w:t xml:space="preserve"> and </w:t>
      </w:r>
      <w:r w:rsidRPr="008D2048">
        <w:rPr>
          <w:i/>
          <w:iCs/>
        </w:rPr>
        <w:t>‘</w:t>
      </w:r>
      <w:proofErr w:type="spellStart"/>
      <w:r w:rsidRPr="008D2048">
        <w:rPr>
          <w:i/>
          <w:iCs/>
        </w:rPr>
        <w:t>mudadarabah</w:t>
      </w:r>
      <w:proofErr w:type="spellEnd"/>
      <w:r w:rsidRPr="008D2048">
        <w:rPr>
          <w:i/>
          <w:iCs/>
        </w:rPr>
        <w:t>’</w:t>
      </w:r>
      <w:r w:rsidRPr="00C15835">
        <w:t>) has grown steadily over the past several years—in March 2018 this was 11 percent;</w:t>
      </w:r>
      <w:r>
        <w:t xml:space="preserve"> it reached</w:t>
      </w:r>
      <w:r w:rsidR="003E75D5">
        <w:t xml:space="preserve"> </w:t>
      </w:r>
      <w:r>
        <w:t>33 percent i</w:t>
      </w:r>
      <w:r w:rsidR="00EE43FC">
        <w:t>n</w:t>
      </w:r>
      <w:r>
        <w:t xml:space="preserve"> </w:t>
      </w:r>
      <w:r w:rsidRPr="00C15835">
        <w:t>December 2020</w:t>
      </w:r>
      <w:r>
        <w:t xml:space="preserve">. </w:t>
      </w:r>
      <w:r>
        <w:rPr>
          <w:rFonts w:cstheme="minorHAnsi"/>
        </w:rPr>
        <w:t xml:space="preserve">It increased by 47 percent, from US$50 million in 2019 to US$73 million in 2020. </w:t>
      </w:r>
      <w:r w:rsidR="00CE1604">
        <w:rPr>
          <w:rFonts w:cstheme="minorHAnsi"/>
        </w:rPr>
        <w:t>Despite recent progress, t</w:t>
      </w:r>
      <w:r>
        <w:rPr>
          <w:rFonts w:cstheme="minorHAnsi"/>
        </w:rPr>
        <w:t xml:space="preserve">he </w:t>
      </w:r>
      <w:r w:rsidRPr="00274AC2">
        <w:rPr>
          <w:rFonts w:cstheme="minorHAnsi"/>
        </w:rPr>
        <w:t>CBS estimates that the banking sector meets only a small share of demand for credit</w:t>
      </w:r>
      <w:r>
        <w:rPr>
          <w:rFonts w:cstheme="minorHAnsi"/>
        </w:rPr>
        <w:t xml:space="preserve"> and t</w:t>
      </w:r>
      <w:r>
        <w:t>he levels of intermediation are modest relative Somalia’s potential.</w:t>
      </w:r>
    </w:p>
    <w:p w14:paraId="021A43A0" w14:textId="5ADF0061" w:rsidR="00816581" w:rsidRPr="009A0233" w:rsidRDefault="00816581" w:rsidP="005F1975">
      <w:pPr>
        <w:spacing w:after="120"/>
        <w:jc w:val="both"/>
        <w:rPr>
          <w:rFonts w:cstheme="minorHAnsi"/>
        </w:rPr>
      </w:pPr>
      <w:r w:rsidRPr="0008200B">
        <w:rPr>
          <w:rFonts w:cstheme="minorHAnsi"/>
          <w:b/>
          <w:bCs/>
        </w:rPr>
        <w:lastRenderedPageBreak/>
        <w:t xml:space="preserve">The </w:t>
      </w:r>
      <w:r w:rsidR="00686A00">
        <w:rPr>
          <w:rFonts w:cstheme="minorHAnsi"/>
          <w:b/>
          <w:bCs/>
        </w:rPr>
        <w:t>b</w:t>
      </w:r>
      <w:r w:rsidRPr="0008200B">
        <w:rPr>
          <w:rFonts w:cstheme="minorHAnsi"/>
          <w:b/>
          <w:bCs/>
        </w:rPr>
        <w:t>anking sector continue</w:t>
      </w:r>
      <w:r w:rsidR="00CE1604">
        <w:rPr>
          <w:rFonts w:cstheme="minorHAnsi"/>
          <w:b/>
          <w:bCs/>
        </w:rPr>
        <w:t>s</w:t>
      </w:r>
      <w:r w:rsidRPr="0008200B">
        <w:rPr>
          <w:rFonts w:cstheme="minorHAnsi"/>
          <w:b/>
          <w:bCs/>
        </w:rPr>
        <w:t xml:space="preserve"> to be profitable.</w:t>
      </w:r>
      <w:r w:rsidRPr="0008200B">
        <w:rPr>
          <w:rFonts w:cstheme="minorHAnsi"/>
        </w:rPr>
        <w:t xml:space="preserve"> Total bank assets increased by 48</w:t>
      </w:r>
      <w:r>
        <w:rPr>
          <w:rFonts w:cstheme="minorHAnsi"/>
        </w:rPr>
        <w:t xml:space="preserve"> percent</w:t>
      </w:r>
      <w:r w:rsidRPr="0008200B">
        <w:rPr>
          <w:rFonts w:cstheme="minorHAnsi"/>
        </w:rPr>
        <w:t xml:space="preserve"> to US$821</w:t>
      </w:r>
      <w:r>
        <w:rPr>
          <w:rFonts w:cstheme="minorHAnsi"/>
        </w:rPr>
        <w:t xml:space="preserve"> </w:t>
      </w:r>
      <w:r w:rsidRPr="0008200B">
        <w:rPr>
          <w:rFonts w:cstheme="minorHAnsi"/>
        </w:rPr>
        <w:t>million from 556</w:t>
      </w:r>
      <w:r>
        <w:rPr>
          <w:rFonts w:cstheme="minorHAnsi"/>
        </w:rPr>
        <w:t xml:space="preserve"> </w:t>
      </w:r>
      <w:r w:rsidRPr="0008200B">
        <w:rPr>
          <w:rFonts w:cstheme="minorHAnsi"/>
        </w:rPr>
        <w:t>m</w:t>
      </w:r>
      <w:r>
        <w:rPr>
          <w:rFonts w:cstheme="minorHAnsi"/>
        </w:rPr>
        <w:t>illion</w:t>
      </w:r>
      <w:r w:rsidRPr="0008200B">
        <w:rPr>
          <w:rFonts w:cstheme="minorHAnsi"/>
        </w:rPr>
        <w:t xml:space="preserve"> in 2019. The growth was driven by cash in hand which more than doubled from </w:t>
      </w:r>
      <w:r>
        <w:rPr>
          <w:rFonts w:cstheme="minorHAnsi"/>
        </w:rPr>
        <w:t>US$</w:t>
      </w:r>
      <w:r w:rsidRPr="0008200B">
        <w:rPr>
          <w:rFonts w:cstheme="minorHAnsi"/>
        </w:rPr>
        <w:t>117</w:t>
      </w:r>
      <w:r>
        <w:rPr>
          <w:rFonts w:cstheme="minorHAnsi"/>
        </w:rPr>
        <w:t xml:space="preserve"> </w:t>
      </w:r>
      <w:r w:rsidRPr="0008200B">
        <w:rPr>
          <w:rFonts w:cstheme="minorHAnsi"/>
        </w:rPr>
        <w:t>m</w:t>
      </w:r>
      <w:r>
        <w:rPr>
          <w:rFonts w:cstheme="minorHAnsi"/>
        </w:rPr>
        <w:t>illion</w:t>
      </w:r>
      <w:r w:rsidRPr="0008200B">
        <w:rPr>
          <w:rFonts w:cstheme="minorHAnsi"/>
        </w:rPr>
        <w:t xml:space="preserve"> in December 2019 to </w:t>
      </w:r>
      <w:r>
        <w:rPr>
          <w:rFonts w:cstheme="minorHAnsi"/>
        </w:rPr>
        <w:t>US$</w:t>
      </w:r>
      <w:r w:rsidRPr="0008200B">
        <w:rPr>
          <w:rFonts w:cstheme="minorHAnsi"/>
        </w:rPr>
        <w:t>285</w:t>
      </w:r>
      <w:r>
        <w:rPr>
          <w:rFonts w:cstheme="minorHAnsi"/>
        </w:rPr>
        <w:t xml:space="preserve"> </w:t>
      </w:r>
      <w:r w:rsidRPr="0008200B">
        <w:rPr>
          <w:rFonts w:cstheme="minorHAnsi"/>
        </w:rPr>
        <w:t>m</w:t>
      </w:r>
      <w:r>
        <w:rPr>
          <w:rFonts w:cstheme="minorHAnsi"/>
        </w:rPr>
        <w:t>illion</w:t>
      </w:r>
      <w:r w:rsidRPr="0008200B">
        <w:rPr>
          <w:rFonts w:cstheme="minorHAnsi"/>
        </w:rPr>
        <w:t xml:space="preserve"> in 2020. </w:t>
      </w:r>
      <w:r w:rsidRPr="005F1975">
        <w:t>The commercial banks portfolio of cash in hand increased its share from 21 percent in 2019 to 35 percent in 2020. Table 4 provides detailed banking sector performance in 2019-20. Domestic bank assets and liabilities dipped at the start of the pandemic (in April</w:t>
      </w:r>
      <w:r>
        <w:rPr>
          <w:rFonts w:cstheme="minorHAnsi"/>
        </w:rPr>
        <w:t xml:space="preserve"> 2020)</w:t>
      </w:r>
      <w:r w:rsidRPr="008E6ED9">
        <w:rPr>
          <w:rFonts w:cstheme="minorHAnsi"/>
        </w:rPr>
        <w:t xml:space="preserve"> but recovered sharply</w:t>
      </w:r>
      <w:r>
        <w:rPr>
          <w:rFonts w:cstheme="minorHAnsi"/>
        </w:rPr>
        <w:t xml:space="preserve"> (in May 2020), </w:t>
      </w:r>
      <w:r w:rsidRPr="0008200B">
        <w:rPr>
          <w:rFonts w:cstheme="minorHAnsi"/>
        </w:rPr>
        <w:t xml:space="preserve">and significantly increased </w:t>
      </w:r>
      <w:r>
        <w:rPr>
          <w:rFonts w:cstheme="minorHAnsi"/>
        </w:rPr>
        <w:t>in</w:t>
      </w:r>
      <w:r w:rsidRPr="0008200B">
        <w:rPr>
          <w:rFonts w:cstheme="minorHAnsi"/>
        </w:rPr>
        <w:t xml:space="preserve"> December 2020 (</w:t>
      </w:r>
      <w:r w:rsidR="004E31AB">
        <w:rPr>
          <w:rFonts w:cstheme="minorHAnsi"/>
        </w:rPr>
        <w:fldChar w:fldCharType="begin"/>
      </w:r>
      <w:r w:rsidR="004E31AB">
        <w:rPr>
          <w:rFonts w:cstheme="minorHAnsi"/>
        </w:rPr>
        <w:instrText xml:space="preserve"> REF _Ref70935354 \h </w:instrText>
      </w:r>
      <w:r w:rsidR="004E31AB">
        <w:rPr>
          <w:rFonts w:cstheme="minorHAnsi"/>
        </w:rPr>
      </w:r>
      <w:r w:rsidR="004E31AB">
        <w:rPr>
          <w:rFonts w:cstheme="minorHAnsi"/>
        </w:rPr>
        <w:fldChar w:fldCharType="separate"/>
      </w:r>
      <w:r w:rsidR="00EF291C">
        <w:t xml:space="preserve">Figure </w:t>
      </w:r>
      <w:r w:rsidR="00EF291C">
        <w:rPr>
          <w:noProof/>
        </w:rPr>
        <w:t>10</w:t>
      </w:r>
      <w:r w:rsidR="004E31AB">
        <w:rPr>
          <w:rFonts w:cstheme="minorHAnsi"/>
        </w:rPr>
        <w:fldChar w:fldCharType="end"/>
      </w:r>
      <w:r w:rsidRPr="008E6ED9">
        <w:rPr>
          <w:rFonts w:cstheme="minorHAnsi"/>
        </w:rPr>
        <w:t>)</w:t>
      </w:r>
      <w:r>
        <w:rPr>
          <w:rFonts w:cstheme="minorHAnsi"/>
        </w:rPr>
        <w:t>.</w:t>
      </w:r>
    </w:p>
    <w:p w14:paraId="3A351664" w14:textId="143D0D98" w:rsidR="00DD32E7" w:rsidRDefault="00DD32E7" w:rsidP="00DD32E7">
      <w:pPr>
        <w:pStyle w:val="Caption"/>
        <w:jc w:val="left"/>
      </w:pPr>
      <w:bookmarkStart w:id="34" w:name="_Ref70935354"/>
      <w:bookmarkStart w:id="35" w:name="_Toc71725928"/>
      <w:r>
        <w:t xml:space="preserve">Figure </w:t>
      </w:r>
      <w:fldSimple w:instr=" SEQ Figure \* ARABIC ">
        <w:r w:rsidR="00EF291C">
          <w:rPr>
            <w:noProof/>
          </w:rPr>
          <w:t>10</w:t>
        </w:r>
      </w:fldSimple>
      <w:bookmarkEnd w:id="34"/>
      <w:r>
        <w:t xml:space="preserve">: </w:t>
      </w:r>
      <w:r w:rsidRPr="00D96E4A">
        <w:t>The banking system domestic assets and liabilities have grown significantly</w:t>
      </w:r>
      <w:bookmarkEnd w:id="35"/>
    </w:p>
    <w:p w14:paraId="6F8DE160" w14:textId="77777777" w:rsidR="00816581" w:rsidRDefault="00816581" w:rsidP="00DD32E7">
      <w:pPr>
        <w:pStyle w:val="Figure"/>
      </w:pPr>
      <w:r>
        <w:drawing>
          <wp:inline distT="0" distB="0" distL="0" distR="0" wp14:anchorId="6BBA457C" wp14:editId="76BD9EE8">
            <wp:extent cx="4921857" cy="2830664"/>
            <wp:effectExtent l="0" t="0" r="0" b="8255"/>
            <wp:docPr id="26" name="Chart 26">
              <a:extLst xmlns:a="http://schemas.openxmlformats.org/drawingml/2006/main">
                <a:ext uri="{FF2B5EF4-FFF2-40B4-BE49-F238E27FC236}">
                  <a16:creationId xmlns:a16="http://schemas.microsoft.com/office/drawing/2014/main" id="{2EFFF8A4-3C82-4683-9E19-156E64984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0C215A" w14:textId="095BF0AA" w:rsidR="00816581" w:rsidRPr="00DD32E7" w:rsidRDefault="00816581" w:rsidP="00D756D2">
      <w:pPr>
        <w:pStyle w:val="Source"/>
      </w:pPr>
      <w:r w:rsidRPr="00DD32E7">
        <w:t xml:space="preserve">Source: Central Bank of Somalia </w:t>
      </w:r>
    </w:p>
    <w:p w14:paraId="39684EBD" w14:textId="328F9BE6" w:rsidR="00816581" w:rsidRDefault="00816581" w:rsidP="00816581">
      <w:pPr>
        <w:spacing w:after="120"/>
        <w:jc w:val="both"/>
      </w:pPr>
      <w:r w:rsidRPr="000D571E">
        <w:rPr>
          <w:b/>
          <w:bCs/>
        </w:rPr>
        <w:t xml:space="preserve">The composition of domestic assets </w:t>
      </w:r>
      <w:r w:rsidR="00823655">
        <w:rPr>
          <w:b/>
          <w:bCs/>
        </w:rPr>
        <w:t>shows the</w:t>
      </w:r>
      <w:r w:rsidR="00823655" w:rsidRPr="000D571E">
        <w:rPr>
          <w:b/>
          <w:bCs/>
        </w:rPr>
        <w:t xml:space="preserve"> banking system </w:t>
      </w:r>
      <w:r w:rsidR="00823655">
        <w:rPr>
          <w:b/>
          <w:bCs/>
        </w:rPr>
        <w:t>is risk averse</w:t>
      </w:r>
      <w:r w:rsidR="000C005C">
        <w:rPr>
          <w:b/>
          <w:bCs/>
        </w:rPr>
        <w:t>.</w:t>
      </w:r>
      <w:r w:rsidR="000C005C" w:rsidRPr="000D571E" w:rsidDel="000C005C">
        <w:rPr>
          <w:b/>
          <w:bCs/>
        </w:rPr>
        <w:t xml:space="preserve"> </w:t>
      </w:r>
      <w:r w:rsidRPr="000D571E">
        <w:t xml:space="preserve"> Somalia </w:t>
      </w:r>
      <w:r>
        <w:t>b</w:t>
      </w:r>
      <w:r w:rsidRPr="000D571E">
        <w:t>anking system is becoming more liquid</w:t>
      </w:r>
      <w:r w:rsidR="00DA7B2C">
        <w:t xml:space="preserve"> </w:t>
      </w:r>
      <w:r w:rsidR="00C5204B">
        <w:t>a</w:t>
      </w:r>
      <w:r w:rsidR="00DA7B2C">
        <w:t xml:space="preserve">s </w:t>
      </w:r>
      <w:r w:rsidR="00C5204B">
        <w:t xml:space="preserve">CBS </w:t>
      </w:r>
      <w:r w:rsidR="00DA7B2C">
        <w:t>reforms instill confidence in the banking system</w:t>
      </w:r>
      <w:r w:rsidRPr="000D571E">
        <w:t xml:space="preserve">. </w:t>
      </w:r>
      <w:r>
        <w:t xml:space="preserve">However, </w:t>
      </w:r>
      <w:r w:rsidR="00444A86">
        <w:t xml:space="preserve">the pandemic </w:t>
      </w:r>
      <w:r w:rsidR="007B5F8F">
        <w:t>environment</w:t>
      </w:r>
      <w:r w:rsidR="007E2FC9">
        <w:t xml:space="preserve"> is associated with </w:t>
      </w:r>
      <w:r w:rsidR="002E6492">
        <w:t>uncertainty and increased risks</w:t>
      </w:r>
      <w:r w:rsidR="00A5488C">
        <w:t xml:space="preserve"> </w:t>
      </w:r>
      <w:r w:rsidR="009D3DB6">
        <w:t xml:space="preserve">on </w:t>
      </w:r>
      <w:r w:rsidR="006334E3">
        <w:t>econom</w:t>
      </w:r>
      <w:r w:rsidR="009D3DB6">
        <w:t xml:space="preserve">ic performance </w:t>
      </w:r>
      <w:r w:rsidR="006334E3">
        <w:t xml:space="preserve">and </w:t>
      </w:r>
      <w:r>
        <w:t>c</w:t>
      </w:r>
      <w:r w:rsidRPr="000D571E">
        <w:t xml:space="preserve">ommercial banks </w:t>
      </w:r>
      <w:r w:rsidR="006334E3">
        <w:t>became</w:t>
      </w:r>
      <w:r w:rsidRPr="000D571E">
        <w:t xml:space="preserve"> risk</w:t>
      </w:r>
      <w:r>
        <w:t>-</w:t>
      </w:r>
      <w:r w:rsidRPr="000D571E">
        <w:t>averse preferring to hold liquid cash rather than lend to the private sector</w:t>
      </w:r>
      <w:r>
        <w:t xml:space="preserve"> in 2020</w:t>
      </w:r>
      <w:r w:rsidRPr="000D571E">
        <w:t xml:space="preserve">. The year 2020 depicts a worrying trend that begun in 2019 when </w:t>
      </w:r>
      <w:r>
        <w:t xml:space="preserve">the </w:t>
      </w:r>
      <w:r w:rsidRPr="000D571E">
        <w:t xml:space="preserve">share loans to the private sector dropped from 47 percent in 2018 to 40 percent in 2019. This trend </w:t>
      </w:r>
      <w:r w:rsidRPr="00F557E5">
        <w:t>cont</w:t>
      </w:r>
      <w:r w:rsidR="00AA7171" w:rsidRPr="00F557E5">
        <w:t>inued</w:t>
      </w:r>
      <w:r w:rsidRPr="00F557E5">
        <w:t xml:space="preserve"> in</w:t>
      </w:r>
      <w:r w:rsidRPr="000D571E">
        <w:t xml:space="preserve"> 2020 when the share of loans to the private sector dropped further to 29 percent</w:t>
      </w:r>
      <w:r>
        <w:t xml:space="preserve"> (</w:t>
      </w:r>
      <w:r w:rsidR="00F5011C">
        <w:fldChar w:fldCharType="begin"/>
      </w:r>
      <w:r w:rsidR="00F5011C">
        <w:instrText xml:space="preserve"> REF _Ref70935582 \h </w:instrText>
      </w:r>
      <w:r w:rsidR="00F5011C">
        <w:fldChar w:fldCharType="separate"/>
      </w:r>
      <w:r w:rsidR="00EF291C">
        <w:t xml:space="preserve">Figure </w:t>
      </w:r>
      <w:r w:rsidR="00EF291C">
        <w:rPr>
          <w:noProof/>
        </w:rPr>
        <w:t>11</w:t>
      </w:r>
      <w:r w:rsidR="00F5011C">
        <w:fldChar w:fldCharType="end"/>
      </w:r>
      <w:r w:rsidR="00F5011C">
        <w:t>b</w:t>
      </w:r>
      <w:r>
        <w:t>)</w:t>
      </w:r>
      <w:r w:rsidRPr="000D571E">
        <w:t>.</w:t>
      </w:r>
      <w:r w:rsidR="00DE5BD1">
        <w:t xml:space="preserve"> </w:t>
      </w:r>
      <w:r w:rsidRPr="000D571E">
        <w:t>Cash in hand as portfolio in domestic assets increased from 23 percent in 2019 to 37 percent 2020 (</w:t>
      </w:r>
      <w:r>
        <w:t>see</w:t>
      </w:r>
      <w:r w:rsidR="00EF1142">
        <w:t xml:space="preserve"> </w:t>
      </w:r>
      <w:r w:rsidR="00EF1142">
        <w:fldChar w:fldCharType="begin"/>
      </w:r>
      <w:r w:rsidR="00EF1142">
        <w:instrText xml:space="preserve"> REF _Ref70935582 \h </w:instrText>
      </w:r>
      <w:r w:rsidR="00EF1142">
        <w:fldChar w:fldCharType="separate"/>
      </w:r>
      <w:r w:rsidR="008957DD">
        <w:t xml:space="preserve">Figure </w:t>
      </w:r>
      <w:r w:rsidR="008957DD">
        <w:rPr>
          <w:noProof/>
        </w:rPr>
        <w:t>11</w:t>
      </w:r>
      <w:r w:rsidR="00EF1142">
        <w:fldChar w:fldCharType="end"/>
      </w:r>
      <w:r w:rsidR="00EF1142">
        <w:t>a</w:t>
      </w:r>
      <w:r w:rsidRPr="000D571E">
        <w:t xml:space="preserve">). This </w:t>
      </w:r>
      <w:r>
        <w:t xml:space="preserve">could be seen as a good stance based on the </w:t>
      </w:r>
      <w:r w:rsidRPr="000D571E">
        <w:t>banking system</w:t>
      </w:r>
      <w:r>
        <w:t>’s</w:t>
      </w:r>
      <w:r w:rsidRPr="000D571E">
        <w:t xml:space="preserve"> stability and profitability. </w:t>
      </w:r>
    </w:p>
    <w:p w14:paraId="4A3B929E" w14:textId="7DD41156" w:rsidR="00631AFD" w:rsidRDefault="00631AFD" w:rsidP="00631AFD">
      <w:pPr>
        <w:pStyle w:val="Caption"/>
        <w:jc w:val="left"/>
      </w:pPr>
      <w:bookmarkStart w:id="36" w:name="_Ref70935582"/>
      <w:bookmarkStart w:id="37" w:name="_Toc71725929"/>
      <w:r>
        <w:lastRenderedPageBreak/>
        <w:t xml:space="preserve">Figure </w:t>
      </w:r>
      <w:fldSimple w:instr=" SEQ Figure \* ARABIC ">
        <w:r w:rsidR="00EF291C">
          <w:rPr>
            <w:noProof/>
          </w:rPr>
          <w:t>11</w:t>
        </w:r>
      </w:fldSimple>
      <w:bookmarkEnd w:id="36"/>
      <w:r>
        <w:t xml:space="preserve">: </w:t>
      </w:r>
      <w:r w:rsidR="008E0136">
        <w:t>The changing composition of banking system assets, 2018–20</w:t>
      </w:r>
      <w:bookmarkEnd w:id="37"/>
    </w:p>
    <w:p w14:paraId="051D96B8" w14:textId="77777777" w:rsidR="00816581" w:rsidRDefault="00816581" w:rsidP="00631AFD">
      <w:pPr>
        <w:pStyle w:val="Figure"/>
      </w:pPr>
      <w:r>
        <w:drawing>
          <wp:inline distT="0" distB="0" distL="0" distR="0" wp14:anchorId="3A299F12" wp14:editId="69C84603">
            <wp:extent cx="5889946" cy="2278966"/>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3526" cy="2311305"/>
                    </a:xfrm>
                    <a:prstGeom prst="rect">
                      <a:avLst/>
                    </a:prstGeom>
                    <a:noFill/>
                  </pic:spPr>
                </pic:pic>
              </a:graphicData>
            </a:graphic>
          </wp:inline>
        </w:drawing>
      </w:r>
    </w:p>
    <w:p w14:paraId="5B2BC6F1" w14:textId="77777777" w:rsidR="00816581" w:rsidRPr="008E6ED9" w:rsidRDefault="00816581" w:rsidP="00D756D2">
      <w:pPr>
        <w:pStyle w:val="Source"/>
      </w:pPr>
      <w:r w:rsidRPr="008E6ED9">
        <w:t>Source: Central Bank of Somalia database</w:t>
      </w:r>
    </w:p>
    <w:p w14:paraId="2BA3E2C9" w14:textId="00800989" w:rsidR="00631AFD" w:rsidRDefault="00EF1142" w:rsidP="00EF1142">
      <w:pPr>
        <w:pStyle w:val="Caption"/>
      </w:pPr>
      <w:bookmarkStart w:id="38" w:name="_Toc71725961"/>
      <w:r>
        <w:t xml:space="preserve">Table </w:t>
      </w:r>
      <w:fldSimple w:instr=" SEQ Table \* ARABIC ">
        <w:r>
          <w:rPr>
            <w:noProof/>
          </w:rPr>
          <w:t>4</w:t>
        </w:r>
      </w:fldSimple>
      <w:r w:rsidR="00631AFD">
        <w:t xml:space="preserve">: </w:t>
      </w:r>
      <w:r w:rsidR="00631AFD" w:rsidRPr="00004218">
        <w:t>Banking Sector Performance in Somalia, 2019</w:t>
      </w:r>
      <w:r w:rsidR="00631AFD">
        <w:t>–</w:t>
      </w:r>
      <w:r w:rsidR="00631AFD" w:rsidRPr="00004218">
        <w:t>20</w:t>
      </w:r>
      <w:bookmarkEnd w:id="38"/>
    </w:p>
    <w:tbl>
      <w:tblPr>
        <w:tblStyle w:val="TableGrid"/>
        <w:tblW w:w="0" w:type="auto"/>
        <w:tblLook w:val="04A0" w:firstRow="1" w:lastRow="0" w:firstColumn="1" w:lastColumn="0" w:noHBand="0" w:noVBand="1"/>
      </w:tblPr>
      <w:tblGrid>
        <w:gridCol w:w="4501"/>
        <w:gridCol w:w="1001"/>
        <w:gridCol w:w="1193"/>
        <w:gridCol w:w="1670"/>
      </w:tblGrid>
      <w:tr w:rsidR="00816581" w:rsidRPr="0038676D" w14:paraId="64441A4F" w14:textId="77777777" w:rsidTr="00631AFD">
        <w:trPr>
          <w:trHeight w:val="436"/>
        </w:trPr>
        <w:tc>
          <w:tcPr>
            <w:tcW w:w="4501" w:type="dxa"/>
            <w:vAlign w:val="bottom"/>
          </w:tcPr>
          <w:p w14:paraId="61F0B56E" w14:textId="77777777" w:rsidR="00816581" w:rsidRPr="008E6ED9" w:rsidRDefault="00816581" w:rsidP="00631AFD">
            <w:pPr>
              <w:keepNext/>
              <w:rPr>
                <w:b/>
                <w:bCs/>
                <w:sz w:val="18"/>
                <w:szCs w:val="18"/>
              </w:rPr>
            </w:pPr>
          </w:p>
        </w:tc>
        <w:tc>
          <w:tcPr>
            <w:tcW w:w="1001" w:type="dxa"/>
            <w:vAlign w:val="bottom"/>
          </w:tcPr>
          <w:p w14:paraId="6A6D184C" w14:textId="77777777" w:rsidR="00816581" w:rsidRPr="008E6ED9" w:rsidRDefault="00816581" w:rsidP="009837B2">
            <w:pPr>
              <w:keepNext/>
              <w:jc w:val="right"/>
              <w:rPr>
                <w:b/>
                <w:bCs/>
                <w:sz w:val="18"/>
                <w:szCs w:val="18"/>
              </w:rPr>
            </w:pPr>
            <w:r w:rsidRPr="008E6ED9">
              <w:rPr>
                <w:rFonts w:ascii="Calibri" w:hAnsi="Calibri" w:cs="Calibri"/>
                <w:b/>
                <w:bCs/>
                <w:color w:val="000000"/>
                <w:sz w:val="18"/>
                <w:szCs w:val="18"/>
              </w:rPr>
              <w:t>Dec-19</w:t>
            </w:r>
          </w:p>
        </w:tc>
        <w:tc>
          <w:tcPr>
            <w:tcW w:w="1193" w:type="dxa"/>
            <w:vAlign w:val="bottom"/>
          </w:tcPr>
          <w:p w14:paraId="764A058E" w14:textId="77777777" w:rsidR="00816581" w:rsidRPr="008E6ED9" w:rsidRDefault="00816581" w:rsidP="006559F7">
            <w:pPr>
              <w:keepNext/>
              <w:jc w:val="right"/>
              <w:rPr>
                <w:b/>
                <w:bCs/>
                <w:sz w:val="18"/>
                <w:szCs w:val="18"/>
              </w:rPr>
            </w:pPr>
            <w:r w:rsidRPr="008E6ED9">
              <w:rPr>
                <w:rFonts w:ascii="Calibri" w:hAnsi="Calibri" w:cs="Calibri"/>
                <w:b/>
                <w:bCs/>
                <w:color w:val="000000"/>
                <w:sz w:val="18"/>
                <w:szCs w:val="18"/>
              </w:rPr>
              <w:t>Dec -20</w:t>
            </w:r>
          </w:p>
        </w:tc>
        <w:tc>
          <w:tcPr>
            <w:tcW w:w="1670" w:type="dxa"/>
            <w:vAlign w:val="bottom"/>
          </w:tcPr>
          <w:p w14:paraId="10C412A6" w14:textId="77777777" w:rsidR="00816581" w:rsidRPr="008E6ED9" w:rsidRDefault="00816581" w:rsidP="001E09E9">
            <w:pPr>
              <w:keepNext/>
              <w:jc w:val="right"/>
              <w:rPr>
                <w:b/>
                <w:bCs/>
                <w:sz w:val="18"/>
                <w:szCs w:val="18"/>
              </w:rPr>
            </w:pPr>
            <w:r w:rsidRPr="008E6ED9">
              <w:rPr>
                <w:b/>
                <w:bCs/>
                <w:sz w:val="18"/>
                <w:szCs w:val="18"/>
              </w:rPr>
              <w:t>Percentage change</w:t>
            </w:r>
          </w:p>
          <w:p w14:paraId="4D0C19BC" w14:textId="77777777" w:rsidR="00816581" w:rsidRPr="008E6ED9" w:rsidRDefault="00816581" w:rsidP="001E09E9">
            <w:pPr>
              <w:keepNext/>
              <w:jc w:val="right"/>
              <w:rPr>
                <w:b/>
                <w:bCs/>
                <w:sz w:val="18"/>
                <w:szCs w:val="18"/>
              </w:rPr>
            </w:pPr>
            <w:r w:rsidRPr="008E6ED9">
              <w:rPr>
                <w:b/>
                <w:bCs/>
                <w:sz w:val="18"/>
                <w:szCs w:val="18"/>
              </w:rPr>
              <w:t>(year</w:t>
            </w:r>
            <w:r>
              <w:rPr>
                <w:b/>
                <w:bCs/>
                <w:sz w:val="18"/>
                <w:szCs w:val="18"/>
              </w:rPr>
              <w:t>-</w:t>
            </w:r>
            <w:r w:rsidRPr="008E6ED9">
              <w:rPr>
                <w:b/>
                <w:bCs/>
                <w:sz w:val="18"/>
                <w:szCs w:val="18"/>
              </w:rPr>
              <w:t>on</w:t>
            </w:r>
            <w:r>
              <w:rPr>
                <w:b/>
                <w:bCs/>
                <w:sz w:val="18"/>
                <w:szCs w:val="18"/>
              </w:rPr>
              <w:t>-</w:t>
            </w:r>
            <w:r w:rsidRPr="008E6ED9">
              <w:rPr>
                <w:b/>
                <w:bCs/>
                <w:sz w:val="18"/>
                <w:szCs w:val="18"/>
              </w:rPr>
              <w:t>year)</w:t>
            </w:r>
          </w:p>
        </w:tc>
      </w:tr>
      <w:tr w:rsidR="00816581" w:rsidRPr="0038676D" w14:paraId="086D2590" w14:textId="77777777" w:rsidTr="00631AFD">
        <w:trPr>
          <w:trHeight w:val="212"/>
        </w:trPr>
        <w:tc>
          <w:tcPr>
            <w:tcW w:w="8365" w:type="dxa"/>
            <w:gridSpan w:val="4"/>
            <w:vAlign w:val="bottom"/>
          </w:tcPr>
          <w:p w14:paraId="23B240D0" w14:textId="77777777" w:rsidR="00816581" w:rsidRPr="008E6ED9" w:rsidRDefault="00816581" w:rsidP="00631AFD">
            <w:pPr>
              <w:keepNext/>
              <w:rPr>
                <w:sz w:val="18"/>
                <w:szCs w:val="18"/>
              </w:rPr>
            </w:pPr>
            <w:r w:rsidRPr="008E6ED9">
              <w:rPr>
                <w:rFonts w:ascii="Calibri" w:hAnsi="Calibri" w:cs="Calibri"/>
                <w:b/>
                <w:bCs/>
                <w:color w:val="000000"/>
                <w:sz w:val="18"/>
                <w:szCs w:val="18"/>
              </w:rPr>
              <w:t>Balance sheet Items (US$ millions)</w:t>
            </w:r>
          </w:p>
        </w:tc>
      </w:tr>
      <w:tr w:rsidR="00816581" w:rsidRPr="0038676D" w14:paraId="0AB9C647" w14:textId="77777777" w:rsidTr="00631AFD">
        <w:trPr>
          <w:trHeight w:val="212"/>
        </w:trPr>
        <w:tc>
          <w:tcPr>
            <w:tcW w:w="4501" w:type="dxa"/>
          </w:tcPr>
          <w:p w14:paraId="5E46A90D" w14:textId="496E177B" w:rsidR="00816581" w:rsidRPr="008E6ED9" w:rsidRDefault="00816581" w:rsidP="00631AFD">
            <w:pPr>
              <w:keepNext/>
              <w:rPr>
                <w:sz w:val="18"/>
                <w:szCs w:val="18"/>
              </w:rPr>
            </w:pPr>
            <w:r w:rsidRPr="008E6ED9">
              <w:rPr>
                <w:rFonts w:ascii="Calibri" w:hAnsi="Calibri" w:cs="Calibri"/>
                <w:color w:val="000000"/>
                <w:sz w:val="18"/>
                <w:szCs w:val="18"/>
              </w:rPr>
              <w:t xml:space="preserve"> Cash on </w:t>
            </w:r>
            <w:r w:rsidR="00631AFD">
              <w:rPr>
                <w:rFonts w:ascii="Calibri" w:hAnsi="Calibri" w:cs="Calibri"/>
                <w:color w:val="000000"/>
                <w:sz w:val="18"/>
                <w:szCs w:val="18"/>
              </w:rPr>
              <w:t>h</w:t>
            </w:r>
            <w:r w:rsidRPr="008E6ED9">
              <w:rPr>
                <w:rFonts w:ascii="Calibri" w:hAnsi="Calibri" w:cs="Calibri"/>
                <w:color w:val="000000"/>
                <w:sz w:val="18"/>
                <w:szCs w:val="18"/>
              </w:rPr>
              <w:t>and</w:t>
            </w:r>
          </w:p>
        </w:tc>
        <w:tc>
          <w:tcPr>
            <w:tcW w:w="1001" w:type="dxa"/>
            <w:vAlign w:val="bottom"/>
          </w:tcPr>
          <w:p w14:paraId="57D04A36" w14:textId="77777777" w:rsidR="00816581" w:rsidRPr="008E6ED9" w:rsidRDefault="00816581" w:rsidP="008E0136">
            <w:pPr>
              <w:keepNext/>
              <w:jc w:val="right"/>
              <w:rPr>
                <w:sz w:val="18"/>
                <w:szCs w:val="18"/>
              </w:rPr>
            </w:pPr>
            <w:r w:rsidRPr="008E6ED9">
              <w:rPr>
                <w:rFonts w:ascii="Calibri" w:hAnsi="Calibri" w:cs="Calibri"/>
                <w:color w:val="000000"/>
                <w:sz w:val="18"/>
                <w:szCs w:val="18"/>
              </w:rPr>
              <w:t>116.6</w:t>
            </w:r>
          </w:p>
        </w:tc>
        <w:tc>
          <w:tcPr>
            <w:tcW w:w="1193" w:type="dxa"/>
            <w:vAlign w:val="bottom"/>
          </w:tcPr>
          <w:p w14:paraId="6CBBE86F" w14:textId="77777777" w:rsidR="00816581" w:rsidRPr="008E6ED9" w:rsidRDefault="00816581" w:rsidP="008E0136">
            <w:pPr>
              <w:keepNext/>
              <w:jc w:val="right"/>
              <w:rPr>
                <w:sz w:val="18"/>
                <w:szCs w:val="18"/>
              </w:rPr>
            </w:pPr>
            <w:r w:rsidRPr="008E6ED9">
              <w:rPr>
                <w:rFonts w:ascii="Calibri" w:hAnsi="Calibri" w:cs="Calibri"/>
                <w:color w:val="000000"/>
                <w:sz w:val="18"/>
                <w:szCs w:val="18"/>
              </w:rPr>
              <w:t>285.2</w:t>
            </w:r>
          </w:p>
        </w:tc>
        <w:tc>
          <w:tcPr>
            <w:tcW w:w="1670" w:type="dxa"/>
            <w:vAlign w:val="bottom"/>
          </w:tcPr>
          <w:p w14:paraId="7FD0DCF6"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144.5</w:t>
            </w:r>
          </w:p>
        </w:tc>
      </w:tr>
      <w:tr w:rsidR="00816581" w:rsidRPr="0038676D" w14:paraId="4289FF53" w14:textId="77777777" w:rsidTr="00631AFD">
        <w:trPr>
          <w:trHeight w:val="874"/>
        </w:trPr>
        <w:tc>
          <w:tcPr>
            <w:tcW w:w="4501" w:type="dxa"/>
          </w:tcPr>
          <w:p w14:paraId="13F83D7B" w14:textId="77777777" w:rsidR="00816581" w:rsidRPr="008E6ED9" w:rsidRDefault="00816581" w:rsidP="00631AFD">
            <w:pPr>
              <w:keepNext/>
              <w:rPr>
                <w:rFonts w:ascii="Calibri" w:hAnsi="Calibri" w:cs="Calibri"/>
                <w:sz w:val="18"/>
                <w:szCs w:val="18"/>
              </w:rPr>
            </w:pPr>
            <w:r w:rsidRPr="008E6ED9">
              <w:rPr>
                <w:rFonts w:ascii="Calibri" w:hAnsi="Calibri" w:cs="Calibri"/>
                <w:sz w:val="18"/>
                <w:szCs w:val="18"/>
              </w:rPr>
              <w:t>Credit to the private sector</w:t>
            </w:r>
          </w:p>
          <w:p w14:paraId="355B4730" w14:textId="77777777" w:rsidR="00816581" w:rsidRPr="008E6ED9" w:rsidRDefault="00816581" w:rsidP="00631AFD">
            <w:pPr>
              <w:keepNext/>
              <w:rPr>
                <w:sz w:val="18"/>
                <w:szCs w:val="18"/>
              </w:rPr>
            </w:pPr>
            <w:r w:rsidRPr="008E6ED9">
              <w:rPr>
                <w:sz w:val="18"/>
                <w:szCs w:val="18"/>
              </w:rPr>
              <w:t>Of which</w:t>
            </w:r>
          </w:p>
          <w:p w14:paraId="09C6DC6D" w14:textId="4AA15538" w:rsidR="00816581" w:rsidRPr="008E6ED9" w:rsidRDefault="003E75D5" w:rsidP="00631AFD">
            <w:pPr>
              <w:keepNext/>
              <w:rPr>
                <w:sz w:val="18"/>
                <w:szCs w:val="18"/>
              </w:rPr>
            </w:pPr>
            <w:r>
              <w:rPr>
                <w:sz w:val="18"/>
                <w:szCs w:val="18"/>
              </w:rPr>
              <w:t xml:space="preserve"> </w:t>
            </w:r>
            <w:r w:rsidR="00816581" w:rsidRPr="008E6ED9">
              <w:rPr>
                <w:sz w:val="18"/>
                <w:szCs w:val="18"/>
              </w:rPr>
              <w:t>Financing assets</w:t>
            </w:r>
          </w:p>
          <w:p w14:paraId="2D02E8DD" w14:textId="028CD6E8" w:rsidR="00816581" w:rsidRPr="008E6ED9" w:rsidRDefault="003E75D5" w:rsidP="00631AFD">
            <w:pPr>
              <w:keepNext/>
              <w:rPr>
                <w:sz w:val="18"/>
                <w:szCs w:val="18"/>
              </w:rPr>
            </w:pPr>
            <w:r>
              <w:rPr>
                <w:sz w:val="18"/>
                <w:szCs w:val="18"/>
              </w:rPr>
              <w:t xml:space="preserve"> </w:t>
            </w:r>
            <w:r w:rsidR="00816581" w:rsidRPr="008E6ED9">
              <w:rPr>
                <w:sz w:val="18"/>
                <w:szCs w:val="18"/>
              </w:rPr>
              <w:t xml:space="preserve">Investment in </w:t>
            </w:r>
            <w:r w:rsidR="00631AFD">
              <w:rPr>
                <w:sz w:val="18"/>
                <w:szCs w:val="18"/>
              </w:rPr>
              <w:t>e</w:t>
            </w:r>
            <w:r w:rsidR="00816581" w:rsidRPr="008E6ED9">
              <w:rPr>
                <w:sz w:val="18"/>
                <w:szCs w:val="18"/>
              </w:rPr>
              <w:t>quities (</w:t>
            </w:r>
            <w:r w:rsidR="00631AFD">
              <w:rPr>
                <w:sz w:val="18"/>
                <w:szCs w:val="18"/>
              </w:rPr>
              <w:t>p</w:t>
            </w:r>
            <w:r w:rsidR="00816581" w:rsidRPr="008E6ED9">
              <w:rPr>
                <w:sz w:val="18"/>
                <w:szCs w:val="18"/>
              </w:rPr>
              <w:t>a</w:t>
            </w:r>
            <w:r w:rsidR="00816581" w:rsidRPr="0038676D">
              <w:rPr>
                <w:sz w:val="18"/>
                <w:szCs w:val="18"/>
              </w:rPr>
              <w:t>rtner</w:t>
            </w:r>
            <w:r w:rsidR="00816581" w:rsidRPr="008E6ED9">
              <w:rPr>
                <w:sz w:val="18"/>
                <w:szCs w:val="18"/>
              </w:rPr>
              <w:t>sh</w:t>
            </w:r>
            <w:r w:rsidR="00816581" w:rsidRPr="0038676D">
              <w:rPr>
                <w:sz w:val="18"/>
                <w:szCs w:val="18"/>
              </w:rPr>
              <w:t>i</w:t>
            </w:r>
            <w:r w:rsidR="00816581" w:rsidRPr="008E6ED9">
              <w:rPr>
                <w:sz w:val="18"/>
                <w:szCs w:val="18"/>
              </w:rPr>
              <w:t>ps</w:t>
            </w:r>
            <w:r w:rsidR="00631AFD">
              <w:rPr>
                <w:sz w:val="18"/>
                <w:szCs w:val="18"/>
              </w:rPr>
              <w:t>, j</w:t>
            </w:r>
            <w:r w:rsidR="00816581" w:rsidRPr="008E6ED9">
              <w:rPr>
                <w:sz w:val="18"/>
                <w:szCs w:val="18"/>
              </w:rPr>
              <w:t>oint</w:t>
            </w:r>
            <w:r w:rsidR="00816581" w:rsidRPr="0038676D">
              <w:rPr>
                <w:sz w:val="18"/>
                <w:szCs w:val="18"/>
              </w:rPr>
              <w:t xml:space="preserve"> </w:t>
            </w:r>
            <w:r w:rsidR="00631AFD">
              <w:rPr>
                <w:sz w:val="18"/>
                <w:szCs w:val="18"/>
              </w:rPr>
              <w:t>v</w:t>
            </w:r>
            <w:r w:rsidR="00816581" w:rsidRPr="0038676D">
              <w:rPr>
                <w:sz w:val="18"/>
                <w:szCs w:val="18"/>
              </w:rPr>
              <w:t>entures</w:t>
            </w:r>
            <w:r w:rsidR="00816581" w:rsidRPr="008E6ED9">
              <w:rPr>
                <w:sz w:val="18"/>
                <w:szCs w:val="18"/>
              </w:rPr>
              <w:t>)</w:t>
            </w:r>
          </w:p>
        </w:tc>
        <w:tc>
          <w:tcPr>
            <w:tcW w:w="1001" w:type="dxa"/>
            <w:vAlign w:val="bottom"/>
          </w:tcPr>
          <w:p w14:paraId="63AC20A7" w14:textId="77777777" w:rsidR="00816581" w:rsidRPr="008E6ED9" w:rsidRDefault="00816581" w:rsidP="008E0136">
            <w:pPr>
              <w:keepNext/>
              <w:jc w:val="right"/>
              <w:rPr>
                <w:rFonts w:ascii="Calibri" w:hAnsi="Calibri" w:cs="Calibri"/>
                <w:color w:val="000000"/>
                <w:sz w:val="18"/>
                <w:szCs w:val="18"/>
              </w:rPr>
            </w:pPr>
            <w:r w:rsidRPr="008E6ED9">
              <w:rPr>
                <w:rFonts w:ascii="Calibri" w:hAnsi="Calibri" w:cs="Calibri"/>
                <w:color w:val="000000"/>
                <w:sz w:val="18"/>
                <w:szCs w:val="18"/>
              </w:rPr>
              <w:t>205.6</w:t>
            </w:r>
          </w:p>
          <w:p w14:paraId="5D6D939D" w14:textId="77777777" w:rsidR="00816581" w:rsidRPr="008E6ED9" w:rsidRDefault="00816581" w:rsidP="008E0136">
            <w:pPr>
              <w:keepNext/>
              <w:jc w:val="right"/>
              <w:rPr>
                <w:sz w:val="18"/>
                <w:szCs w:val="18"/>
              </w:rPr>
            </w:pPr>
          </w:p>
          <w:p w14:paraId="4FC4CBEB" w14:textId="77777777" w:rsidR="00816581" w:rsidRPr="008E6ED9" w:rsidRDefault="00816581" w:rsidP="008E0136">
            <w:pPr>
              <w:keepNext/>
              <w:jc w:val="right"/>
              <w:rPr>
                <w:sz w:val="18"/>
                <w:szCs w:val="18"/>
              </w:rPr>
            </w:pPr>
            <w:r w:rsidRPr="008E6ED9">
              <w:rPr>
                <w:sz w:val="18"/>
                <w:szCs w:val="18"/>
              </w:rPr>
              <w:t>155.6</w:t>
            </w:r>
          </w:p>
          <w:p w14:paraId="4BCFE710" w14:textId="77777777" w:rsidR="00816581" w:rsidRPr="008E6ED9" w:rsidRDefault="00816581" w:rsidP="008E0136">
            <w:pPr>
              <w:keepNext/>
              <w:jc w:val="right"/>
              <w:rPr>
                <w:sz w:val="18"/>
                <w:szCs w:val="18"/>
              </w:rPr>
            </w:pPr>
            <w:r w:rsidRPr="008E6ED9">
              <w:rPr>
                <w:sz w:val="18"/>
                <w:szCs w:val="18"/>
              </w:rPr>
              <w:t>40.0</w:t>
            </w:r>
          </w:p>
        </w:tc>
        <w:tc>
          <w:tcPr>
            <w:tcW w:w="1193" w:type="dxa"/>
            <w:vAlign w:val="bottom"/>
          </w:tcPr>
          <w:p w14:paraId="01E031D9" w14:textId="77777777" w:rsidR="00816581" w:rsidRPr="008E6ED9" w:rsidRDefault="00816581" w:rsidP="008E0136">
            <w:pPr>
              <w:keepNext/>
              <w:jc w:val="right"/>
              <w:rPr>
                <w:rFonts w:ascii="Calibri" w:hAnsi="Calibri" w:cs="Calibri"/>
                <w:color w:val="000000"/>
                <w:sz w:val="18"/>
                <w:szCs w:val="18"/>
              </w:rPr>
            </w:pPr>
            <w:r w:rsidRPr="008E6ED9">
              <w:rPr>
                <w:rFonts w:ascii="Calibri" w:hAnsi="Calibri" w:cs="Calibri"/>
                <w:color w:val="000000"/>
                <w:sz w:val="18"/>
                <w:szCs w:val="18"/>
              </w:rPr>
              <w:t>219.0</w:t>
            </w:r>
          </w:p>
          <w:p w14:paraId="10E50DED" w14:textId="77777777" w:rsidR="00816581" w:rsidRPr="008E6ED9" w:rsidRDefault="00816581" w:rsidP="008E0136">
            <w:pPr>
              <w:keepNext/>
              <w:jc w:val="right"/>
              <w:rPr>
                <w:rFonts w:ascii="Calibri" w:hAnsi="Calibri" w:cs="Calibri"/>
                <w:color w:val="000000"/>
                <w:sz w:val="18"/>
                <w:szCs w:val="18"/>
              </w:rPr>
            </w:pPr>
          </w:p>
          <w:p w14:paraId="3E540A80" w14:textId="77777777" w:rsidR="00816581" w:rsidRPr="008E6ED9" w:rsidRDefault="00816581" w:rsidP="008E0136">
            <w:pPr>
              <w:keepNext/>
              <w:jc w:val="right"/>
              <w:rPr>
                <w:rFonts w:ascii="Calibri" w:hAnsi="Calibri" w:cs="Calibri"/>
                <w:color w:val="000000"/>
                <w:sz w:val="18"/>
                <w:szCs w:val="18"/>
              </w:rPr>
            </w:pPr>
            <w:r w:rsidRPr="008E6ED9">
              <w:rPr>
                <w:rFonts w:ascii="Calibri" w:hAnsi="Calibri" w:cs="Calibri"/>
                <w:color w:val="000000"/>
                <w:sz w:val="18"/>
                <w:szCs w:val="18"/>
              </w:rPr>
              <w:t>145.8</w:t>
            </w:r>
          </w:p>
          <w:p w14:paraId="3923B355" w14:textId="77777777" w:rsidR="00816581" w:rsidRPr="008E6ED9" w:rsidRDefault="00816581" w:rsidP="008E0136">
            <w:pPr>
              <w:keepNext/>
              <w:jc w:val="right"/>
              <w:rPr>
                <w:sz w:val="18"/>
                <w:szCs w:val="18"/>
              </w:rPr>
            </w:pPr>
            <w:r w:rsidRPr="008E6ED9">
              <w:rPr>
                <w:rFonts w:ascii="Calibri" w:hAnsi="Calibri" w:cs="Calibri"/>
                <w:color w:val="000000"/>
                <w:sz w:val="18"/>
                <w:szCs w:val="18"/>
              </w:rPr>
              <w:t>73.3</w:t>
            </w:r>
          </w:p>
        </w:tc>
        <w:tc>
          <w:tcPr>
            <w:tcW w:w="1670" w:type="dxa"/>
            <w:vAlign w:val="bottom"/>
          </w:tcPr>
          <w:p w14:paraId="29A38DC3" w14:textId="77777777" w:rsidR="00816581" w:rsidRPr="008E6ED9" w:rsidRDefault="00816581" w:rsidP="008E0136">
            <w:pPr>
              <w:keepNext/>
              <w:ind w:right="526"/>
              <w:jc w:val="right"/>
              <w:rPr>
                <w:rFonts w:ascii="Calibri" w:hAnsi="Calibri" w:cs="Calibri"/>
                <w:color w:val="000000"/>
                <w:sz w:val="18"/>
                <w:szCs w:val="18"/>
              </w:rPr>
            </w:pPr>
            <w:r w:rsidRPr="008E6ED9">
              <w:rPr>
                <w:rFonts w:ascii="Calibri" w:hAnsi="Calibri" w:cs="Calibri"/>
                <w:color w:val="000000"/>
                <w:sz w:val="18"/>
                <w:szCs w:val="18"/>
              </w:rPr>
              <w:t>6.5</w:t>
            </w:r>
          </w:p>
          <w:p w14:paraId="02822911" w14:textId="77777777" w:rsidR="00816581" w:rsidRPr="008E6ED9" w:rsidRDefault="00816581" w:rsidP="008E0136">
            <w:pPr>
              <w:keepNext/>
              <w:ind w:right="526"/>
              <w:jc w:val="right"/>
              <w:rPr>
                <w:rFonts w:ascii="Calibri" w:hAnsi="Calibri" w:cs="Calibri"/>
                <w:color w:val="000000"/>
                <w:sz w:val="18"/>
                <w:szCs w:val="18"/>
              </w:rPr>
            </w:pPr>
          </w:p>
          <w:p w14:paraId="566E1FA1" w14:textId="77777777" w:rsidR="00816581" w:rsidRPr="008E6ED9" w:rsidRDefault="00816581" w:rsidP="008E0136">
            <w:pPr>
              <w:keepNext/>
              <w:ind w:right="526"/>
              <w:jc w:val="right"/>
              <w:rPr>
                <w:rFonts w:ascii="Calibri" w:hAnsi="Calibri" w:cs="Calibri"/>
                <w:color w:val="000000"/>
                <w:sz w:val="18"/>
                <w:szCs w:val="18"/>
              </w:rPr>
            </w:pPr>
            <w:r w:rsidRPr="008E6ED9">
              <w:rPr>
                <w:rFonts w:ascii="Calibri" w:hAnsi="Calibri" w:cs="Calibri"/>
                <w:color w:val="000000"/>
                <w:sz w:val="18"/>
                <w:szCs w:val="18"/>
              </w:rPr>
              <w:t>-6.3</w:t>
            </w:r>
          </w:p>
          <w:p w14:paraId="59C05501"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46.6</w:t>
            </w:r>
          </w:p>
        </w:tc>
      </w:tr>
      <w:tr w:rsidR="00816581" w:rsidRPr="0038676D" w14:paraId="2E50B289" w14:textId="77777777" w:rsidTr="00631AFD">
        <w:trPr>
          <w:trHeight w:val="212"/>
        </w:trPr>
        <w:tc>
          <w:tcPr>
            <w:tcW w:w="4501" w:type="dxa"/>
          </w:tcPr>
          <w:p w14:paraId="4314E593" w14:textId="0F954E11" w:rsidR="00816581" w:rsidRPr="008E6ED9" w:rsidRDefault="00816581" w:rsidP="00631AFD">
            <w:pPr>
              <w:keepNext/>
              <w:rPr>
                <w:sz w:val="18"/>
                <w:szCs w:val="18"/>
              </w:rPr>
            </w:pPr>
            <w:r w:rsidRPr="008E6ED9">
              <w:rPr>
                <w:rFonts w:ascii="Calibri" w:hAnsi="Calibri" w:cs="Calibri"/>
                <w:color w:val="000000"/>
                <w:sz w:val="18"/>
                <w:szCs w:val="18"/>
              </w:rPr>
              <w:t xml:space="preserve">Investment in </w:t>
            </w:r>
            <w:r w:rsidR="00631AFD">
              <w:rPr>
                <w:rFonts w:ascii="Calibri" w:hAnsi="Calibri" w:cs="Calibri"/>
                <w:color w:val="000000"/>
                <w:sz w:val="18"/>
                <w:szCs w:val="18"/>
              </w:rPr>
              <w:t>p</w:t>
            </w:r>
            <w:r w:rsidRPr="008E6ED9">
              <w:rPr>
                <w:rFonts w:ascii="Calibri" w:hAnsi="Calibri" w:cs="Calibri"/>
                <w:color w:val="000000"/>
                <w:sz w:val="18"/>
                <w:szCs w:val="18"/>
              </w:rPr>
              <w:t xml:space="preserve">roperty and </w:t>
            </w:r>
            <w:r w:rsidR="00631AFD">
              <w:rPr>
                <w:rFonts w:ascii="Calibri" w:hAnsi="Calibri" w:cs="Calibri"/>
                <w:color w:val="000000"/>
                <w:sz w:val="18"/>
                <w:szCs w:val="18"/>
              </w:rPr>
              <w:t>r</w:t>
            </w:r>
            <w:r w:rsidRPr="008E6ED9">
              <w:rPr>
                <w:rFonts w:ascii="Calibri" w:hAnsi="Calibri" w:cs="Calibri"/>
                <w:color w:val="000000"/>
                <w:sz w:val="18"/>
                <w:szCs w:val="18"/>
              </w:rPr>
              <w:t>eal Estate</w:t>
            </w:r>
          </w:p>
        </w:tc>
        <w:tc>
          <w:tcPr>
            <w:tcW w:w="1001" w:type="dxa"/>
            <w:vAlign w:val="bottom"/>
          </w:tcPr>
          <w:p w14:paraId="13B80AC0" w14:textId="77777777" w:rsidR="00816581" w:rsidRPr="008E6ED9" w:rsidRDefault="00816581" w:rsidP="008E0136">
            <w:pPr>
              <w:keepNext/>
              <w:jc w:val="right"/>
              <w:rPr>
                <w:sz w:val="18"/>
                <w:szCs w:val="18"/>
              </w:rPr>
            </w:pPr>
            <w:r w:rsidRPr="008E6ED9">
              <w:rPr>
                <w:rFonts w:ascii="Calibri" w:hAnsi="Calibri" w:cs="Calibri"/>
                <w:color w:val="000000"/>
                <w:sz w:val="18"/>
                <w:szCs w:val="18"/>
              </w:rPr>
              <w:t>59.69</w:t>
            </w:r>
          </w:p>
        </w:tc>
        <w:tc>
          <w:tcPr>
            <w:tcW w:w="1193" w:type="dxa"/>
            <w:vAlign w:val="bottom"/>
          </w:tcPr>
          <w:p w14:paraId="16813321" w14:textId="77777777" w:rsidR="00816581" w:rsidRPr="008E6ED9" w:rsidRDefault="00816581" w:rsidP="008E0136">
            <w:pPr>
              <w:keepNext/>
              <w:jc w:val="right"/>
              <w:rPr>
                <w:sz w:val="18"/>
                <w:szCs w:val="18"/>
              </w:rPr>
            </w:pPr>
            <w:r w:rsidRPr="008E6ED9">
              <w:rPr>
                <w:rFonts w:ascii="Calibri" w:hAnsi="Calibri" w:cs="Calibri"/>
                <w:color w:val="000000"/>
                <w:sz w:val="18"/>
                <w:szCs w:val="18"/>
              </w:rPr>
              <w:t>60.83</w:t>
            </w:r>
          </w:p>
        </w:tc>
        <w:tc>
          <w:tcPr>
            <w:tcW w:w="1670" w:type="dxa"/>
            <w:vAlign w:val="bottom"/>
          </w:tcPr>
          <w:p w14:paraId="7593487C"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1.9</w:t>
            </w:r>
          </w:p>
        </w:tc>
      </w:tr>
      <w:tr w:rsidR="00816581" w:rsidRPr="0038676D" w14:paraId="7976C9A1" w14:textId="77777777" w:rsidTr="00631AFD">
        <w:trPr>
          <w:trHeight w:val="212"/>
        </w:trPr>
        <w:tc>
          <w:tcPr>
            <w:tcW w:w="4501" w:type="dxa"/>
            <w:vAlign w:val="bottom"/>
          </w:tcPr>
          <w:p w14:paraId="68DE046A" w14:textId="5A068CE5" w:rsidR="00816581" w:rsidRPr="008E6ED9" w:rsidRDefault="00816581" w:rsidP="00631AFD">
            <w:pPr>
              <w:keepNext/>
              <w:rPr>
                <w:sz w:val="18"/>
                <w:szCs w:val="18"/>
              </w:rPr>
            </w:pPr>
            <w:r w:rsidRPr="008E6ED9">
              <w:rPr>
                <w:rFonts w:ascii="Calibri" w:hAnsi="Calibri" w:cs="Calibri"/>
                <w:color w:val="000000"/>
                <w:sz w:val="18"/>
                <w:szCs w:val="18"/>
              </w:rPr>
              <w:t xml:space="preserve">Total </w:t>
            </w:r>
            <w:r w:rsidR="00631AFD" w:rsidRPr="008E6ED9">
              <w:rPr>
                <w:rFonts w:ascii="Calibri" w:hAnsi="Calibri" w:cs="Calibri"/>
                <w:color w:val="000000"/>
                <w:sz w:val="18"/>
                <w:szCs w:val="18"/>
              </w:rPr>
              <w:t>assets</w:t>
            </w:r>
          </w:p>
        </w:tc>
        <w:tc>
          <w:tcPr>
            <w:tcW w:w="1001" w:type="dxa"/>
            <w:vAlign w:val="bottom"/>
          </w:tcPr>
          <w:p w14:paraId="285C3DC3" w14:textId="77777777" w:rsidR="00816581" w:rsidRPr="008E6ED9" w:rsidRDefault="00816581" w:rsidP="008E0136">
            <w:pPr>
              <w:keepNext/>
              <w:jc w:val="right"/>
              <w:rPr>
                <w:sz w:val="18"/>
                <w:szCs w:val="18"/>
              </w:rPr>
            </w:pPr>
            <w:r w:rsidRPr="008E6ED9">
              <w:rPr>
                <w:rFonts w:ascii="Calibri" w:hAnsi="Calibri" w:cs="Calibri"/>
                <w:color w:val="000000"/>
                <w:sz w:val="18"/>
                <w:szCs w:val="18"/>
              </w:rPr>
              <w:t>556.22</w:t>
            </w:r>
          </w:p>
        </w:tc>
        <w:tc>
          <w:tcPr>
            <w:tcW w:w="1193" w:type="dxa"/>
            <w:vAlign w:val="bottom"/>
          </w:tcPr>
          <w:p w14:paraId="75BA20DA" w14:textId="77777777" w:rsidR="00816581" w:rsidRPr="008E6ED9" w:rsidRDefault="00816581" w:rsidP="008E0136">
            <w:pPr>
              <w:keepNext/>
              <w:jc w:val="right"/>
              <w:rPr>
                <w:sz w:val="18"/>
                <w:szCs w:val="18"/>
              </w:rPr>
            </w:pPr>
            <w:r w:rsidRPr="008E6ED9">
              <w:rPr>
                <w:rFonts w:ascii="Calibri" w:hAnsi="Calibri" w:cs="Calibri"/>
                <w:color w:val="000000"/>
                <w:sz w:val="18"/>
                <w:szCs w:val="18"/>
              </w:rPr>
              <w:t>821.41</w:t>
            </w:r>
          </w:p>
        </w:tc>
        <w:tc>
          <w:tcPr>
            <w:tcW w:w="1670" w:type="dxa"/>
            <w:vAlign w:val="bottom"/>
          </w:tcPr>
          <w:p w14:paraId="008B4230"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47.7</w:t>
            </w:r>
          </w:p>
        </w:tc>
      </w:tr>
      <w:tr w:rsidR="00816581" w:rsidRPr="0038676D" w14:paraId="339E4870" w14:textId="77777777" w:rsidTr="00631AFD">
        <w:trPr>
          <w:trHeight w:val="223"/>
        </w:trPr>
        <w:tc>
          <w:tcPr>
            <w:tcW w:w="4501" w:type="dxa"/>
          </w:tcPr>
          <w:p w14:paraId="5D222D68" w14:textId="75F299FA" w:rsidR="00816581" w:rsidRPr="008E6ED9" w:rsidRDefault="00631AFD" w:rsidP="00631AFD">
            <w:pPr>
              <w:keepNext/>
              <w:rPr>
                <w:sz w:val="18"/>
                <w:szCs w:val="18"/>
              </w:rPr>
            </w:pPr>
            <w:r w:rsidRPr="008E6ED9">
              <w:rPr>
                <w:rFonts w:ascii="Calibri" w:hAnsi="Calibri" w:cs="Calibri"/>
                <w:sz w:val="18"/>
                <w:szCs w:val="18"/>
              </w:rPr>
              <w:t xml:space="preserve">Customer deposits </w:t>
            </w:r>
          </w:p>
        </w:tc>
        <w:tc>
          <w:tcPr>
            <w:tcW w:w="1001" w:type="dxa"/>
            <w:vAlign w:val="bottom"/>
          </w:tcPr>
          <w:p w14:paraId="0334E732" w14:textId="77777777" w:rsidR="00816581" w:rsidRPr="008E6ED9" w:rsidRDefault="00816581" w:rsidP="008E0136">
            <w:pPr>
              <w:keepNext/>
              <w:jc w:val="right"/>
              <w:rPr>
                <w:sz w:val="18"/>
                <w:szCs w:val="18"/>
              </w:rPr>
            </w:pPr>
            <w:r w:rsidRPr="008E6ED9">
              <w:rPr>
                <w:rFonts w:ascii="Calibri" w:hAnsi="Calibri" w:cs="Calibri"/>
                <w:color w:val="000000"/>
                <w:sz w:val="18"/>
                <w:szCs w:val="18"/>
              </w:rPr>
              <w:t>430.12</w:t>
            </w:r>
          </w:p>
        </w:tc>
        <w:tc>
          <w:tcPr>
            <w:tcW w:w="1193" w:type="dxa"/>
            <w:vAlign w:val="bottom"/>
          </w:tcPr>
          <w:p w14:paraId="1F9618AC" w14:textId="77777777" w:rsidR="00816581" w:rsidRPr="008E6ED9" w:rsidRDefault="00816581" w:rsidP="008E0136">
            <w:pPr>
              <w:keepNext/>
              <w:jc w:val="right"/>
              <w:rPr>
                <w:sz w:val="18"/>
                <w:szCs w:val="18"/>
              </w:rPr>
            </w:pPr>
            <w:r w:rsidRPr="008E6ED9">
              <w:rPr>
                <w:rFonts w:ascii="Calibri" w:hAnsi="Calibri" w:cs="Calibri"/>
                <w:color w:val="000000"/>
                <w:sz w:val="18"/>
                <w:szCs w:val="18"/>
              </w:rPr>
              <w:t>659.34</w:t>
            </w:r>
          </w:p>
        </w:tc>
        <w:tc>
          <w:tcPr>
            <w:tcW w:w="1670" w:type="dxa"/>
            <w:vAlign w:val="bottom"/>
          </w:tcPr>
          <w:p w14:paraId="5C3D381B"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53.3</w:t>
            </w:r>
          </w:p>
        </w:tc>
      </w:tr>
      <w:tr w:rsidR="00816581" w:rsidRPr="0038676D" w14:paraId="227A924A" w14:textId="77777777" w:rsidTr="00631AFD">
        <w:trPr>
          <w:trHeight w:val="212"/>
        </w:trPr>
        <w:tc>
          <w:tcPr>
            <w:tcW w:w="4501" w:type="dxa"/>
          </w:tcPr>
          <w:p w14:paraId="5A4DC85A" w14:textId="062CDCA9" w:rsidR="00816581" w:rsidRPr="008E6ED9" w:rsidRDefault="00631AFD" w:rsidP="00631AFD">
            <w:pPr>
              <w:keepNext/>
              <w:rPr>
                <w:sz w:val="18"/>
                <w:szCs w:val="18"/>
              </w:rPr>
            </w:pPr>
            <w:r w:rsidRPr="008E6ED9">
              <w:rPr>
                <w:rFonts w:ascii="Calibri" w:hAnsi="Calibri" w:cs="Calibri"/>
                <w:color w:val="000000"/>
                <w:sz w:val="18"/>
                <w:szCs w:val="18"/>
              </w:rPr>
              <w:t>Total shareholder’s equity</w:t>
            </w:r>
          </w:p>
        </w:tc>
        <w:tc>
          <w:tcPr>
            <w:tcW w:w="1001" w:type="dxa"/>
            <w:vAlign w:val="bottom"/>
          </w:tcPr>
          <w:p w14:paraId="750C1276" w14:textId="77777777" w:rsidR="00816581" w:rsidRPr="008E6ED9" w:rsidRDefault="00816581" w:rsidP="008E0136">
            <w:pPr>
              <w:keepNext/>
              <w:jc w:val="right"/>
              <w:rPr>
                <w:sz w:val="18"/>
                <w:szCs w:val="18"/>
              </w:rPr>
            </w:pPr>
            <w:r w:rsidRPr="008E6ED9">
              <w:rPr>
                <w:rFonts w:ascii="Calibri" w:hAnsi="Calibri" w:cs="Calibri"/>
                <w:color w:val="000000"/>
                <w:sz w:val="18"/>
                <w:szCs w:val="18"/>
              </w:rPr>
              <w:t>96.97</w:t>
            </w:r>
          </w:p>
        </w:tc>
        <w:tc>
          <w:tcPr>
            <w:tcW w:w="1193" w:type="dxa"/>
            <w:vAlign w:val="bottom"/>
          </w:tcPr>
          <w:p w14:paraId="6B2D3D0A" w14:textId="77777777" w:rsidR="00816581" w:rsidRPr="008E6ED9" w:rsidRDefault="00816581" w:rsidP="008E0136">
            <w:pPr>
              <w:keepNext/>
              <w:jc w:val="right"/>
              <w:rPr>
                <w:sz w:val="18"/>
                <w:szCs w:val="18"/>
              </w:rPr>
            </w:pPr>
            <w:r w:rsidRPr="008E6ED9">
              <w:rPr>
                <w:rFonts w:ascii="Calibri" w:hAnsi="Calibri" w:cs="Calibri"/>
                <w:color w:val="000000"/>
                <w:sz w:val="18"/>
                <w:szCs w:val="18"/>
              </w:rPr>
              <w:t>117.12</w:t>
            </w:r>
          </w:p>
        </w:tc>
        <w:tc>
          <w:tcPr>
            <w:tcW w:w="1670" w:type="dxa"/>
            <w:vAlign w:val="bottom"/>
          </w:tcPr>
          <w:p w14:paraId="418B925B"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20.8</w:t>
            </w:r>
          </w:p>
        </w:tc>
      </w:tr>
      <w:tr w:rsidR="00816581" w:rsidRPr="0038676D" w14:paraId="56E779B6" w14:textId="77777777" w:rsidTr="00631AFD">
        <w:trPr>
          <w:trHeight w:val="212"/>
        </w:trPr>
        <w:tc>
          <w:tcPr>
            <w:tcW w:w="4501" w:type="dxa"/>
          </w:tcPr>
          <w:p w14:paraId="534AE391" w14:textId="39DA576C" w:rsidR="00816581" w:rsidRPr="008E6ED9" w:rsidRDefault="00631AFD" w:rsidP="00631AFD">
            <w:pPr>
              <w:keepNext/>
              <w:rPr>
                <w:sz w:val="18"/>
                <w:szCs w:val="18"/>
              </w:rPr>
            </w:pPr>
            <w:r w:rsidRPr="008E6ED9">
              <w:rPr>
                <w:rFonts w:ascii="Calibri" w:hAnsi="Calibri" w:cs="Calibri"/>
                <w:color w:val="000000"/>
                <w:sz w:val="18"/>
                <w:szCs w:val="18"/>
              </w:rPr>
              <w:t>Net profit after tax</w:t>
            </w:r>
          </w:p>
        </w:tc>
        <w:tc>
          <w:tcPr>
            <w:tcW w:w="1001" w:type="dxa"/>
            <w:vAlign w:val="bottom"/>
          </w:tcPr>
          <w:p w14:paraId="7B0924D6" w14:textId="77777777" w:rsidR="00816581" w:rsidRPr="008E6ED9" w:rsidRDefault="00816581" w:rsidP="008E0136">
            <w:pPr>
              <w:keepNext/>
              <w:jc w:val="right"/>
              <w:rPr>
                <w:sz w:val="18"/>
                <w:szCs w:val="18"/>
              </w:rPr>
            </w:pPr>
            <w:r w:rsidRPr="008E6ED9">
              <w:rPr>
                <w:rFonts w:ascii="Calibri" w:hAnsi="Calibri" w:cs="Calibri"/>
                <w:color w:val="000000"/>
                <w:sz w:val="18"/>
                <w:szCs w:val="18"/>
              </w:rPr>
              <w:t>1.21</w:t>
            </w:r>
          </w:p>
        </w:tc>
        <w:tc>
          <w:tcPr>
            <w:tcW w:w="1193" w:type="dxa"/>
            <w:vAlign w:val="bottom"/>
          </w:tcPr>
          <w:p w14:paraId="28D72CEA" w14:textId="77777777" w:rsidR="00816581" w:rsidRPr="008E6ED9" w:rsidRDefault="00816581" w:rsidP="008E0136">
            <w:pPr>
              <w:keepNext/>
              <w:jc w:val="right"/>
              <w:rPr>
                <w:sz w:val="18"/>
                <w:szCs w:val="18"/>
              </w:rPr>
            </w:pPr>
            <w:r w:rsidRPr="008E6ED9">
              <w:rPr>
                <w:rFonts w:ascii="Calibri" w:hAnsi="Calibri" w:cs="Calibri"/>
                <w:color w:val="000000"/>
                <w:sz w:val="18"/>
                <w:szCs w:val="18"/>
              </w:rPr>
              <w:t>(2.31)</w:t>
            </w:r>
          </w:p>
        </w:tc>
        <w:tc>
          <w:tcPr>
            <w:tcW w:w="1670" w:type="dxa"/>
            <w:vAlign w:val="bottom"/>
          </w:tcPr>
          <w:p w14:paraId="61E2DA8F"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-290.9</w:t>
            </w:r>
          </w:p>
        </w:tc>
      </w:tr>
      <w:tr w:rsidR="00816581" w:rsidRPr="0038676D" w14:paraId="17FDCA1C" w14:textId="77777777" w:rsidTr="00631AFD">
        <w:trPr>
          <w:trHeight w:val="223"/>
        </w:trPr>
        <w:tc>
          <w:tcPr>
            <w:tcW w:w="4501" w:type="dxa"/>
          </w:tcPr>
          <w:p w14:paraId="09352C30" w14:textId="4D6740E2" w:rsidR="00816581" w:rsidRPr="008E6ED9" w:rsidRDefault="00631AFD" w:rsidP="00631AFD">
            <w:pPr>
              <w:keepNext/>
              <w:rPr>
                <w:sz w:val="18"/>
                <w:szCs w:val="18"/>
              </w:rPr>
            </w:pPr>
            <w:r w:rsidRPr="008E6ED9">
              <w:rPr>
                <w:rFonts w:ascii="Calibri" w:hAnsi="Calibri" w:cs="Calibri"/>
                <w:color w:val="000000"/>
                <w:sz w:val="18"/>
                <w:szCs w:val="18"/>
              </w:rPr>
              <w:t>Non-performing financial assets</w:t>
            </w:r>
          </w:p>
        </w:tc>
        <w:tc>
          <w:tcPr>
            <w:tcW w:w="1001" w:type="dxa"/>
            <w:vAlign w:val="bottom"/>
          </w:tcPr>
          <w:p w14:paraId="57ECE495" w14:textId="77777777" w:rsidR="00816581" w:rsidRPr="008E6ED9" w:rsidRDefault="00816581" w:rsidP="008E0136">
            <w:pPr>
              <w:keepNext/>
              <w:jc w:val="right"/>
              <w:rPr>
                <w:sz w:val="18"/>
                <w:szCs w:val="18"/>
              </w:rPr>
            </w:pPr>
            <w:r w:rsidRPr="008E6ED9">
              <w:rPr>
                <w:rFonts w:ascii="Calibri" w:hAnsi="Calibri" w:cs="Calibri"/>
                <w:color w:val="000000"/>
                <w:sz w:val="18"/>
                <w:szCs w:val="18"/>
              </w:rPr>
              <w:t>8.24</w:t>
            </w:r>
          </w:p>
        </w:tc>
        <w:tc>
          <w:tcPr>
            <w:tcW w:w="1193" w:type="dxa"/>
            <w:vAlign w:val="bottom"/>
          </w:tcPr>
          <w:p w14:paraId="360A1C58" w14:textId="77777777" w:rsidR="00816581" w:rsidRPr="008E6ED9" w:rsidRDefault="00816581" w:rsidP="008E0136">
            <w:pPr>
              <w:keepNext/>
              <w:jc w:val="right"/>
              <w:rPr>
                <w:sz w:val="18"/>
                <w:szCs w:val="18"/>
              </w:rPr>
            </w:pPr>
            <w:r w:rsidRPr="008E6ED9">
              <w:rPr>
                <w:rFonts w:ascii="Calibri" w:hAnsi="Calibri" w:cs="Calibri"/>
                <w:color w:val="000000"/>
                <w:sz w:val="18"/>
                <w:szCs w:val="18"/>
              </w:rPr>
              <w:t>5.88</w:t>
            </w:r>
          </w:p>
        </w:tc>
        <w:tc>
          <w:tcPr>
            <w:tcW w:w="1670" w:type="dxa"/>
            <w:vAlign w:val="bottom"/>
          </w:tcPr>
          <w:p w14:paraId="3CEE2B3E"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-28.6</w:t>
            </w:r>
          </w:p>
        </w:tc>
      </w:tr>
      <w:tr w:rsidR="00816581" w:rsidRPr="0038676D" w14:paraId="37320D93" w14:textId="77777777" w:rsidTr="00631AFD">
        <w:trPr>
          <w:trHeight w:val="212"/>
        </w:trPr>
        <w:tc>
          <w:tcPr>
            <w:tcW w:w="4501" w:type="dxa"/>
          </w:tcPr>
          <w:p w14:paraId="7E3F4CD0" w14:textId="33C10486" w:rsidR="00816581" w:rsidRPr="008E6ED9" w:rsidRDefault="00631AFD" w:rsidP="00631AFD">
            <w:pPr>
              <w:keepNext/>
              <w:rPr>
                <w:sz w:val="18"/>
                <w:szCs w:val="18"/>
              </w:rPr>
            </w:pPr>
            <w:r w:rsidRPr="008E6ED9">
              <w:rPr>
                <w:rFonts w:ascii="Calibri" w:hAnsi="Calibri" w:cs="Calibri"/>
                <w:color w:val="000000"/>
                <w:sz w:val="18"/>
                <w:szCs w:val="18"/>
              </w:rPr>
              <w:t>Total capital (CBS/BS/REG/02)</w:t>
            </w:r>
          </w:p>
        </w:tc>
        <w:tc>
          <w:tcPr>
            <w:tcW w:w="1001" w:type="dxa"/>
            <w:vAlign w:val="bottom"/>
          </w:tcPr>
          <w:p w14:paraId="5D72D40D" w14:textId="77777777" w:rsidR="00816581" w:rsidRPr="008E6ED9" w:rsidRDefault="00816581" w:rsidP="008E0136">
            <w:pPr>
              <w:keepNext/>
              <w:jc w:val="right"/>
              <w:rPr>
                <w:sz w:val="18"/>
                <w:szCs w:val="18"/>
              </w:rPr>
            </w:pPr>
            <w:r w:rsidRPr="008E6ED9">
              <w:rPr>
                <w:rFonts w:ascii="Calibri" w:hAnsi="Calibri" w:cs="Calibri"/>
                <w:color w:val="000000"/>
                <w:sz w:val="18"/>
                <w:szCs w:val="18"/>
              </w:rPr>
              <w:t>86.31</w:t>
            </w:r>
          </w:p>
        </w:tc>
        <w:tc>
          <w:tcPr>
            <w:tcW w:w="1193" w:type="dxa"/>
            <w:vAlign w:val="bottom"/>
          </w:tcPr>
          <w:p w14:paraId="193DE6BE" w14:textId="77777777" w:rsidR="00816581" w:rsidRPr="008E6ED9" w:rsidRDefault="00816581" w:rsidP="008E0136">
            <w:pPr>
              <w:keepNext/>
              <w:jc w:val="right"/>
              <w:rPr>
                <w:sz w:val="18"/>
                <w:szCs w:val="18"/>
              </w:rPr>
            </w:pPr>
            <w:r w:rsidRPr="008E6ED9">
              <w:rPr>
                <w:rFonts w:ascii="Calibri" w:hAnsi="Calibri" w:cs="Calibri"/>
                <w:color w:val="000000"/>
                <w:sz w:val="18"/>
                <w:szCs w:val="18"/>
              </w:rPr>
              <w:t>100.54</w:t>
            </w:r>
          </w:p>
        </w:tc>
        <w:tc>
          <w:tcPr>
            <w:tcW w:w="1670" w:type="dxa"/>
            <w:vAlign w:val="bottom"/>
          </w:tcPr>
          <w:p w14:paraId="76C9CFB3"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16.5</w:t>
            </w:r>
          </w:p>
        </w:tc>
      </w:tr>
      <w:tr w:rsidR="00816581" w:rsidRPr="0038676D" w14:paraId="281F81D4" w14:textId="77777777" w:rsidTr="00631AFD">
        <w:trPr>
          <w:trHeight w:val="212"/>
        </w:trPr>
        <w:tc>
          <w:tcPr>
            <w:tcW w:w="4501" w:type="dxa"/>
            <w:vAlign w:val="bottom"/>
          </w:tcPr>
          <w:p w14:paraId="163F8A82" w14:textId="74424425" w:rsidR="00816581" w:rsidRPr="008E6ED9" w:rsidRDefault="00631AFD" w:rsidP="00631AFD">
            <w:pPr>
              <w:keepNext/>
              <w:rPr>
                <w:sz w:val="18"/>
                <w:szCs w:val="18"/>
              </w:rPr>
            </w:pPr>
            <w:r w:rsidRPr="008E6ED9">
              <w:rPr>
                <w:rFonts w:ascii="Calibri" w:hAnsi="Calibri" w:cs="Calibri"/>
                <w:color w:val="000000"/>
                <w:sz w:val="18"/>
                <w:szCs w:val="18"/>
              </w:rPr>
              <w:t>Total net assets (CBS/BS/REG/02)</w:t>
            </w:r>
          </w:p>
        </w:tc>
        <w:tc>
          <w:tcPr>
            <w:tcW w:w="1001" w:type="dxa"/>
            <w:vAlign w:val="bottom"/>
          </w:tcPr>
          <w:p w14:paraId="1EB1695B" w14:textId="77777777" w:rsidR="00816581" w:rsidRPr="008E6ED9" w:rsidRDefault="00816581" w:rsidP="008E0136">
            <w:pPr>
              <w:keepNext/>
              <w:jc w:val="right"/>
              <w:rPr>
                <w:sz w:val="18"/>
                <w:szCs w:val="18"/>
              </w:rPr>
            </w:pPr>
            <w:r w:rsidRPr="008E6ED9">
              <w:rPr>
                <w:rFonts w:ascii="Calibri" w:hAnsi="Calibri" w:cs="Calibri"/>
                <w:color w:val="000000"/>
                <w:sz w:val="18"/>
                <w:szCs w:val="18"/>
              </w:rPr>
              <w:t>544.23</w:t>
            </w:r>
          </w:p>
        </w:tc>
        <w:tc>
          <w:tcPr>
            <w:tcW w:w="1193" w:type="dxa"/>
            <w:vAlign w:val="bottom"/>
          </w:tcPr>
          <w:p w14:paraId="17239084" w14:textId="77777777" w:rsidR="00816581" w:rsidRPr="008E6ED9" w:rsidRDefault="00816581" w:rsidP="008E0136">
            <w:pPr>
              <w:keepNext/>
              <w:jc w:val="right"/>
              <w:rPr>
                <w:sz w:val="18"/>
                <w:szCs w:val="18"/>
              </w:rPr>
            </w:pPr>
            <w:r w:rsidRPr="008E6ED9">
              <w:rPr>
                <w:rFonts w:ascii="Calibri" w:hAnsi="Calibri" w:cs="Calibri"/>
                <w:color w:val="000000"/>
                <w:sz w:val="18"/>
                <w:szCs w:val="18"/>
              </w:rPr>
              <w:t>806.50</w:t>
            </w:r>
          </w:p>
        </w:tc>
        <w:tc>
          <w:tcPr>
            <w:tcW w:w="1670" w:type="dxa"/>
            <w:vAlign w:val="bottom"/>
          </w:tcPr>
          <w:p w14:paraId="4A6BE43B" w14:textId="77777777" w:rsidR="00816581" w:rsidRPr="008E6ED9" w:rsidRDefault="00816581" w:rsidP="008E0136">
            <w:pPr>
              <w:keepNext/>
              <w:ind w:right="526"/>
              <w:jc w:val="right"/>
              <w:rPr>
                <w:sz w:val="18"/>
                <w:szCs w:val="18"/>
              </w:rPr>
            </w:pPr>
            <w:r w:rsidRPr="008E6ED9">
              <w:rPr>
                <w:rFonts w:ascii="Calibri" w:hAnsi="Calibri" w:cs="Calibri"/>
                <w:color w:val="000000"/>
                <w:sz w:val="18"/>
                <w:szCs w:val="18"/>
              </w:rPr>
              <w:t>48.2</w:t>
            </w:r>
          </w:p>
        </w:tc>
      </w:tr>
      <w:tr w:rsidR="00816581" w:rsidRPr="0038676D" w14:paraId="019DB91E" w14:textId="77777777" w:rsidTr="00631AFD">
        <w:trPr>
          <w:trHeight w:val="223"/>
        </w:trPr>
        <w:tc>
          <w:tcPr>
            <w:tcW w:w="4501" w:type="dxa"/>
            <w:vAlign w:val="bottom"/>
          </w:tcPr>
          <w:p w14:paraId="5BC4660D" w14:textId="77777777" w:rsidR="00816581" w:rsidRPr="008E6ED9" w:rsidRDefault="00816581" w:rsidP="00631AFD">
            <w:pPr>
              <w:keepNext/>
              <w:rPr>
                <w:sz w:val="18"/>
                <w:szCs w:val="18"/>
              </w:rPr>
            </w:pPr>
          </w:p>
        </w:tc>
        <w:tc>
          <w:tcPr>
            <w:tcW w:w="1001" w:type="dxa"/>
            <w:vAlign w:val="bottom"/>
          </w:tcPr>
          <w:p w14:paraId="188BD7DE" w14:textId="77777777" w:rsidR="00816581" w:rsidRPr="008E6ED9" w:rsidRDefault="00816581" w:rsidP="008E0136">
            <w:pPr>
              <w:keepNext/>
              <w:jc w:val="right"/>
              <w:rPr>
                <w:sz w:val="18"/>
                <w:szCs w:val="18"/>
              </w:rPr>
            </w:pPr>
          </w:p>
        </w:tc>
        <w:tc>
          <w:tcPr>
            <w:tcW w:w="1193" w:type="dxa"/>
            <w:vAlign w:val="bottom"/>
          </w:tcPr>
          <w:p w14:paraId="47E51CA4" w14:textId="77777777" w:rsidR="00816581" w:rsidRPr="008E6ED9" w:rsidRDefault="00816581" w:rsidP="008E0136">
            <w:pPr>
              <w:keepNext/>
              <w:jc w:val="right"/>
              <w:rPr>
                <w:sz w:val="18"/>
                <w:szCs w:val="18"/>
              </w:rPr>
            </w:pPr>
          </w:p>
        </w:tc>
        <w:tc>
          <w:tcPr>
            <w:tcW w:w="1670" w:type="dxa"/>
            <w:vAlign w:val="bottom"/>
          </w:tcPr>
          <w:p w14:paraId="3B8893E0" w14:textId="77777777" w:rsidR="00816581" w:rsidRPr="008E6ED9" w:rsidRDefault="00816581" w:rsidP="008E0136">
            <w:pPr>
              <w:keepNext/>
              <w:ind w:right="526"/>
              <w:jc w:val="right"/>
              <w:rPr>
                <w:sz w:val="18"/>
                <w:szCs w:val="18"/>
              </w:rPr>
            </w:pPr>
          </w:p>
        </w:tc>
      </w:tr>
      <w:tr w:rsidR="00816581" w:rsidRPr="0038676D" w14:paraId="7CA2566A" w14:textId="77777777" w:rsidTr="00631AFD">
        <w:trPr>
          <w:trHeight w:val="212"/>
        </w:trPr>
        <w:tc>
          <w:tcPr>
            <w:tcW w:w="4501" w:type="dxa"/>
            <w:vAlign w:val="bottom"/>
          </w:tcPr>
          <w:p w14:paraId="1AD364FB" w14:textId="77777777" w:rsidR="00816581" w:rsidRPr="008E6ED9" w:rsidRDefault="00816581" w:rsidP="00631AFD">
            <w:pPr>
              <w:keepNext/>
              <w:rPr>
                <w:b/>
                <w:bCs/>
                <w:sz w:val="18"/>
                <w:szCs w:val="18"/>
              </w:rPr>
            </w:pPr>
            <w:r w:rsidRPr="008E6ED9">
              <w:rPr>
                <w:b/>
                <w:bCs/>
                <w:sz w:val="18"/>
                <w:szCs w:val="18"/>
              </w:rPr>
              <w:t>Ratios (percent)</w:t>
            </w:r>
          </w:p>
        </w:tc>
        <w:tc>
          <w:tcPr>
            <w:tcW w:w="1001" w:type="dxa"/>
            <w:vAlign w:val="bottom"/>
          </w:tcPr>
          <w:p w14:paraId="3AD5A3B0" w14:textId="77777777" w:rsidR="00816581" w:rsidRPr="008E6ED9" w:rsidRDefault="00816581" w:rsidP="008E0136">
            <w:pPr>
              <w:keepNext/>
              <w:jc w:val="right"/>
              <w:rPr>
                <w:sz w:val="18"/>
                <w:szCs w:val="18"/>
              </w:rPr>
            </w:pPr>
          </w:p>
        </w:tc>
        <w:tc>
          <w:tcPr>
            <w:tcW w:w="1193" w:type="dxa"/>
            <w:vAlign w:val="bottom"/>
          </w:tcPr>
          <w:p w14:paraId="30F56640" w14:textId="77777777" w:rsidR="00816581" w:rsidRPr="008E6ED9" w:rsidRDefault="00816581" w:rsidP="008E0136">
            <w:pPr>
              <w:keepNext/>
              <w:jc w:val="right"/>
              <w:rPr>
                <w:sz w:val="18"/>
                <w:szCs w:val="18"/>
              </w:rPr>
            </w:pPr>
          </w:p>
        </w:tc>
        <w:tc>
          <w:tcPr>
            <w:tcW w:w="1670" w:type="dxa"/>
            <w:vAlign w:val="bottom"/>
          </w:tcPr>
          <w:p w14:paraId="5160762C" w14:textId="77777777" w:rsidR="00816581" w:rsidRPr="008E6ED9" w:rsidRDefault="00816581" w:rsidP="008E0136">
            <w:pPr>
              <w:keepNext/>
              <w:ind w:right="526"/>
              <w:jc w:val="right"/>
              <w:rPr>
                <w:sz w:val="18"/>
                <w:szCs w:val="18"/>
              </w:rPr>
            </w:pPr>
          </w:p>
        </w:tc>
      </w:tr>
      <w:tr w:rsidR="00816581" w:rsidRPr="0038676D" w14:paraId="1EAED969" w14:textId="77777777" w:rsidTr="00631AFD">
        <w:trPr>
          <w:trHeight w:val="212"/>
        </w:trPr>
        <w:tc>
          <w:tcPr>
            <w:tcW w:w="4501" w:type="dxa"/>
            <w:vAlign w:val="bottom"/>
          </w:tcPr>
          <w:p w14:paraId="7ADA17F1" w14:textId="4FBF3655" w:rsidR="00816581" w:rsidRPr="008E6ED9" w:rsidRDefault="00816581" w:rsidP="00631AFD">
            <w:pPr>
              <w:keepNext/>
              <w:rPr>
                <w:sz w:val="18"/>
                <w:szCs w:val="18"/>
              </w:rPr>
            </w:pPr>
            <w:r w:rsidRPr="008E6ED9">
              <w:rPr>
                <w:rFonts w:ascii="Calibri" w:hAnsi="Calibri" w:cs="Calibri"/>
                <w:color w:val="000000"/>
                <w:sz w:val="18"/>
                <w:szCs w:val="18"/>
              </w:rPr>
              <w:t>Non</w:t>
            </w:r>
            <w:r w:rsidR="00631AFD">
              <w:rPr>
                <w:rFonts w:ascii="Calibri" w:hAnsi="Calibri" w:cs="Calibri"/>
                <w:color w:val="000000"/>
                <w:sz w:val="18"/>
                <w:szCs w:val="18"/>
              </w:rPr>
              <w:t>p</w:t>
            </w:r>
            <w:r w:rsidRPr="008E6ED9">
              <w:rPr>
                <w:rFonts w:ascii="Calibri" w:hAnsi="Calibri" w:cs="Calibri"/>
                <w:color w:val="000000"/>
                <w:sz w:val="18"/>
                <w:szCs w:val="18"/>
              </w:rPr>
              <w:t xml:space="preserve">erforming </w:t>
            </w:r>
            <w:r w:rsidR="00631AFD">
              <w:rPr>
                <w:rFonts w:ascii="Calibri" w:hAnsi="Calibri" w:cs="Calibri"/>
                <w:color w:val="000000"/>
                <w:sz w:val="18"/>
                <w:szCs w:val="18"/>
              </w:rPr>
              <w:t>a</w:t>
            </w:r>
            <w:r w:rsidRPr="008E6ED9">
              <w:rPr>
                <w:rFonts w:ascii="Calibri" w:hAnsi="Calibri" w:cs="Calibri"/>
                <w:color w:val="000000"/>
                <w:sz w:val="18"/>
                <w:szCs w:val="18"/>
              </w:rPr>
              <w:t>ssets/</w:t>
            </w:r>
            <w:r w:rsidR="00631AFD">
              <w:rPr>
                <w:rFonts w:ascii="Calibri" w:hAnsi="Calibri" w:cs="Calibri"/>
                <w:color w:val="000000"/>
                <w:sz w:val="18"/>
                <w:szCs w:val="18"/>
              </w:rPr>
              <w:t>g</w:t>
            </w:r>
            <w:r w:rsidRPr="008E6ED9">
              <w:rPr>
                <w:rFonts w:ascii="Calibri" w:hAnsi="Calibri" w:cs="Calibri"/>
                <w:color w:val="000000"/>
                <w:sz w:val="18"/>
                <w:szCs w:val="18"/>
              </w:rPr>
              <w:t>ross loans</w:t>
            </w:r>
          </w:p>
        </w:tc>
        <w:tc>
          <w:tcPr>
            <w:tcW w:w="1001" w:type="dxa"/>
            <w:vAlign w:val="bottom"/>
          </w:tcPr>
          <w:p w14:paraId="1BD56713" w14:textId="77777777" w:rsidR="00816581" w:rsidRPr="008E6ED9" w:rsidRDefault="00816581" w:rsidP="008E0136">
            <w:pPr>
              <w:keepNext/>
              <w:jc w:val="right"/>
              <w:rPr>
                <w:sz w:val="18"/>
                <w:szCs w:val="18"/>
              </w:rPr>
            </w:pPr>
            <w:r w:rsidRPr="008E6ED9">
              <w:rPr>
                <w:rFonts w:ascii="Calibri" w:hAnsi="Calibri" w:cs="Calibri"/>
                <w:color w:val="000000"/>
                <w:sz w:val="18"/>
                <w:szCs w:val="18"/>
              </w:rPr>
              <w:t>4.0</w:t>
            </w:r>
          </w:p>
        </w:tc>
        <w:tc>
          <w:tcPr>
            <w:tcW w:w="1193" w:type="dxa"/>
            <w:vAlign w:val="bottom"/>
          </w:tcPr>
          <w:p w14:paraId="64DFF461" w14:textId="77777777" w:rsidR="00816581" w:rsidRPr="008E6ED9" w:rsidRDefault="00816581" w:rsidP="008E0136">
            <w:pPr>
              <w:keepNext/>
              <w:jc w:val="right"/>
              <w:rPr>
                <w:sz w:val="18"/>
                <w:szCs w:val="18"/>
              </w:rPr>
            </w:pPr>
            <w:r w:rsidRPr="008E6ED9">
              <w:rPr>
                <w:rFonts w:ascii="Calibri" w:hAnsi="Calibri" w:cs="Calibri"/>
                <w:color w:val="000000"/>
                <w:sz w:val="18"/>
                <w:szCs w:val="18"/>
              </w:rPr>
              <w:t>2.7</w:t>
            </w:r>
          </w:p>
        </w:tc>
        <w:tc>
          <w:tcPr>
            <w:tcW w:w="1670" w:type="dxa"/>
            <w:vAlign w:val="bottom"/>
          </w:tcPr>
          <w:p w14:paraId="7EAF1B14" w14:textId="77777777" w:rsidR="00816581" w:rsidRPr="008E6ED9" w:rsidRDefault="00816581" w:rsidP="008E0136">
            <w:pPr>
              <w:keepNext/>
              <w:ind w:right="526"/>
              <w:jc w:val="right"/>
              <w:rPr>
                <w:sz w:val="18"/>
                <w:szCs w:val="18"/>
              </w:rPr>
            </w:pPr>
          </w:p>
        </w:tc>
      </w:tr>
      <w:tr w:rsidR="00816581" w:rsidRPr="0038676D" w14:paraId="435439CF" w14:textId="77777777" w:rsidTr="00631AFD">
        <w:trPr>
          <w:trHeight w:val="223"/>
        </w:trPr>
        <w:tc>
          <w:tcPr>
            <w:tcW w:w="4501" w:type="dxa"/>
            <w:vAlign w:val="bottom"/>
          </w:tcPr>
          <w:p w14:paraId="34D75076" w14:textId="7C060313" w:rsidR="00816581" w:rsidRPr="008E6ED9" w:rsidRDefault="00631AFD" w:rsidP="00631AFD">
            <w:pPr>
              <w:keepNext/>
              <w:rPr>
                <w:sz w:val="18"/>
                <w:szCs w:val="18"/>
              </w:rPr>
            </w:pPr>
            <w:r w:rsidRPr="008E6ED9">
              <w:rPr>
                <w:rFonts w:ascii="Calibri" w:hAnsi="Calibri" w:cs="Calibri"/>
                <w:color w:val="000000"/>
                <w:sz w:val="18"/>
                <w:szCs w:val="18"/>
              </w:rPr>
              <w:t>Profit/equity</w:t>
            </w:r>
          </w:p>
        </w:tc>
        <w:tc>
          <w:tcPr>
            <w:tcW w:w="1001" w:type="dxa"/>
            <w:vAlign w:val="bottom"/>
          </w:tcPr>
          <w:p w14:paraId="43368500" w14:textId="77777777" w:rsidR="00816581" w:rsidRPr="008E6ED9" w:rsidRDefault="00816581" w:rsidP="008E0136">
            <w:pPr>
              <w:keepNext/>
              <w:jc w:val="right"/>
              <w:rPr>
                <w:sz w:val="18"/>
                <w:szCs w:val="18"/>
              </w:rPr>
            </w:pPr>
            <w:r w:rsidRPr="008E6ED9">
              <w:rPr>
                <w:rFonts w:ascii="Calibri" w:hAnsi="Calibri" w:cs="Calibri"/>
                <w:color w:val="000000"/>
                <w:sz w:val="18"/>
                <w:szCs w:val="18"/>
              </w:rPr>
              <w:t>1.2</w:t>
            </w:r>
          </w:p>
        </w:tc>
        <w:tc>
          <w:tcPr>
            <w:tcW w:w="1193" w:type="dxa"/>
            <w:vAlign w:val="bottom"/>
          </w:tcPr>
          <w:p w14:paraId="1D992B71" w14:textId="77777777" w:rsidR="00816581" w:rsidRPr="008E6ED9" w:rsidRDefault="00816581" w:rsidP="008E0136">
            <w:pPr>
              <w:keepNext/>
              <w:jc w:val="right"/>
              <w:rPr>
                <w:sz w:val="18"/>
                <w:szCs w:val="18"/>
              </w:rPr>
            </w:pPr>
            <w:r w:rsidRPr="008E6ED9">
              <w:rPr>
                <w:rFonts w:ascii="Calibri" w:hAnsi="Calibri" w:cs="Calibri"/>
                <w:color w:val="000000"/>
                <w:sz w:val="18"/>
                <w:szCs w:val="18"/>
              </w:rPr>
              <w:t>(2.0)</w:t>
            </w:r>
          </w:p>
        </w:tc>
        <w:tc>
          <w:tcPr>
            <w:tcW w:w="1670" w:type="dxa"/>
            <w:vAlign w:val="bottom"/>
          </w:tcPr>
          <w:p w14:paraId="18244ABF" w14:textId="77777777" w:rsidR="00816581" w:rsidRPr="008E6ED9" w:rsidRDefault="00816581" w:rsidP="008E0136">
            <w:pPr>
              <w:keepNext/>
              <w:ind w:right="526"/>
              <w:jc w:val="right"/>
              <w:rPr>
                <w:sz w:val="18"/>
                <w:szCs w:val="18"/>
              </w:rPr>
            </w:pPr>
          </w:p>
        </w:tc>
      </w:tr>
      <w:tr w:rsidR="00816581" w:rsidRPr="0038676D" w14:paraId="3EB6716E" w14:textId="77777777" w:rsidTr="00631AFD">
        <w:trPr>
          <w:trHeight w:val="212"/>
        </w:trPr>
        <w:tc>
          <w:tcPr>
            <w:tcW w:w="4501" w:type="dxa"/>
            <w:vAlign w:val="bottom"/>
          </w:tcPr>
          <w:p w14:paraId="113A8B6D" w14:textId="59AA1A1A" w:rsidR="00816581" w:rsidRPr="008E6ED9" w:rsidRDefault="00631AFD" w:rsidP="00631AFD">
            <w:pPr>
              <w:keepNext/>
              <w:rPr>
                <w:sz w:val="18"/>
                <w:szCs w:val="18"/>
              </w:rPr>
            </w:pPr>
            <w:r w:rsidRPr="008E6ED9">
              <w:rPr>
                <w:rFonts w:ascii="Calibri" w:hAnsi="Calibri" w:cs="Calibri"/>
                <w:color w:val="000000"/>
                <w:sz w:val="18"/>
                <w:szCs w:val="18"/>
              </w:rPr>
              <w:t>Capital/assets</w:t>
            </w:r>
          </w:p>
        </w:tc>
        <w:tc>
          <w:tcPr>
            <w:tcW w:w="1001" w:type="dxa"/>
            <w:vAlign w:val="bottom"/>
          </w:tcPr>
          <w:p w14:paraId="0E03842E" w14:textId="77777777" w:rsidR="00816581" w:rsidRPr="008E6ED9" w:rsidRDefault="00816581" w:rsidP="008E0136">
            <w:pPr>
              <w:keepNext/>
              <w:jc w:val="right"/>
              <w:rPr>
                <w:sz w:val="18"/>
                <w:szCs w:val="18"/>
              </w:rPr>
            </w:pPr>
            <w:r w:rsidRPr="008E6ED9">
              <w:rPr>
                <w:rFonts w:ascii="Calibri" w:hAnsi="Calibri" w:cs="Calibri"/>
                <w:color w:val="000000"/>
                <w:sz w:val="18"/>
                <w:szCs w:val="18"/>
              </w:rPr>
              <w:t>15.5</w:t>
            </w:r>
          </w:p>
        </w:tc>
        <w:tc>
          <w:tcPr>
            <w:tcW w:w="1193" w:type="dxa"/>
            <w:vAlign w:val="bottom"/>
          </w:tcPr>
          <w:p w14:paraId="37F2994D" w14:textId="77777777" w:rsidR="00816581" w:rsidRPr="008E6ED9" w:rsidRDefault="00816581" w:rsidP="008E0136">
            <w:pPr>
              <w:keepNext/>
              <w:jc w:val="right"/>
              <w:rPr>
                <w:sz w:val="18"/>
                <w:szCs w:val="18"/>
              </w:rPr>
            </w:pPr>
            <w:r w:rsidRPr="008E6ED9">
              <w:rPr>
                <w:rFonts w:ascii="Calibri" w:hAnsi="Calibri" w:cs="Calibri"/>
                <w:color w:val="000000"/>
                <w:sz w:val="18"/>
                <w:szCs w:val="18"/>
              </w:rPr>
              <w:t>12.2</w:t>
            </w:r>
          </w:p>
        </w:tc>
        <w:tc>
          <w:tcPr>
            <w:tcW w:w="1670" w:type="dxa"/>
            <w:vAlign w:val="bottom"/>
          </w:tcPr>
          <w:p w14:paraId="70EFE87A" w14:textId="77777777" w:rsidR="00816581" w:rsidRPr="008E6ED9" w:rsidRDefault="00816581" w:rsidP="008E0136">
            <w:pPr>
              <w:keepNext/>
              <w:ind w:right="526"/>
              <w:jc w:val="right"/>
              <w:rPr>
                <w:sz w:val="18"/>
                <w:szCs w:val="18"/>
              </w:rPr>
            </w:pPr>
          </w:p>
        </w:tc>
      </w:tr>
      <w:tr w:rsidR="00816581" w:rsidRPr="0038676D" w14:paraId="3E5C86AB" w14:textId="77777777" w:rsidTr="00631AFD">
        <w:trPr>
          <w:trHeight w:val="212"/>
        </w:trPr>
        <w:tc>
          <w:tcPr>
            <w:tcW w:w="4501" w:type="dxa"/>
            <w:vAlign w:val="bottom"/>
          </w:tcPr>
          <w:p w14:paraId="782A4C05" w14:textId="4F082687" w:rsidR="00816581" w:rsidRPr="008E6ED9" w:rsidRDefault="00631AFD" w:rsidP="00631AFD">
            <w:pPr>
              <w:keepNext/>
              <w:rPr>
                <w:sz w:val="18"/>
                <w:szCs w:val="18"/>
              </w:rPr>
            </w:pPr>
            <w:r w:rsidRPr="008E6ED9">
              <w:rPr>
                <w:rFonts w:ascii="Calibri" w:hAnsi="Calibri" w:cs="Calibri"/>
                <w:color w:val="000000"/>
                <w:sz w:val="18"/>
                <w:szCs w:val="18"/>
              </w:rPr>
              <w:t>Loans/deposits</w:t>
            </w:r>
          </w:p>
        </w:tc>
        <w:tc>
          <w:tcPr>
            <w:tcW w:w="1001" w:type="dxa"/>
            <w:vAlign w:val="bottom"/>
          </w:tcPr>
          <w:p w14:paraId="09B34B77" w14:textId="77777777" w:rsidR="00816581" w:rsidRPr="008E6ED9" w:rsidRDefault="00816581" w:rsidP="008E0136">
            <w:pPr>
              <w:keepNext/>
              <w:jc w:val="right"/>
              <w:rPr>
                <w:sz w:val="18"/>
                <w:szCs w:val="18"/>
              </w:rPr>
            </w:pPr>
            <w:r w:rsidRPr="008E6ED9">
              <w:rPr>
                <w:rFonts w:ascii="Calibri" w:hAnsi="Calibri" w:cs="Calibri"/>
                <w:color w:val="000000"/>
                <w:sz w:val="18"/>
                <w:szCs w:val="18"/>
              </w:rPr>
              <w:t>47.8</w:t>
            </w:r>
          </w:p>
        </w:tc>
        <w:tc>
          <w:tcPr>
            <w:tcW w:w="1193" w:type="dxa"/>
            <w:vAlign w:val="bottom"/>
          </w:tcPr>
          <w:p w14:paraId="3E62BA38" w14:textId="77777777" w:rsidR="00816581" w:rsidRPr="008E6ED9" w:rsidRDefault="00816581" w:rsidP="008E0136">
            <w:pPr>
              <w:keepNext/>
              <w:jc w:val="right"/>
              <w:rPr>
                <w:sz w:val="18"/>
                <w:szCs w:val="18"/>
              </w:rPr>
            </w:pPr>
            <w:r w:rsidRPr="008E6ED9">
              <w:rPr>
                <w:rFonts w:ascii="Calibri" w:hAnsi="Calibri" w:cs="Calibri"/>
                <w:color w:val="000000"/>
                <w:sz w:val="18"/>
                <w:szCs w:val="18"/>
              </w:rPr>
              <w:t>33.2</w:t>
            </w:r>
          </w:p>
        </w:tc>
        <w:tc>
          <w:tcPr>
            <w:tcW w:w="1670" w:type="dxa"/>
            <w:vAlign w:val="bottom"/>
          </w:tcPr>
          <w:p w14:paraId="6C8ED3B4" w14:textId="77777777" w:rsidR="00816581" w:rsidRPr="008E6ED9" w:rsidRDefault="00816581" w:rsidP="008E0136">
            <w:pPr>
              <w:keepNext/>
              <w:ind w:right="526"/>
              <w:jc w:val="right"/>
              <w:rPr>
                <w:sz w:val="18"/>
                <w:szCs w:val="18"/>
              </w:rPr>
            </w:pPr>
          </w:p>
        </w:tc>
      </w:tr>
    </w:tbl>
    <w:p w14:paraId="7EA725B5" w14:textId="24608D15" w:rsidR="00816581" w:rsidRPr="008E6ED9" w:rsidRDefault="00816581" w:rsidP="00D756D2">
      <w:pPr>
        <w:pStyle w:val="Source"/>
      </w:pPr>
      <w:r w:rsidRPr="008E6ED9">
        <w:t xml:space="preserve">Source: Central Bank of Somalia </w:t>
      </w:r>
    </w:p>
    <w:p w14:paraId="6D5E9DEB" w14:textId="18F58215" w:rsidR="00816581" w:rsidRPr="00627C9F" w:rsidRDefault="00816581" w:rsidP="00816581">
      <w:pPr>
        <w:jc w:val="both"/>
        <w:rPr>
          <w:rFonts w:cstheme="minorHAnsi"/>
        </w:rPr>
      </w:pPr>
      <w:r w:rsidRPr="00627C9F">
        <w:rPr>
          <w:rFonts w:cstheme="minorHAnsi"/>
          <w:b/>
          <w:bCs/>
        </w:rPr>
        <w:t>Customers deposits grew strongly despite the pandemic.</w:t>
      </w:r>
      <w:r w:rsidRPr="00627C9F">
        <w:rPr>
          <w:rFonts w:cstheme="minorHAnsi"/>
        </w:rPr>
        <w:t xml:space="preserve"> Customer deposits grew by 53 percent to US$659</w:t>
      </w:r>
      <w:r>
        <w:rPr>
          <w:rFonts w:cstheme="minorHAnsi"/>
        </w:rPr>
        <w:t xml:space="preserve"> million</w:t>
      </w:r>
      <w:r w:rsidRPr="00627C9F">
        <w:rPr>
          <w:rFonts w:cstheme="minorHAnsi"/>
        </w:rPr>
        <w:t xml:space="preserve"> in December 2020 </w:t>
      </w:r>
      <w:r>
        <w:rPr>
          <w:rFonts w:cstheme="minorHAnsi"/>
        </w:rPr>
        <w:t>compared to</w:t>
      </w:r>
      <w:r w:rsidRPr="00627C9F">
        <w:rPr>
          <w:rFonts w:cstheme="minorHAnsi"/>
        </w:rPr>
        <w:t xml:space="preserve"> US$430 million in December 2019</w:t>
      </w:r>
      <w:r w:rsidR="00631AFD">
        <w:rPr>
          <w:rFonts w:cstheme="minorHAnsi"/>
        </w:rPr>
        <w:t xml:space="preserve"> (</w:t>
      </w:r>
      <w:r w:rsidR="009101EB">
        <w:rPr>
          <w:rFonts w:cstheme="minorHAnsi"/>
        </w:rPr>
        <w:fldChar w:fldCharType="begin"/>
      </w:r>
      <w:r w:rsidR="009101EB">
        <w:rPr>
          <w:rFonts w:cstheme="minorHAnsi"/>
        </w:rPr>
        <w:instrText xml:space="preserve"> REF _Ref70935791 \h </w:instrText>
      </w:r>
      <w:r w:rsidR="009101EB">
        <w:rPr>
          <w:rFonts w:cstheme="minorHAnsi"/>
        </w:rPr>
      </w:r>
      <w:r w:rsidR="009101EB">
        <w:rPr>
          <w:rFonts w:cstheme="minorHAnsi"/>
        </w:rPr>
        <w:fldChar w:fldCharType="separate"/>
      </w:r>
      <w:r w:rsidR="00B50FC3">
        <w:t xml:space="preserve">Figure </w:t>
      </w:r>
      <w:r w:rsidR="00B50FC3">
        <w:rPr>
          <w:noProof/>
        </w:rPr>
        <w:t>12</w:t>
      </w:r>
      <w:r w:rsidR="009101EB">
        <w:rPr>
          <w:rFonts w:cstheme="minorHAnsi"/>
        </w:rPr>
        <w:fldChar w:fldCharType="end"/>
      </w:r>
      <w:r w:rsidR="00631AFD">
        <w:rPr>
          <w:rFonts w:cstheme="minorHAnsi"/>
        </w:rPr>
        <w:t>)</w:t>
      </w:r>
      <w:r w:rsidRPr="00627C9F">
        <w:rPr>
          <w:rFonts w:cstheme="minorHAnsi"/>
        </w:rPr>
        <w:t xml:space="preserve">. The reaction of customers when the pandemic started in March was to reduce their demand deposits. </w:t>
      </w:r>
      <w:r w:rsidR="008E0136">
        <w:rPr>
          <w:rFonts w:cstheme="minorHAnsi"/>
        </w:rPr>
        <w:t>D</w:t>
      </w:r>
      <w:r w:rsidRPr="00627C9F">
        <w:rPr>
          <w:rFonts w:cstheme="minorHAnsi"/>
        </w:rPr>
        <w:t>emand deposits fell during the months of March to July 2020 and returned to pre-</w:t>
      </w:r>
      <w:r>
        <w:rPr>
          <w:rFonts w:cstheme="minorHAnsi"/>
        </w:rPr>
        <w:t>COVID</w:t>
      </w:r>
      <w:r w:rsidRPr="00627C9F">
        <w:rPr>
          <w:rFonts w:cstheme="minorHAnsi"/>
        </w:rPr>
        <w:t xml:space="preserve"> levels in August 2020</w:t>
      </w:r>
      <w:r w:rsidR="008E0136">
        <w:rPr>
          <w:rFonts w:cstheme="minorHAnsi"/>
        </w:rPr>
        <w:t>,</w:t>
      </w:r>
      <w:r>
        <w:rPr>
          <w:rFonts w:cstheme="minorHAnsi"/>
        </w:rPr>
        <w:t xml:space="preserve"> implying that anxiety related to COVID-19 pandemic and lockdowns/mobility restrictions may have pushed </w:t>
      </w:r>
      <w:proofErr w:type="gramStart"/>
      <w:r w:rsidRPr="00627C9F">
        <w:rPr>
          <w:rFonts w:cstheme="minorHAnsi"/>
        </w:rPr>
        <w:t>customers</w:t>
      </w:r>
      <w:r>
        <w:rPr>
          <w:rFonts w:cstheme="minorHAnsi"/>
        </w:rPr>
        <w:t>’</w:t>
      </w:r>
      <w:proofErr w:type="gramEnd"/>
      <w:r>
        <w:rPr>
          <w:rFonts w:cstheme="minorHAnsi"/>
        </w:rPr>
        <w:t xml:space="preserve"> to </w:t>
      </w:r>
      <w:r w:rsidRPr="00627C9F">
        <w:rPr>
          <w:rFonts w:cstheme="minorHAnsi"/>
        </w:rPr>
        <w:t xml:space="preserve">prefer to have cash in hand. </w:t>
      </w:r>
      <w:r w:rsidR="0048699F">
        <w:rPr>
          <w:rFonts w:cstheme="minorHAnsi"/>
        </w:rPr>
        <w:t>C</w:t>
      </w:r>
      <w:r>
        <w:rPr>
          <w:rFonts w:cstheme="minorHAnsi"/>
        </w:rPr>
        <w:t xml:space="preserve">onversely, </w:t>
      </w:r>
      <w:r w:rsidRPr="00627C9F">
        <w:rPr>
          <w:rFonts w:cstheme="minorHAnsi"/>
        </w:rPr>
        <w:t xml:space="preserve">saving deposits remained resilient despite the </w:t>
      </w:r>
      <w:r>
        <w:rPr>
          <w:rFonts w:cstheme="minorHAnsi"/>
        </w:rPr>
        <w:t>COVID-19</w:t>
      </w:r>
      <w:r w:rsidRPr="00627C9F">
        <w:rPr>
          <w:rFonts w:cstheme="minorHAnsi"/>
        </w:rPr>
        <w:t xml:space="preserve"> pandemic as customers increased their precautionary balances. After the relaxing of initial restrictions, households have increased their demand and savings deposits</w:t>
      </w:r>
      <w:r w:rsidR="008E0136">
        <w:rPr>
          <w:rFonts w:cstheme="minorHAnsi"/>
        </w:rPr>
        <w:t>,</w:t>
      </w:r>
      <w:r w:rsidR="00222EC1">
        <w:rPr>
          <w:rFonts w:cstheme="minorHAnsi"/>
        </w:rPr>
        <w:t xml:space="preserve"> because of</w:t>
      </w:r>
      <w:r w:rsidRPr="00627C9F">
        <w:rPr>
          <w:rFonts w:cstheme="minorHAnsi"/>
        </w:rPr>
        <w:t xml:space="preserve"> </w:t>
      </w:r>
      <w:r w:rsidR="0069077C">
        <w:rPr>
          <w:rFonts w:cstheme="minorHAnsi"/>
        </w:rPr>
        <w:t xml:space="preserve">lack of investment </w:t>
      </w:r>
      <w:r w:rsidR="00427CAC">
        <w:rPr>
          <w:rFonts w:cstheme="minorHAnsi"/>
        </w:rPr>
        <w:t>opportunities</w:t>
      </w:r>
      <w:r w:rsidR="00222EC1">
        <w:rPr>
          <w:rFonts w:cstheme="minorHAnsi"/>
        </w:rPr>
        <w:t xml:space="preserve"> (wait and see attitude)</w:t>
      </w:r>
      <w:r w:rsidR="00427CAC">
        <w:rPr>
          <w:rFonts w:cstheme="minorHAnsi"/>
        </w:rPr>
        <w:t>,</w:t>
      </w:r>
      <w:r w:rsidR="00D252C9">
        <w:rPr>
          <w:rFonts w:cstheme="minorHAnsi"/>
        </w:rPr>
        <w:t xml:space="preserve"> </w:t>
      </w:r>
      <w:r w:rsidR="00794B23">
        <w:rPr>
          <w:rFonts w:cstheme="minorHAnsi"/>
        </w:rPr>
        <w:t xml:space="preserve">while others </w:t>
      </w:r>
      <w:r w:rsidR="00427CAC">
        <w:t>they</w:t>
      </w:r>
      <w:r w:rsidR="00C01A83">
        <w:t xml:space="preserve"> ha</w:t>
      </w:r>
      <w:r w:rsidR="00427CAC">
        <w:t>ve become more cautious about their health and finances</w:t>
      </w:r>
      <w:r w:rsidR="00794B23">
        <w:t xml:space="preserve"> (forced and </w:t>
      </w:r>
      <w:r w:rsidR="009939BB">
        <w:t>precautionary savings)</w:t>
      </w:r>
      <w:r w:rsidRPr="00627C9F">
        <w:rPr>
          <w:rFonts w:cstheme="minorHAnsi"/>
        </w:rPr>
        <w:t>.</w:t>
      </w:r>
    </w:p>
    <w:p w14:paraId="2A5FA56A" w14:textId="5B71587B" w:rsidR="00631AFD" w:rsidRDefault="00631AFD" w:rsidP="00631AFD">
      <w:pPr>
        <w:pStyle w:val="Caption"/>
        <w:jc w:val="left"/>
      </w:pPr>
      <w:bookmarkStart w:id="39" w:name="_Ref70935791"/>
      <w:bookmarkStart w:id="40" w:name="_Toc71725930"/>
      <w:r>
        <w:lastRenderedPageBreak/>
        <w:t xml:space="preserve">Figure </w:t>
      </w:r>
      <w:fldSimple w:instr=" SEQ Figure \* ARABIC ">
        <w:r w:rsidR="00EF291C">
          <w:rPr>
            <w:noProof/>
          </w:rPr>
          <w:t>12</w:t>
        </w:r>
      </w:fldSimple>
      <w:bookmarkEnd w:id="39"/>
      <w:r>
        <w:t xml:space="preserve">: </w:t>
      </w:r>
      <w:r w:rsidRPr="00377598">
        <w:t>Customers deposits grew sharply in 2020</w:t>
      </w:r>
      <w:bookmarkEnd w:id="40"/>
    </w:p>
    <w:p w14:paraId="7CCBA36E" w14:textId="2B49B4F7" w:rsidR="008E0136" w:rsidRDefault="008E0136" w:rsidP="008E0136">
      <w:pPr>
        <w:pStyle w:val="Figure"/>
        <w:rPr>
          <w:rFonts w:ascii="Century" w:hAnsi="Century"/>
        </w:rPr>
      </w:pPr>
      <w:r>
        <w:drawing>
          <wp:inline distT="0" distB="0" distL="0" distR="0" wp14:anchorId="45B020E7" wp14:editId="4A8AC9B0">
            <wp:extent cx="5345430" cy="2685059"/>
            <wp:effectExtent l="0" t="0" r="7620" b="1270"/>
            <wp:docPr id="9" name="Chart 9">
              <a:extLst xmlns:a="http://schemas.openxmlformats.org/drawingml/2006/main">
                <a:ext uri="{FF2B5EF4-FFF2-40B4-BE49-F238E27FC236}">
                  <a16:creationId xmlns:a16="http://schemas.microsoft.com/office/drawing/2014/main" id="{8611971C-0F50-4FD8-9217-2B2DD55DD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C98B57" w14:textId="5E4CE776" w:rsidR="00816581" w:rsidRPr="007B5906" w:rsidRDefault="00816581" w:rsidP="00D756D2">
      <w:pPr>
        <w:pStyle w:val="Source"/>
      </w:pPr>
      <w:r w:rsidRPr="007B5906">
        <w:t xml:space="preserve">Source: Central Bank of Somalia </w:t>
      </w:r>
    </w:p>
    <w:p w14:paraId="70F32E97" w14:textId="25359D5A" w:rsidR="00816581" w:rsidRPr="008E6ED9" w:rsidRDefault="00345EEA" w:rsidP="00816581">
      <w:pPr>
        <w:pStyle w:val="Heading2"/>
        <w:spacing w:before="120" w:after="120"/>
      </w:pPr>
      <w:bookmarkStart w:id="41" w:name="_Toc71725887"/>
      <w:r>
        <w:t>E</w:t>
      </w:r>
      <w:r w:rsidR="00816581" w:rsidRPr="008E6ED9">
        <w:t xml:space="preserve">xternal </w:t>
      </w:r>
      <w:r w:rsidR="00816581">
        <w:t>sector vulnerability deepened</w:t>
      </w:r>
      <w:bookmarkEnd w:id="41"/>
    </w:p>
    <w:p w14:paraId="3C4F5A94" w14:textId="234BC4C2" w:rsidR="00816581" w:rsidRDefault="00ED00E8" w:rsidP="00816581">
      <w:pPr>
        <w:jc w:val="both"/>
      </w:pPr>
      <w:r>
        <w:rPr>
          <w:b/>
          <w:bCs/>
        </w:rPr>
        <w:t>External balances</w:t>
      </w:r>
      <w:r w:rsidR="00816581" w:rsidRPr="008C3DAC">
        <w:rPr>
          <w:b/>
          <w:bCs/>
        </w:rPr>
        <w:t xml:space="preserve"> deteriorated in 2020 because of </w:t>
      </w:r>
      <w:r>
        <w:rPr>
          <w:b/>
          <w:bCs/>
        </w:rPr>
        <w:t>the global pandemic</w:t>
      </w:r>
      <w:r w:rsidR="00816581" w:rsidRPr="008C3DAC">
        <w:rPr>
          <w:b/>
          <w:bCs/>
        </w:rPr>
        <w:t>.</w:t>
      </w:r>
      <w:r w:rsidR="00816581" w:rsidRPr="008C3DAC">
        <w:t xml:space="preserve"> The current account </w:t>
      </w:r>
      <w:r w:rsidR="00816581">
        <w:t xml:space="preserve">deficit </w:t>
      </w:r>
      <w:r w:rsidR="00816581" w:rsidRPr="008C3DAC">
        <w:t xml:space="preserve">worsened to </w:t>
      </w:r>
      <w:r w:rsidR="00816581">
        <w:t>12.4</w:t>
      </w:r>
      <w:r w:rsidR="00816581" w:rsidRPr="008C3DAC">
        <w:t xml:space="preserve"> percent of GDP in 2020 from 10.5 in 2019</w:t>
      </w:r>
      <w:r w:rsidR="00162B18">
        <w:t>.</w:t>
      </w:r>
      <w:r w:rsidR="00816581" w:rsidRPr="008C3DAC">
        <w:t xml:space="preserve"> </w:t>
      </w:r>
      <w:r w:rsidR="00162B18">
        <w:t xml:space="preserve">A </w:t>
      </w:r>
      <w:r w:rsidR="00816581" w:rsidRPr="008C3DAC">
        <w:t>significant fall in exports</w:t>
      </w:r>
      <w:r w:rsidR="00816581">
        <w:t xml:space="preserve">, </w:t>
      </w:r>
      <w:r w:rsidR="00816581" w:rsidRPr="008C3DAC">
        <w:t>from 22.6 percent</w:t>
      </w:r>
      <w:r w:rsidR="00816581">
        <w:t xml:space="preserve"> of GDP</w:t>
      </w:r>
      <w:r w:rsidR="00816581" w:rsidRPr="008C3DAC">
        <w:t xml:space="preserve"> in 2019</w:t>
      </w:r>
      <w:r w:rsidR="00816581">
        <w:t xml:space="preserve"> t</w:t>
      </w:r>
      <w:r w:rsidR="00816581" w:rsidRPr="008C3DAC">
        <w:t>o 14 percent in 2020</w:t>
      </w:r>
      <w:r w:rsidR="00816581">
        <w:t xml:space="preserve"> (</w:t>
      </w:r>
      <w:r w:rsidR="00672014">
        <w:fldChar w:fldCharType="begin"/>
      </w:r>
      <w:r w:rsidR="00672014">
        <w:instrText xml:space="preserve"> REF _Ref70935791 \h </w:instrText>
      </w:r>
      <w:r w:rsidR="00672014">
        <w:fldChar w:fldCharType="separate"/>
      </w:r>
      <w:r w:rsidR="00953C81">
        <w:fldChar w:fldCharType="begin"/>
      </w:r>
      <w:r w:rsidR="00953C81">
        <w:instrText xml:space="preserve"> REF _Ref71724788 \h </w:instrText>
      </w:r>
      <w:r w:rsidR="00953C81">
        <w:fldChar w:fldCharType="separate"/>
      </w:r>
      <w:r w:rsidR="00953C81">
        <w:t xml:space="preserve">Figure </w:t>
      </w:r>
      <w:r w:rsidR="00953C81">
        <w:rPr>
          <w:noProof/>
        </w:rPr>
        <w:t>13</w:t>
      </w:r>
      <w:r w:rsidR="00953C81">
        <w:fldChar w:fldCharType="end"/>
      </w:r>
      <w:r w:rsidR="00672014">
        <w:fldChar w:fldCharType="end"/>
      </w:r>
      <w:r w:rsidR="00816581">
        <w:t>)</w:t>
      </w:r>
      <w:r w:rsidR="00162B18">
        <w:t>, was a primary cause</w:t>
      </w:r>
      <w:r w:rsidR="00F105ED">
        <w:t xml:space="preserve"> </w:t>
      </w:r>
      <w:r w:rsidR="00417B78">
        <w:t>(</w:t>
      </w:r>
      <w:r w:rsidR="00B0264D">
        <w:t>merchandise</w:t>
      </w:r>
      <w:r w:rsidR="00F105ED">
        <w:t xml:space="preserve"> exports fell by 13</w:t>
      </w:r>
      <w:r w:rsidR="00B0264D">
        <w:t>.9</w:t>
      </w:r>
      <w:r w:rsidR="00F105ED">
        <w:t xml:space="preserve"> percent in 2020 according to CBS data)</w:t>
      </w:r>
      <w:r w:rsidR="00816581" w:rsidRPr="008C3DAC">
        <w:t>.</w:t>
      </w:r>
      <w:r w:rsidR="00807EDF">
        <w:t xml:space="preserve"> The unprecedented collapse in global travel caused reductions in</w:t>
      </w:r>
      <w:r w:rsidR="00816581" w:rsidRPr="008C3DAC">
        <w:t xml:space="preserve"> Somalia</w:t>
      </w:r>
      <w:r w:rsidR="00807EDF">
        <w:t>’s two exports—travel-related services and</w:t>
      </w:r>
      <w:r w:rsidR="00816581" w:rsidRPr="008C3DAC">
        <w:t xml:space="preserve"> live animals</w:t>
      </w:r>
      <w:r w:rsidR="008532B7">
        <w:t>.</w:t>
      </w:r>
      <w:r w:rsidR="00816581" w:rsidRPr="008C3DAC">
        <w:t xml:space="preserve"> </w:t>
      </w:r>
      <w:r w:rsidR="008532B7">
        <w:t>Somali livestock exports generally</w:t>
      </w:r>
      <w:r w:rsidR="00816581">
        <w:t xml:space="preserve"> peak</w:t>
      </w:r>
      <w:r w:rsidR="00816581" w:rsidRPr="008C3DAC">
        <w:t xml:space="preserve"> during the Hajj season</w:t>
      </w:r>
      <w:r w:rsidR="008532B7">
        <w:t>, but this demand dried up in 2020 with Saudi Arabia’s cancellation of the annual Hajj pilgrimage</w:t>
      </w:r>
      <w:r w:rsidR="00816581" w:rsidRPr="008C3DAC">
        <w:t>.</w:t>
      </w:r>
      <w:r w:rsidR="008532B7">
        <w:rPr>
          <w:rStyle w:val="FootnoteReference"/>
        </w:rPr>
        <w:footnoteReference w:id="15"/>
      </w:r>
      <w:r w:rsidR="00816581" w:rsidRPr="008C3DAC">
        <w:t xml:space="preserve"> </w:t>
      </w:r>
      <w:r w:rsidR="008532B7">
        <w:t xml:space="preserve">Although at the outset of the global pandemic many </w:t>
      </w:r>
      <w:r w:rsidR="00162B18">
        <w:t xml:space="preserve">(including the World Bank) </w:t>
      </w:r>
      <w:r w:rsidR="008532B7">
        <w:t xml:space="preserve">forecast that mobility restrictions and the global recession would cause  </w:t>
      </w:r>
      <w:r w:rsidR="00162B18">
        <w:t>a sharp drop in remittances to developing countries, r</w:t>
      </w:r>
      <w:r w:rsidR="00816581" w:rsidRPr="008C3DAC">
        <w:t xml:space="preserve">emittances </w:t>
      </w:r>
      <w:r w:rsidR="00162B18">
        <w:t xml:space="preserve">from the Somalia diaspora </w:t>
      </w:r>
      <w:r w:rsidR="00816581">
        <w:t xml:space="preserve">declining </w:t>
      </w:r>
      <w:r w:rsidR="00162B18">
        <w:t xml:space="preserve">only marginally, falling </w:t>
      </w:r>
      <w:r w:rsidR="00816581">
        <w:t xml:space="preserve">to </w:t>
      </w:r>
      <w:r w:rsidR="00816581" w:rsidRPr="008C3DAC">
        <w:t xml:space="preserve">30.8 percent of GDP </w:t>
      </w:r>
      <w:r w:rsidR="00816581">
        <w:t xml:space="preserve">in 2020 </w:t>
      </w:r>
      <w:r w:rsidR="00816581" w:rsidRPr="008C3DAC">
        <w:t>from 31.9 in 2019.</w:t>
      </w:r>
      <w:r w:rsidR="00816581">
        <w:t xml:space="preserve"> </w:t>
      </w:r>
      <w:r w:rsidR="00816581" w:rsidRPr="00D24DA5">
        <w:t>Higher o</w:t>
      </w:r>
      <w:r w:rsidR="00816581" w:rsidRPr="008E6ED9">
        <w:t xml:space="preserve">fficial grants helped </w:t>
      </w:r>
      <w:r w:rsidR="00A06921">
        <w:t xml:space="preserve">finance the current </w:t>
      </w:r>
      <w:r w:rsidR="00D641C8">
        <w:t>account deficit</w:t>
      </w:r>
      <w:r w:rsidR="00162B18">
        <w:t>.</w:t>
      </w:r>
      <w:r w:rsidR="00816581" w:rsidRPr="008E6ED9">
        <w:t xml:space="preserve"> </w:t>
      </w:r>
      <w:r w:rsidR="00162B18">
        <w:t>Reaching t</w:t>
      </w:r>
      <w:r w:rsidR="00816581" w:rsidRPr="005F738F">
        <w:t>he</w:t>
      </w:r>
      <w:r w:rsidR="00816581" w:rsidRPr="008C3DAC">
        <w:t xml:space="preserve"> </w:t>
      </w:r>
      <w:r w:rsidR="00162B18">
        <w:t>Highly Indebted Poor Countries (</w:t>
      </w:r>
      <w:r w:rsidR="00816581" w:rsidRPr="008C3DAC">
        <w:t>HIPC</w:t>
      </w:r>
      <w:r w:rsidR="00162B18">
        <w:t>)</w:t>
      </w:r>
      <w:r w:rsidR="00816581" w:rsidRPr="008C3DAC">
        <w:t xml:space="preserve"> Decision Point</w:t>
      </w:r>
      <w:r w:rsidR="00816581">
        <w:t xml:space="preserve"> </w:t>
      </w:r>
      <w:r w:rsidR="00162B18">
        <w:t xml:space="preserve">in </w:t>
      </w:r>
      <w:r w:rsidR="00816581">
        <w:t xml:space="preserve">March 2020 restored </w:t>
      </w:r>
      <w:r w:rsidR="00816581" w:rsidRPr="008C3DAC">
        <w:t>Somalia</w:t>
      </w:r>
      <w:r w:rsidR="00816581">
        <w:t>’s</w:t>
      </w:r>
      <w:r w:rsidR="00816581" w:rsidRPr="008C3DAC">
        <w:t xml:space="preserve"> </w:t>
      </w:r>
      <w:r w:rsidR="00162B18">
        <w:t xml:space="preserve">regular </w:t>
      </w:r>
      <w:r w:rsidR="00816581">
        <w:t>access to</w:t>
      </w:r>
      <w:r w:rsidR="00816581" w:rsidRPr="008C3DAC">
        <w:t xml:space="preserve"> concessiona</w:t>
      </w:r>
      <w:r w:rsidR="00816581">
        <w:t>l</w:t>
      </w:r>
      <w:r w:rsidR="00816581" w:rsidRPr="008C3DAC">
        <w:t xml:space="preserve"> </w:t>
      </w:r>
      <w:r w:rsidR="00162B18">
        <w:t>grants</w:t>
      </w:r>
      <w:r w:rsidR="00816581" w:rsidRPr="008C3DAC">
        <w:t xml:space="preserve"> from multilateral partners. As a result, official grants increased to 47.9 percent of GDP in 2020 from 41.3 percent in 2019</w:t>
      </w:r>
      <w:r w:rsidR="00816581">
        <w:t xml:space="preserve">. These grants </w:t>
      </w:r>
      <w:r w:rsidR="00816581" w:rsidRPr="008C3DAC">
        <w:t>help</w:t>
      </w:r>
      <w:r w:rsidR="00816581">
        <w:t>ed the country to respond to the triple crisis.</w:t>
      </w:r>
    </w:p>
    <w:p w14:paraId="4B52C631" w14:textId="6384B483" w:rsidR="00816581" w:rsidRDefault="00816581" w:rsidP="00816581">
      <w:pPr>
        <w:jc w:val="both"/>
      </w:pPr>
      <w:r w:rsidRPr="007E21A2">
        <w:rPr>
          <w:b/>
          <w:bCs/>
        </w:rPr>
        <w:t>Merchandise imports increased in 2020.</w:t>
      </w:r>
      <w:r w:rsidRPr="0071059B">
        <w:t xml:space="preserve"> </w:t>
      </w:r>
      <w:r>
        <w:t xml:space="preserve">Total imports increased marginally to 106.4 percent of GDP in 2020, from 105.6 percent in 2019. Merchandise </w:t>
      </w:r>
      <w:r w:rsidRPr="0071059B">
        <w:t>imports increased by 3.8 percent in 2020 to US$3.8 billion from US$3.6</w:t>
      </w:r>
      <w:r>
        <w:t xml:space="preserve"> </w:t>
      </w:r>
      <w:r w:rsidRPr="0071059B">
        <w:t>billion in 2019</w:t>
      </w:r>
      <w:r w:rsidR="00C7631D">
        <w:t xml:space="preserve"> </w:t>
      </w:r>
      <w:r w:rsidR="009101EB">
        <w:t>(</w:t>
      </w:r>
      <w:r w:rsidR="005A19B4">
        <w:fldChar w:fldCharType="begin"/>
      </w:r>
      <w:r w:rsidR="005A19B4">
        <w:instrText xml:space="preserve"> REF _Ref71724960 \h </w:instrText>
      </w:r>
      <w:r w:rsidR="005A19B4">
        <w:fldChar w:fldCharType="separate"/>
      </w:r>
      <w:r w:rsidR="005A19B4">
        <w:t xml:space="preserve">Figure </w:t>
      </w:r>
      <w:r w:rsidR="005A19B4">
        <w:rPr>
          <w:noProof/>
        </w:rPr>
        <w:t>14</w:t>
      </w:r>
      <w:r w:rsidR="005A19B4">
        <w:fldChar w:fldCharType="end"/>
      </w:r>
      <w:r w:rsidR="00C7631D">
        <w:t>a)</w:t>
      </w:r>
      <w:r w:rsidRPr="0071059B">
        <w:t>. Imports of medical products and oil products increased by 46.6 and 39.7 percent respectively in 2020. However, food products declined by 19.6 percent to US$1.2</w:t>
      </w:r>
      <w:r w:rsidR="0060393B">
        <w:t xml:space="preserve"> </w:t>
      </w:r>
      <w:r w:rsidRPr="0071059B">
        <w:t>billion in 2020</w:t>
      </w:r>
      <w:r>
        <w:t>,</w:t>
      </w:r>
      <w:r w:rsidRPr="0071059B">
        <w:t xml:space="preserve"> from US$1.5 billion in 2019</w:t>
      </w:r>
      <w:r w:rsidR="00CF6A07">
        <w:t xml:space="preserve"> as</w:t>
      </w:r>
      <w:r w:rsidR="00121979">
        <w:t xml:space="preserve"> </w:t>
      </w:r>
      <w:r w:rsidR="00854B8F">
        <w:t xml:space="preserve">supply </w:t>
      </w:r>
      <w:r w:rsidR="00A06A0A">
        <w:t>routes</w:t>
      </w:r>
      <w:r w:rsidR="00854B8F">
        <w:t xml:space="preserve"> were disrupted</w:t>
      </w:r>
      <w:r w:rsidR="00A06A0A">
        <w:t xml:space="preserve"> by </w:t>
      </w:r>
      <w:r w:rsidR="008B75B9">
        <w:t>COVID19</w:t>
      </w:r>
      <w:r w:rsidR="00A06A0A">
        <w:t xml:space="preserve"> restriction </w:t>
      </w:r>
      <w:r w:rsidR="004811A8">
        <w:t>and investors drew down the inventory</w:t>
      </w:r>
      <w:r w:rsidRPr="0071059B">
        <w:t xml:space="preserve">. As a share of total imports, all categories of imports experienced growth except food and construction. The share of food in total imports fell </w:t>
      </w:r>
      <w:r w:rsidR="00485D84" w:rsidRPr="0071059B">
        <w:t xml:space="preserve">to 31.1 percent </w:t>
      </w:r>
      <w:r w:rsidRPr="0071059B">
        <w:t>from 40.2 percent</w:t>
      </w:r>
      <w:r w:rsidR="00485D84">
        <w:t>,</w:t>
      </w:r>
      <w:r w:rsidRPr="0071059B">
        <w:t xml:space="preserve"> while construction share fell marginally from 11.2 to 11.0 percent </w:t>
      </w:r>
      <w:r>
        <w:t>during this period.</w:t>
      </w:r>
    </w:p>
    <w:p w14:paraId="0A60F2CF" w14:textId="444FA286" w:rsidR="00E41C30" w:rsidRPr="00CE37DE" w:rsidRDefault="00E41C30" w:rsidP="00816581">
      <w:pPr>
        <w:jc w:val="both"/>
        <w:rPr>
          <w:rFonts w:cstheme="minorHAnsi"/>
        </w:rPr>
      </w:pPr>
    </w:p>
    <w:p w14:paraId="3E1AD8C7" w14:textId="5EB94AB1" w:rsidR="00E41C30" w:rsidRPr="00CE37DE" w:rsidRDefault="00E41C30" w:rsidP="00816581">
      <w:pPr>
        <w:jc w:val="both"/>
        <w:rPr>
          <w:rFonts w:cstheme="minorHAnsi"/>
        </w:rPr>
      </w:pPr>
      <w:r w:rsidRPr="001E09E9">
        <w:rPr>
          <w:rFonts w:cstheme="minorHAnsi"/>
          <w:b/>
          <w:bCs/>
        </w:rPr>
        <w:lastRenderedPageBreak/>
        <w:t xml:space="preserve">Merchandise export earnings contracted in 2020 </w:t>
      </w:r>
      <w:proofErr w:type="gramStart"/>
      <w:r w:rsidRPr="001E09E9">
        <w:rPr>
          <w:rFonts w:cstheme="minorHAnsi"/>
          <w:b/>
          <w:bCs/>
        </w:rPr>
        <w:t>as a result of</w:t>
      </w:r>
      <w:proofErr w:type="gramEnd"/>
      <w:r w:rsidRPr="001E09E9">
        <w:rPr>
          <w:rFonts w:cstheme="minorHAnsi"/>
          <w:b/>
          <w:bCs/>
        </w:rPr>
        <w:t xml:space="preserve"> COVID19 restrictions. </w:t>
      </w:r>
      <w:r w:rsidRPr="001E09E9">
        <w:rPr>
          <w:rFonts w:cstheme="minorHAnsi"/>
        </w:rPr>
        <w:t>According to CBS data</w:t>
      </w:r>
      <w:r w:rsidRPr="001E09E9">
        <w:rPr>
          <w:rFonts w:cstheme="minorHAnsi"/>
          <w:b/>
          <w:bCs/>
        </w:rPr>
        <w:t xml:space="preserve">, </w:t>
      </w:r>
      <w:r w:rsidR="009101EB">
        <w:rPr>
          <w:rFonts w:cstheme="minorHAnsi"/>
        </w:rPr>
        <w:t>t</w:t>
      </w:r>
      <w:r w:rsidRPr="001E09E9">
        <w:rPr>
          <w:rFonts w:cstheme="minorHAnsi"/>
        </w:rPr>
        <w:t>he value of exports declined by 13.9 percent to US$545 million from US$633 million. The decline in exports was a result significant drop in forest products which fell by 88.1 percent to US$12.7 million in 2020 from US$110million in 2019. The exports of livestock increased marginally by 2.6 percent to US$398million from US$388million. As a share of total exports of goods, livestock increased to 73.0 percent in 2020 from 61.3 percent while forest products declined to 2.3 percent from 17.4 percent in the same period (see</w:t>
      </w:r>
      <w:r w:rsidR="00672014">
        <w:rPr>
          <w:rFonts w:cstheme="minorHAnsi"/>
        </w:rPr>
        <w:t xml:space="preserve"> </w:t>
      </w:r>
      <w:r w:rsidR="005A19B4">
        <w:rPr>
          <w:rFonts w:cstheme="minorHAnsi"/>
        </w:rPr>
        <w:fldChar w:fldCharType="begin"/>
      </w:r>
      <w:r w:rsidR="005A19B4">
        <w:rPr>
          <w:rFonts w:cstheme="minorHAnsi"/>
        </w:rPr>
        <w:instrText xml:space="preserve"> REF _Ref71724960 \h </w:instrText>
      </w:r>
      <w:r w:rsidR="005A19B4">
        <w:rPr>
          <w:rFonts w:cstheme="minorHAnsi"/>
        </w:rPr>
      </w:r>
      <w:r w:rsidR="005A19B4">
        <w:rPr>
          <w:rFonts w:cstheme="minorHAnsi"/>
        </w:rPr>
        <w:fldChar w:fldCharType="separate"/>
      </w:r>
      <w:r w:rsidR="005A19B4">
        <w:t xml:space="preserve">Figure </w:t>
      </w:r>
      <w:r w:rsidR="005A19B4">
        <w:rPr>
          <w:noProof/>
        </w:rPr>
        <w:t>14</w:t>
      </w:r>
      <w:r w:rsidR="005A19B4">
        <w:rPr>
          <w:rFonts w:cstheme="minorHAnsi"/>
        </w:rPr>
        <w:fldChar w:fldCharType="end"/>
      </w:r>
      <w:r w:rsidR="00C7631D">
        <w:rPr>
          <w:rFonts w:cstheme="minorHAnsi"/>
        </w:rPr>
        <w:t>b</w:t>
      </w:r>
      <w:r w:rsidRPr="001E09E9">
        <w:rPr>
          <w:rFonts w:cstheme="minorHAnsi"/>
        </w:rPr>
        <w:t>).</w:t>
      </w:r>
    </w:p>
    <w:p w14:paraId="50B440A9" w14:textId="5D33B24B" w:rsidR="00807EDF" w:rsidRDefault="00953C81" w:rsidP="009101EB">
      <w:pPr>
        <w:pStyle w:val="Caption"/>
      </w:pPr>
      <w:bookmarkStart w:id="42" w:name="_Ref71724788"/>
      <w:bookmarkStart w:id="43" w:name="_Ref70944848"/>
      <w:bookmarkStart w:id="44" w:name="_Toc71725931"/>
      <w:r>
        <w:t xml:space="preserve">Figure </w:t>
      </w:r>
      <w:r w:rsidR="00322A00">
        <w:fldChar w:fldCharType="begin"/>
      </w:r>
      <w:r w:rsidR="00322A00">
        <w:instrText xml:space="preserve"> SEQ Figure \* ARABIC </w:instrText>
      </w:r>
      <w:r w:rsidR="00322A00">
        <w:fldChar w:fldCharType="separate"/>
      </w:r>
      <w:r>
        <w:rPr>
          <w:noProof/>
        </w:rPr>
        <w:t>13</w:t>
      </w:r>
      <w:r w:rsidR="00322A00">
        <w:rPr>
          <w:noProof/>
        </w:rPr>
        <w:fldChar w:fldCharType="end"/>
      </w:r>
      <w:bookmarkEnd w:id="42"/>
      <w:r w:rsidR="00B50FC3">
        <w:t>:</w:t>
      </w:r>
      <w:r w:rsidR="00807EDF">
        <w:t xml:space="preserve"> The e</w:t>
      </w:r>
      <w:r w:rsidR="00807EDF" w:rsidRPr="008F39BC">
        <w:t>xternal position deteriorated</w:t>
      </w:r>
      <w:bookmarkEnd w:id="43"/>
      <w:r w:rsidR="00807EDF">
        <w:t xml:space="preserve"> in 2020</w:t>
      </w:r>
      <w:bookmarkEnd w:id="44"/>
    </w:p>
    <w:p w14:paraId="516BC553" w14:textId="77777777" w:rsidR="00816581" w:rsidRPr="008C3DAC" w:rsidRDefault="00816581" w:rsidP="00807EDF">
      <w:pPr>
        <w:pStyle w:val="Figure"/>
        <w:rPr>
          <w:rFonts w:ascii="Century" w:hAnsi="Century"/>
        </w:rPr>
      </w:pPr>
      <w:r>
        <w:drawing>
          <wp:inline distT="0" distB="0" distL="0" distR="0" wp14:anchorId="41CA6726" wp14:editId="3C0F569A">
            <wp:extent cx="5057775" cy="2463066"/>
            <wp:effectExtent l="0" t="0" r="0" b="0"/>
            <wp:docPr id="43" name="Chart 43">
              <a:extLst xmlns:a="http://schemas.openxmlformats.org/drawingml/2006/main">
                <a:ext uri="{FF2B5EF4-FFF2-40B4-BE49-F238E27FC236}">
                  <a16:creationId xmlns:a16="http://schemas.microsoft.com/office/drawing/2014/main" id="{863A2834-F85D-48C9-BDAA-0CBD329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7DD4B3" w14:textId="7E8E20E7" w:rsidR="00816581" w:rsidRDefault="00816581" w:rsidP="00D756D2">
      <w:pPr>
        <w:pStyle w:val="Source"/>
      </w:pPr>
      <w:r w:rsidRPr="008E6ED9">
        <w:t>Source Central Bank of Somalia, IMF</w:t>
      </w:r>
    </w:p>
    <w:p w14:paraId="39E41C7E" w14:textId="6E4E293E" w:rsidR="008578AD" w:rsidRPr="001E09E9" w:rsidRDefault="00A965DF" w:rsidP="009101EB">
      <w:pPr>
        <w:pStyle w:val="Caption"/>
        <w:rPr>
          <w:rFonts w:cstheme="minorHAnsi"/>
        </w:rPr>
      </w:pPr>
      <w:bookmarkStart w:id="45" w:name="_Ref71724960"/>
      <w:bookmarkStart w:id="46" w:name="_Toc71725932"/>
      <w:r>
        <w:t xml:space="preserve">Figure </w:t>
      </w:r>
      <w:r w:rsidR="00322A00">
        <w:fldChar w:fldCharType="begin"/>
      </w:r>
      <w:r w:rsidR="00322A00">
        <w:instrText xml:space="preserve"> SEQ Figure \* ARABIC </w:instrText>
      </w:r>
      <w:r w:rsidR="00322A00">
        <w:fldChar w:fldCharType="separate"/>
      </w:r>
      <w:r>
        <w:rPr>
          <w:noProof/>
        </w:rPr>
        <w:t>14</w:t>
      </w:r>
      <w:r w:rsidR="00322A00">
        <w:rPr>
          <w:noProof/>
        </w:rPr>
        <w:fldChar w:fldCharType="end"/>
      </w:r>
      <w:bookmarkEnd w:id="45"/>
      <w:r w:rsidR="008578AD" w:rsidRPr="001E09E9">
        <w:rPr>
          <w:rFonts w:cstheme="minorHAnsi"/>
        </w:rPr>
        <w:t>: Composition of exports and imports (share of the total)</w:t>
      </w:r>
      <w:bookmarkEnd w:id="46"/>
    </w:p>
    <w:p w14:paraId="3281D564" w14:textId="6E6ED9D1" w:rsidR="008578AD" w:rsidRDefault="00703CC5" w:rsidP="008578AD">
      <w:pPr>
        <w:pStyle w:val="Source"/>
      </w:pPr>
      <w:r>
        <w:rPr>
          <w:noProof/>
        </w:rPr>
        <w:drawing>
          <wp:inline distT="0" distB="0" distL="0" distR="0" wp14:anchorId="0E157392" wp14:editId="4022F7CB">
            <wp:extent cx="3086100" cy="3378200"/>
            <wp:effectExtent l="0" t="0" r="0" b="0"/>
            <wp:docPr id="837988928" name="Chart 837988928">
              <a:extLst xmlns:a="http://schemas.openxmlformats.org/drawingml/2006/main">
                <a:ext uri="{FF2B5EF4-FFF2-40B4-BE49-F238E27FC236}">
                  <a16:creationId xmlns:a16="http://schemas.microsoft.com/office/drawing/2014/main" id="{3E4D33E8-33F8-4FA9-9ACB-091840EA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C473A2" w:rsidRPr="00C473A2">
        <w:rPr>
          <w:noProof/>
        </w:rPr>
        <w:t xml:space="preserve"> </w:t>
      </w:r>
      <w:r w:rsidR="00C473A2">
        <w:rPr>
          <w:noProof/>
        </w:rPr>
        <w:drawing>
          <wp:inline distT="0" distB="0" distL="0" distR="0" wp14:anchorId="54FF832B" wp14:editId="0B15030E">
            <wp:extent cx="2806700" cy="3327400"/>
            <wp:effectExtent l="0" t="0" r="0" b="6350"/>
            <wp:docPr id="837988930" name="Chart 837988930">
              <a:extLst xmlns:a="http://schemas.openxmlformats.org/drawingml/2006/main">
                <a:ext uri="{FF2B5EF4-FFF2-40B4-BE49-F238E27FC236}">
                  <a16:creationId xmlns:a16="http://schemas.microsoft.com/office/drawing/2014/main" id="{5018B972-221A-4A09-B250-750965288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529FA2" w14:textId="56BD4F8D" w:rsidR="008578AD" w:rsidRPr="008E6ED9" w:rsidRDefault="008578AD" w:rsidP="008578AD">
      <w:pPr>
        <w:pStyle w:val="Source"/>
      </w:pPr>
      <w:r>
        <w:t>S</w:t>
      </w:r>
      <w:r w:rsidR="00742542">
        <w:t>ource: Central Bank of Somalia database</w:t>
      </w:r>
    </w:p>
    <w:p w14:paraId="758F56C6" w14:textId="655E98FB" w:rsidR="001F2277" w:rsidRPr="00296326" w:rsidRDefault="00485D84" w:rsidP="008E6ED9">
      <w:pPr>
        <w:pStyle w:val="Heading2"/>
        <w:spacing w:before="120" w:after="120"/>
      </w:pPr>
      <w:bookmarkStart w:id="47" w:name="_Toc71725888"/>
      <w:r>
        <w:lastRenderedPageBreak/>
        <w:t>Public finances came under stress in 2020</w:t>
      </w:r>
      <w:r w:rsidR="005E3577">
        <w:t xml:space="preserve">, necessitating large adjustments </w:t>
      </w:r>
      <w:r w:rsidR="00BE2E80">
        <w:t>through</w:t>
      </w:r>
      <w:r w:rsidR="005E3577">
        <w:t xml:space="preserve"> </w:t>
      </w:r>
      <w:r w:rsidR="00BE2E80">
        <w:t>a</w:t>
      </w:r>
      <w:r w:rsidR="005E3577">
        <w:t xml:space="preserve"> revised budget</w:t>
      </w:r>
      <w:bookmarkEnd w:id="47"/>
    </w:p>
    <w:p w14:paraId="566E75E7" w14:textId="1C535200" w:rsidR="005E3577" w:rsidRDefault="001F2277" w:rsidP="00C827D2">
      <w:pPr>
        <w:jc w:val="both"/>
      </w:pPr>
      <w:r w:rsidRPr="009E6532">
        <w:rPr>
          <w:b/>
          <w:bCs/>
        </w:rPr>
        <w:t xml:space="preserve">Somalia’s </w:t>
      </w:r>
      <w:r w:rsidR="007025B9">
        <w:rPr>
          <w:b/>
          <w:bCs/>
        </w:rPr>
        <w:t>triple cri</w:t>
      </w:r>
      <w:r w:rsidR="000F642C">
        <w:rPr>
          <w:b/>
          <w:bCs/>
        </w:rPr>
        <w:t>sis</w:t>
      </w:r>
      <w:r w:rsidRPr="009E6532">
        <w:rPr>
          <w:b/>
          <w:bCs/>
        </w:rPr>
        <w:t xml:space="preserve"> </w:t>
      </w:r>
      <w:r>
        <w:rPr>
          <w:b/>
          <w:bCs/>
        </w:rPr>
        <w:t xml:space="preserve">increased </w:t>
      </w:r>
      <w:r w:rsidRPr="009E6532">
        <w:rPr>
          <w:b/>
          <w:bCs/>
        </w:rPr>
        <w:t xml:space="preserve">pressure on public finances. </w:t>
      </w:r>
      <w:r w:rsidR="006D563E">
        <w:t xml:space="preserve">Disruptions stemming from the pandemic </w:t>
      </w:r>
      <w:r w:rsidR="00BE2E80">
        <w:t xml:space="preserve">reduced revenue collected </w:t>
      </w:r>
      <w:r w:rsidR="006D563E">
        <w:t xml:space="preserve">by federal and state governments at the same time as they faced </w:t>
      </w:r>
      <w:r w:rsidR="00B03655">
        <w:t>demands</w:t>
      </w:r>
      <w:r w:rsidR="006D563E">
        <w:t xml:space="preserve"> to </w:t>
      </w:r>
      <w:r w:rsidR="00DE7BCC">
        <w:t>spend more</w:t>
      </w:r>
      <w:r w:rsidR="006D563E">
        <w:t xml:space="preserve"> on health and disaster relief. As a result of reaching the HIPC Decision Point, the FGS mobilized new external grants to finance new social programs, emergency projects to address flooding and </w:t>
      </w:r>
      <w:proofErr w:type="gramStart"/>
      <w:r w:rsidR="006D563E">
        <w:t>locusts</w:t>
      </w:r>
      <w:proofErr w:type="gramEnd"/>
      <w:r w:rsidR="00B03655">
        <w:t xml:space="preserve"> invasion</w:t>
      </w:r>
      <w:r w:rsidR="006D563E">
        <w:t>, and intergovernmental grants</w:t>
      </w:r>
      <w:r w:rsidR="005E3577" w:rsidRPr="005E3577">
        <w:t xml:space="preserve"> </w:t>
      </w:r>
      <w:r w:rsidR="006D563E">
        <w:t xml:space="preserve">to the FMS and the </w:t>
      </w:r>
      <w:proofErr w:type="spellStart"/>
      <w:r w:rsidR="006D563E">
        <w:t>Banadir</w:t>
      </w:r>
      <w:proofErr w:type="spellEnd"/>
      <w:r w:rsidR="006D563E">
        <w:t xml:space="preserve"> Regional Authority. In June, MOF submitted a revised 2020 budget to the parliament to obtain authority for </w:t>
      </w:r>
      <w:r w:rsidR="00DE7BCC">
        <w:t>spending adjustments</w:t>
      </w:r>
      <w:r w:rsidR="006D563E">
        <w:t xml:space="preserve"> and to </w:t>
      </w:r>
      <w:r w:rsidR="00DE7BCC">
        <w:t>revise</w:t>
      </w:r>
      <w:r w:rsidR="006D563E">
        <w:t xml:space="preserve"> revenue targets. As will be discussed</w:t>
      </w:r>
      <w:r w:rsidR="00C827D2">
        <w:t>, estimates of the 2020 outturn show that FGS domestic revenue fell below the levels collected in 2019 and projected in the original 2020 budget, but outperformed the targets in the revised budget (</w:t>
      </w:r>
      <w:r w:rsidR="00C7631D">
        <w:fldChar w:fldCharType="begin"/>
      </w:r>
      <w:r w:rsidR="00C7631D">
        <w:instrText xml:space="preserve"> REF _Ref70951929 \h </w:instrText>
      </w:r>
      <w:r w:rsidR="00C7631D">
        <w:fldChar w:fldCharType="separate"/>
      </w:r>
      <w:r w:rsidR="00C7631D">
        <w:t xml:space="preserve">Table </w:t>
      </w:r>
      <w:r w:rsidR="00C7631D">
        <w:rPr>
          <w:noProof/>
        </w:rPr>
        <w:t>5</w:t>
      </w:r>
      <w:r w:rsidR="00C7631D">
        <w:fldChar w:fldCharType="end"/>
      </w:r>
      <w:r w:rsidR="00C827D2">
        <w:fldChar w:fldCharType="begin"/>
      </w:r>
      <w:r w:rsidR="00C827D2">
        <w:instrText xml:space="preserve"> REF _Ref70951929 \h </w:instrText>
      </w:r>
      <w:r w:rsidR="00C827D2">
        <w:fldChar w:fldCharType="end"/>
      </w:r>
      <w:r w:rsidR="00C827D2">
        <w:t xml:space="preserve">). Large increases in external grants enabled the FGS to begin rebalancing public spending towards economic and social services. Revenue was nevertheless insufficient to support full execution of the ambitious revised budget, which required the FGS to cut discretionary spending on procurement of goods and services. </w:t>
      </w:r>
      <w:r w:rsidR="006D563E">
        <w:t xml:space="preserve">This section of the Somalia Economic Update first analyses the 2020 fiscal outturn at the federal government and provides summary outturn at the FMSs. </w:t>
      </w:r>
      <w:r w:rsidR="00DE7BCC">
        <w:t>The subsequent section</w:t>
      </w:r>
      <w:r w:rsidR="006D563E">
        <w:t xml:space="preserve"> provides highlights of the 2021 FGS budget</w:t>
      </w:r>
      <w:r w:rsidR="00DE7BCC">
        <w:t>,</w:t>
      </w:r>
      <w:r w:rsidR="006D563E">
        <w:t xml:space="preserve"> including </w:t>
      </w:r>
      <w:r w:rsidR="00DE7BCC">
        <w:t xml:space="preserve">the </w:t>
      </w:r>
      <w:r w:rsidR="006D563E">
        <w:t>quarter 1 outturn.</w:t>
      </w:r>
    </w:p>
    <w:p w14:paraId="28EA6326" w14:textId="72AB34EE" w:rsidR="005E3577" w:rsidRDefault="005E3577" w:rsidP="005E3577">
      <w:pPr>
        <w:pStyle w:val="Caption"/>
      </w:pPr>
      <w:bookmarkStart w:id="48" w:name="_Ref70951929"/>
      <w:bookmarkStart w:id="49" w:name="_Toc71725962"/>
      <w:r>
        <w:t xml:space="preserve">Table </w:t>
      </w:r>
      <w:fldSimple w:instr=" SEQ Table \* ARABIC ">
        <w:r w:rsidR="00EF1142">
          <w:rPr>
            <w:noProof/>
          </w:rPr>
          <w:t>5</w:t>
        </w:r>
      </w:fldSimple>
      <w:bookmarkEnd w:id="48"/>
      <w:r>
        <w:t>: FGS Fiscal Operations, 2018–21</w:t>
      </w:r>
      <w:bookmarkEnd w:id="49"/>
    </w:p>
    <w:tbl>
      <w:tblPr>
        <w:tblW w:w="5000" w:type="pct"/>
        <w:jc w:val="center"/>
        <w:tblLayout w:type="fixed"/>
        <w:tblLook w:val="04A0" w:firstRow="1" w:lastRow="0" w:firstColumn="1" w:lastColumn="0" w:noHBand="0" w:noVBand="1"/>
      </w:tblPr>
      <w:tblGrid>
        <w:gridCol w:w="3934"/>
        <w:gridCol w:w="902"/>
        <w:gridCol w:w="903"/>
        <w:gridCol w:w="903"/>
        <w:gridCol w:w="902"/>
        <w:gridCol w:w="903"/>
        <w:gridCol w:w="903"/>
      </w:tblGrid>
      <w:tr w:rsidR="005E3577" w:rsidRPr="005E3577" w14:paraId="53699A56" w14:textId="77777777" w:rsidTr="005E3577">
        <w:trPr>
          <w:trHeight w:val="216"/>
          <w:jc w:val="center"/>
        </w:trPr>
        <w:tc>
          <w:tcPr>
            <w:tcW w:w="3934" w:type="dxa"/>
            <w:tcBorders>
              <w:top w:val="single" w:sz="4" w:space="0" w:color="auto"/>
              <w:left w:val="single" w:sz="4" w:space="0" w:color="auto"/>
              <w:bottom w:val="nil"/>
              <w:right w:val="single" w:sz="4" w:space="0" w:color="auto"/>
            </w:tcBorders>
            <w:shd w:val="clear" w:color="auto" w:fill="auto"/>
            <w:noWrap/>
            <w:vAlign w:val="bottom"/>
            <w:hideMark/>
          </w:tcPr>
          <w:p w14:paraId="70040C46" w14:textId="77777777" w:rsidR="005E3577" w:rsidRPr="005E3577" w:rsidRDefault="005E3577" w:rsidP="005E3577">
            <w:pPr>
              <w:keepNext/>
              <w:spacing w:after="0" w:line="240" w:lineRule="auto"/>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 </w:t>
            </w:r>
          </w:p>
        </w:tc>
        <w:tc>
          <w:tcPr>
            <w:tcW w:w="902" w:type="dxa"/>
            <w:tcBorders>
              <w:top w:val="single" w:sz="4" w:space="0" w:color="auto"/>
              <w:left w:val="nil"/>
              <w:bottom w:val="nil"/>
              <w:right w:val="single" w:sz="4" w:space="0" w:color="auto"/>
            </w:tcBorders>
            <w:shd w:val="clear" w:color="auto" w:fill="auto"/>
            <w:noWrap/>
            <w:vAlign w:val="bottom"/>
            <w:hideMark/>
          </w:tcPr>
          <w:p w14:paraId="6657CFAA" w14:textId="1E55C020"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2018</w:t>
            </w:r>
          </w:p>
        </w:tc>
        <w:tc>
          <w:tcPr>
            <w:tcW w:w="903" w:type="dxa"/>
            <w:tcBorders>
              <w:top w:val="single" w:sz="4" w:space="0" w:color="auto"/>
              <w:left w:val="nil"/>
              <w:bottom w:val="nil"/>
              <w:right w:val="single" w:sz="4" w:space="0" w:color="auto"/>
            </w:tcBorders>
            <w:shd w:val="clear" w:color="auto" w:fill="auto"/>
            <w:noWrap/>
            <w:vAlign w:val="bottom"/>
            <w:hideMark/>
          </w:tcPr>
          <w:p w14:paraId="51C69EDF" w14:textId="5AB84E03"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2019</w:t>
            </w:r>
          </w:p>
        </w:tc>
        <w:tc>
          <w:tcPr>
            <w:tcW w:w="903" w:type="dxa"/>
            <w:tcBorders>
              <w:top w:val="single" w:sz="4" w:space="0" w:color="auto"/>
              <w:left w:val="nil"/>
              <w:bottom w:val="nil"/>
              <w:right w:val="nil"/>
            </w:tcBorders>
            <w:shd w:val="clear" w:color="auto" w:fill="auto"/>
            <w:noWrap/>
            <w:vAlign w:val="bottom"/>
            <w:hideMark/>
          </w:tcPr>
          <w:p w14:paraId="4BC9C35A" w14:textId="6B95A061"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 </w:t>
            </w:r>
          </w:p>
        </w:tc>
        <w:tc>
          <w:tcPr>
            <w:tcW w:w="902" w:type="dxa"/>
            <w:tcBorders>
              <w:top w:val="single" w:sz="4" w:space="0" w:color="auto"/>
              <w:left w:val="nil"/>
              <w:bottom w:val="nil"/>
              <w:right w:val="nil"/>
            </w:tcBorders>
            <w:shd w:val="clear" w:color="auto" w:fill="auto"/>
            <w:noWrap/>
            <w:vAlign w:val="bottom"/>
            <w:hideMark/>
          </w:tcPr>
          <w:p w14:paraId="16583495" w14:textId="66369A87"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2020</w:t>
            </w:r>
          </w:p>
        </w:tc>
        <w:tc>
          <w:tcPr>
            <w:tcW w:w="903" w:type="dxa"/>
            <w:tcBorders>
              <w:top w:val="single" w:sz="4" w:space="0" w:color="auto"/>
              <w:left w:val="nil"/>
              <w:bottom w:val="nil"/>
              <w:right w:val="single" w:sz="4" w:space="0" w:color="auto"/>
            </w:tcBorders>
            <w:shd w:val="clear" w:color="auto" w:fill="auto"/>
            <w:noWrap/>
            <w:vAlign w:val="bottom"/>
            <w:hideMark/>
          </w:tcPr>
          <w:p w14:paraId="50E5E649" w14:textId="57D31F75"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 </w:t>
            </w:r>
          </w:p>
        </w:tc>
        <w:tc>
          <w:tcPr>
            <w:tcW w:w="903" w:type="dxa"/>
            <w:tcBorders>
              <w:top w:val="single" w:sz="4" w:space="0" w:color="auto"/>
              <w:left w:val="nil"/>
              <w:bottom w:val="nil"/>
              <w:right w:val="single" w:sz="4" w:space="0" w:color="auto"/>
            </w:tcBorders>
            <w:shd w:val="clear" w:color="auto" w:fill="auto"/>
            <w:noWrap/>
            <w:vAlign w:val="bottom"/>
            <w:hideMark/>
          </w:tcPr>
          <w:p w14:paraId="1EC0542A" w14:textId="596AB35A"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2021</w:t>
            </w:r>
          </w:p>
        </w:tc>
      </w:tr>
      <w:tr w:rsidR="005E3577" w:rsidRPr="005E3577" w14:paraId="1B5F5EFA" w14:textId="77777777" w:rsidTr="005E3577">
        <w:trPr>
          <w:trHeight w:val="216"/>
          <w:jc w:val="center"/>
        </w:trPr>
        <w:tc>
          <w:tcPr>
            <w:tcW w:w="3934" w:type="dxa"/>
            <w:tcBorders>
              <w:top w:val="nil"/>
              <w:left w:val="single" w:sz="4" w:space="0" w:color="auto"/>
              <w:bottom w:val="single" w:sz="4" w:space="0" w:color="auto"/>
              <w:right w:val="single" w:sz="4" w:space="0" w:color="auto"/>
            </w:tcBorders>
            <w:shd w:val="clear" w:color="auto" w:fill="auto"/>
            <w:vAlign w:val="bottom"/>
            <w:hideMark/>
          </w:tcPr>
          <w:p w14:paraId="1552AF3C" w14:textId="6D6F7A74" w:rsidR="005E3577" w:rsidRPr="005E3577" w:rsidRDefault="005E3577" w:rsidP="005E3577">
            <w:pPr>
              <w:keepNext/>
              <w:spacing w:after="0" w:line="240" w:lineRule="auto"/>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 </w:t>
            </w:r>
          </w:p>
        </w:tc>
        <w:tc>
          <w:tcPr>
            <w:tcW w:w="902" w:type="dxa"/>
            <w:tcBorders>
              <w:top w:val="nil"/>
              <w:left w:val="nil"/>
              <w:bottom w:val="single" w:sz="4" w:space="0" w:color="auto"/>
              <w:right w:val="single" w:sz="4" w:space="0" w:color="auto"/>
            </w:tcBorders>
            <w:shd w:val="clear" w:color="auto" w:fill="auto"/>
            <w:vAlign w:val="bottom"/>
            <w:hideMark/>
          </w:tcPr>
          <w:p w14:paraId="20194A0B" w14:textId="68B9B085"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Actual</w:t>
            </w:r>
          </w:p>
        </w:tc>
        <w:tc>
          <w:tcPr>
            <w:tcW w:w="903" w:type="dxa"/>
            <w:tcBorders>
              <w:top w:val="nil"/>
              <w:left w:val="nil"/>
              <w:bottom w:val="single" w:sz="4" w:space="0" w:color="auto"/>
              <w:right w:val="single" w:sz="4" w:space="0" w:color="auto"/>
            </w:tcBorders>
            <w:shd w:val="clear" w:color="auto" w:fill="auto"/>
            <w:vAlign w:val="bottom"/>
            <w:hideMark/>
          </w:tcPr>
          <w:p w14:paraId="053A5926" w14:textId="36B5CC3D"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Actual</w:t>
            </w:r>
          </w:p>
        </w:tc>
        <w:tc>
          <w:tcPr>
            <w:tcW w:w="903" w:type="dxa"/>
            <w:tcBorders>
              <w:top w:val="nil"/>
              <w:left w:val="nil"/>
              <w:bottom w:val="single" w:sz="4" w:space="0" w:color="auto"/>
              <w:right w:val="nil"/>
            </w:tcBorders>
            <w:shd w:val="clear" w:color="auto" w:fill="auto"/>
            <w:vAlign w:val="bottom"/>
            <w:hideMark/>
          </w:tcPr>
          <w:p w14:paraId="2A7AAF6B" w14:textId="7769058A"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Orig</w:t>
            </w:r>
            <w:r w:rsidR="006559F7">
              <w:rPr>
                <w:rFonts w:ascii="Calibri" w:eastAsia="Times New Roman" w:hAnsi="Calibri" w:cs="Calibri"/>
                <w:b/>
                <w:bCs/>
                <w:color w:val="000000"/>
                <w:sz w:val="20"/>
                <w:szCs w:val="20"/>
              </w:rPr>
              <w:t>.</w:t>
            </w:r>
            <w:r w:rsidRPr="005E3577">
              <w:rPr>
                <w:rFonts w:ascii="Calibri" w:eastAsia="Times New Roman" w:hAnsi="Calibri" w:cs="Calibri"/>
                <w:b/>
                <w:bCs/>
                <w:color w:val="000000"/>
                <w:sz w:val="20"/>
                <w:szCs w:val="20"/>
              </w:rPr>
              <w:t>, budget</w:t>
            </w:r>
          </w:p>
        </w:tc>
        <w:tc>
          <w:tcPr>
            <w:tcW w:w="902" w:type="dxa"/>
            <w:tcBorders>
              <w:top w:val="nil"/>
              <w:left w:val="nil"/>
              <w:bottom w:val="single" w:sz="4" w:space="0" w:color="auto"/>
              <w:right w:val="nil"/>
            </w:tcBorders>
            <w:shd w:val="clear" w:color="auto" w:fill="auto"/>
            <w:vAlign w:val="bottom"/>
            <w:hideMark/>
          </w:tcPr>
          <w:p w14:paraId="3FA86095" w14:textId="77777777"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Rev. budget</w:t>
            </w:r>
          </w:p>
        </w:tc>
        <w:tc>
          <w:tcPr>
            <w:tcW w:w="903" w:type="dxa"/>
            <w:tcBorders>
              <w:top w:val="nil"/>
              <w:left w:val="nil"/>
              <w:bottom w:val="single" w:sz="4" w:space="0" w:color="auto"/>
              <w:right w:val="single" w:sz="4" w:space="0" w:color="auto"/>
            </w:tcBorders>
            <w:shd w:val="clear" w:color="auto" w:fill="auto"/>
            <w:vAlign w:val="bottom"/>
            <w:hideMark/>
          </w:tcPr>
          <w:p w14:paraId="398DFD42" w14:textId="77777777"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Actual (est.)</w:t>
            </w:r>
          </w:p>
        </w:tc>
        <w:tc>
          <w:tcPr>
            <w:tcW w:w="903" w:type="dxa"/>
            <w:tcBorders>
              <w:top w:val="nil"/>
              <w:left w:val="nil"/>
              <w:bottom w:val="single" w:sz="4" w:space="0" w:color="auto"/>
              <w:right w:val="single" w:sz="4" w:space="0" w:color="auto"/>
            </w:tcBorders>
            <w:shd w:val="clear" w:color="auto" w:fill="auto"/>
            <w:vAlign w:val="bottom"/>
            <w:hideMark/>
          </w:tcPr>
          <w:p w14:paraId="1739B19C" w14:textId="77777777" w:rsidR="005E3577" w:rsidRPr="005E3577" w:rsidRDefault="005E3577" w:rsidP="005E3577">
            <w:pPr>
              <w:keepNext/>
              <w:spacing w:after="0" w:line="240" w:lineRule="auto"/>
              <w:jc w:val="center"/>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Budget</w:t>
            </w:r>
          </w:p>
        </w:tc>
      </w:tr>
      <w:tr w:rsidR="005E3577" w:rsidRPr="005E3577" w14:paraId="434FBC8E"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34CB643A" w14:textId="130686FB" w:rsidR="005E3577" w:rsidRPr="005E3577" w:rsidRDefault="005E3577" w:rsidP="005E3577">
            <w:pPr>
              <w:keepNext/>
              <w:spacing w:after="0" w:line="240" w:lineRule="auto"/>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Revenue and grants</w:t>
            </w:r>
          </w:p>
        </w:tc>
        <w:tc>
          <w:tcPr>
            <w:tcW w:w="902" w:type="dxa"/>
            <w:tcBorders>
              <w:top w:val="nil"/>
              <w:left w:val="nil"/>
              <w:bottom w:val="nil"/>
              <w:right w:val="single" w:sz="4" w:space="0" w:color="auto"/>
            </w:tcBorders>
            <w:shd w:val="clear" w:color="auto" w:fill="auto"/>
            <w:noWrap/>
            <w:vAlign w:val="bottom"/>
            <w:hideMark/>
          </w:tcPr>
          <w:p w14:paraId="79D0E2E1" w14:textId="7C750ACB"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276.2</w:t>
            </w:r>
          </w:p>
        </w:tc>
        <w:tc>
          <w:tcPr>
            <w:tcW w:w="903" w:type="dxa"/>
            <w:tcBorders>
              <w:top w:val="nil"/>
              <w:left w:val="nil"/>
              <w:bottom w:val="nil"/>
              <w:right w:val="single" w:sz="4" w:space="0" w:color="auto"/>
            </w:tcBorders>
            <w:shd w:val="clear" w:color="auto" w:fill="auto"/>
            <w:noWrap/>
            <w:vAlign w:val="bottom"/>
            <w:hideMark/>
          </w:tcPr>
          <w:p w14:paraId="5D9CBB76" w14:textId="312C161E"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337.8</w:t>
            </w:r>
          </w:p>
        </w:tc>
        <w:tc>
          <w:tcPr>
            <w:tcW w:w="903" w:type="dxa"/>
            <w:tcBorders>
              <w:top w:val="nil"/>
              <w:left w:val="nil"/>
              <w:bottom w:val="nil"/>
              <w:right w:val="nil"/>
            </w:tcBorders>
            <w:shd w:val="clear" w:color="auto" w:fill="auto"/>
            <w:noWrap/>
            <w:vAlign w:val="bottom"/>
            <w:hideMark/>
          </w:tcPr>
          <w:p w14:paraId="60D08318" w14:textId="035946DB"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466.2</w:t>
            </w:r>
          </w:p>
        </w:tc>
        <w:tc>
          <w:tcPr>
            <w:tcW w:w="902" w:type="dxa"/>
            <w:tcBorders>
              <w:top w:val="nil"/>
              <w:left w:val="nil"/>
              <w:bottom w:val="nil"/>
              <w:right w:val="nil"/>
            </w:tcBorders>
            <w:shd w:val="clear" w:color="auto" w:fill="auto"/>
            <w:noWrap/>
            <w:vAlign w:val="bottom"/>
            <w:hideMark/>
          </w:tcPr>
          <w:p w14:paraId="3A4218C5" w14:textId="12FFFDC1"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578.1</w:t>
            </w:r>
          </w:p>
        </w:tc>
        <w:tc>
          <w:tcPr>
            <w:tcW w:w="903" w:type="dxa"/>
            <w:tcBorders>
              <w:top w:val="nil"/>
              <w:left w:val="nil"/>
              <w:bottom w:val="nil"/>
              <w:right w:val="single" w:sz="4" w:space="0" w:color="auto"/>
            </w:tcBorders>
            <w:shd w:val="clear" w:color="auto" w:fill="auto"/>
            <w:noWrap/>
            <w:vAlign w:val="bottom"/>
            <w:hideMark/>
          </w:tcPr>
          <w:p w14:paraId="14BD0A5F" w14:textId="01B67F74"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506.8</w:t>
            </w:r>
          </w:p>
        </w:tc>
        <w:tc>
          <w:tcPr>
            <w:tcW w:w="903" w:type="dxa"/>
            <w:tcBorders>
              <w:top w:val="nil"/>
              <w:left w:val="nil"/>
              <w:bottom w:val="nil"/>
              <w:right w:val="single" w:sz="4" w:space="0" w:color="auto"/>
            </w:tcBorders>
            <w:shd w:val="clear" w:color="auto" w:fill="auto"/>
            <w:noWrap/>
            <w:vAlign w:val="bottom"/>
            <w:hideMark/>
          </w:tcPr>
          <w:p w14:paraId="334398F5" w14:textId="51442A4E"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680.5</w:t>
            </w:r>
          </w:p>
        </w:tc>
      </w:tr>
      <w:tr w:rsidR="005E3577" w:rsidRPr="005E3577" w14:paraId="6F0359F0"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65016D59" w14:textId="5699A6B2" w:rsidR="005E3577" w:rsidRPr="005E3577" w:rsidRDefault="005E3577" w:rsidP="005E3577">
            <w:pPr>
              <w:keepNext/>
              <w:spacing w:after="0" w:line="240" w:lineRule="auto"/>
              <w:rPr>
                <w:rFonts w:ascii="Calibri" w:eastAsia="Times New Roman" w:hAnsi="Calibri" w:cs="Calibri"/>
                <w:color w:val="000000"/>
                <w:sz w:val="20"/>
                <w:szCs w:val="20"/>
              </w:rPr>
            </w:pPr>
            <w:r w:rsidRPr="005E3577">
              <w:rPr>
                <w:rFonts w:ascii="Calibri" w:eastAsia="Times New Roman" w:hAnsi="Calibri" w:cs="Calibri"/>
                <w:color w:val="000000"/>
                <w:sz w:val="20"/>
                <w:szCs w:val="20"/>
              </w:rPr>
              <w:t>Domestic revenue</w:t>
            </w:r>
          </w:p>
        </w:tc>
        <w:tc>
          <w:tcPr>
            <w:tcW w:w="902" w:type="dxa"/>
            <w:tcBorders>
              <w:top w:val="nil"/>
              <w:left w:val="nil"/>
              <w:bottom w:val="nil"/>
              <w:right w:val="single" w:sz="4" w:space="0" w:color="auto"/>
            </w:tcBorders>
            <w:shd w:val="clear" w:color="auto" w:fill="auto"/>
            <w:noWrap/>
            <w:vAlign w:val="bottom"/>
            <w:hideMark/>
          </w:tcPr>
          <w:p w14:paraId="02CCE067" w14:textId="5F9CF0A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183.4</w:t>
            </w:r>
          </w:p>
        </w:tc>
        <w:tc>
          <w:tcPr>
            <w:tcW w:w="903" w:type="dxa"/>
            <w:tcBorders>
              <w:top w:val="nil"/>
              <w:left w:val="nil"/>
              <w:bottom w:val="nil"/>
              <w:right w:val="single" w:sz="4" w:space="0" w:color="auto"/>
            </w:tcBorders>
            <w:shd w:val="clear" w:color="auto" w:fill="auto"/>
            <w:noWrap/>
            <w:vAlign w:val="bottom"/>
            <w:hideMark/>
          </w:tcPr>
          <w:p w14:paraId="08C98692" w14:textId="22C9F9E9"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229.7</w:t>
            </w:r>
          </w:p>
        </w:tc>
        <w:tc>
          <w:tcPr>
            <w:tcW w:w="903" w:type="dxa"/>
            <w:tcBorders>
              <w:top w:val="nil"/>
              <w:left w:val="nil"/>
              <w:bottom w:val="nil"/>
              <w:right w:val="nil"/>
            </w:tcBorders>
            <w:shd w:val="clear" w:color="auto" w:fill="auto"/>
            <w:noWrap/>
            <w:vAlign w:val="bottom"/>
            <w:hideMark/>
          </w:tcPr>
          <w:p w14:paraId="363C3688" w14:textId="39852A0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234.4</w:t>
            </w:r>
          </w:p>
        </w:tc>
        <w:tc>
          <w:tcPr>
            <w:tcW w:w="902" w:type="dxa"/>
            <w:tcBorders>
              <w:top w:val="nil"/>
              <w:left w:val="nil"/>
              <w:bottom w:val="nil"/>
              <w:right w:val="nil"/>
            </w:tcBorders>
            <w:shd w:val="clear" w:color="auto" w:fill="auto"/>
            <w:noWrap/>
            <w:vAlign w:val="bottom"/>
            <w:hideMark/>
          </w:tcPr>
          <w:p w14:paraId="3F04BF50" w14:textId="44AAF65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167.5</w:t>
            </w:r>
          </w:p>
        </w:tc>
        <w:tc>
          <w:tcPr>
            <w:tcW w:w="903" w:type="dxa"/>
            <w:tcBorders>
              <w:top w:val="nil"/>
              <w:left w:val="nil"/>
              <w:bottom w:val="nil"/>
              <w:right w:val="single" w:sz="4" w:space="0" w:color="auto"/>
            </w:tcBorders>
            <w:shd w:val="clear" w:color="auto" w:fill="auto"/>
            <w:noWrap/>
            <w:vAlign w:val="bottom"/>
            <w:hideMark/>
          </w:tcPr>
          <w:p w14:paraId="342C284B" w14:textId="6DBA05C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211.2</w:t>
            </w:r>
          </w:p>
        </w:tc>
        <w:tc>
          <w:tcPr>
            <w:tcW w:w="903" w:type="dxa"/>
            <w:tcBorders>
              <w:top w:val="nil"/>
              <w:left w:val="nil"/>
              <w:bottom w:val="nil"/>
              <w:right w:val="single" w:sz="4" w:space="0" w:color="auto"/>
            </w:tcBorders>
            <w:shd w:val="clear" w:color="auto" w:fill="auto"/>
            <w:noWrap/>
            <w:vAlign w:val="bottom"/>
            <w:hideMark/>
          </w:tcPr>
          <w:p w14:paraId="1D12A2FC" w14:textId="147BB14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269.7</w:t>
            </w:r>
          </w:p>
        </w:tc>
      </w:tr>
      <w:tr w:rsidR="005E3577" w:rsidRPr="005E3577" w14:paraId="073D9E34"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6E9E3576" w14:textId="7B24257C"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Tax revenue</w:t>
            </w:r>
          </w:p>
        </w:tc>
        <w:tc>
          <w:tcPr>
            <w:tcW w:w="902" w:type="dxa"/>
            <w:tcBorders>
              <w:top w:val="nil"/>
              <w:left w:val="nil"/>
              <w:bottom w:val="nil"/>
              <w:right w:val="single" w:sz="4" w:space="0" w:color="auto"/>
            </w:tcBorders>
            <w:shd w:val="clear" w:color="auto" w:fill="auto"/>
            <w:noWrap/>
            <w:vAlign w:val="bottom"/>
            <w:hideMark/>
          </w:tcPr>
          <w:p w14:paraId="4675D1A6" w14:textId="34BF022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138.9</w:t>
            </w:r>
          </w:p>
        </w:tc>
        <w:tc>
          <w:tcPr>
            <w:tcW w:w="903" w:type="dxa"/>
            <w:tcBorders>
              <w:top w:val="nil"/>
              <w:left w:val="nil"/>
              <w:bottom w:val="nil"/>
              <w:right w:val="single" w:sz="4" w:space="0" w:color="auto"/>
            </w:tcBorders>
            <w:shd w:val="clear" w:color="auto" w:fill="auto"/>
            <w:noWrap/>
            <w:vAlign w:val="bottom"/>
            <w:hideMark/>
          </w:tcPr>
          <w:p w14:paraId="30F8A8CB" w14:textId="1EC17E0A"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154.7</w:t>
            </w:r>
          </w:p>
        </w:tc>
        <w:tc>
          <w:tcPr>
            <w:tcW w:w="903" w:type="dxa"/>
            <w:tcBorders>
              <w:top w:val="nil"/>
              <w:left w:val="nil"/>
              <w:bottom w:val="nil"/>
              <w:right w:val="nil"/>
            </w:tcBorders>
            <w:shd w:val="clear" w:color="auto" w:fill="auto"/>
            <w:noWrap/>
            <w:vAlign w:val="bottom"/>
            <w:hideMark/>
          </w:tcPr>
          <w:p w14:paraId="4E704544" w14:textId="000CF524"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155.5</w:t>
            </w:r>
          </w:p>
        </w:tc>
        <w:tc>
          <w:tcPr>
            <w:tcW w:w="902" w:type="dxa"/>
            <w:tcBorders>
              <w:top w:val="nil"/>
              <w:left w:val="nil"/>
              <w:bottom w:val="nil"/>
              <w:right w:val="nil"/>
            </w:tcBorders>
            <w:shd w:val="clear" w:color="auto" w:fill="auto"/>
            <w:noWrap/>
            <w:vAlign w:val="bottom"/>
            <w:hideMark/>
          </w:tcPr>
          <w:p w14:paraId="441E3385"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107.0</w:t>
            </w:r>
          </w:p>
        </w:tc>
        <w:tc>
          <w:tcPr>
            <w:tcW w:w="903" w:type="dxa"/>
            <w:tcBorders>
              <w:top w:val="nil"/>
              <w:left w:val="nil"/>
              <w:bottom w:val="nil"/>
              <w:right w:val="single" w:sz="4" w:space="0" w:color="auto"/>
            </w:tcBorders>
            <w:shd w:val="clear" w:color="auto" w:fill="auto"/>
            <w:noWrap/>
            <w:vAlign w:val="bottom"/>
            <w:hideMark/>
          </w:tcPr>
          <w:p w14:paraId="55AB4BC8" w14:textId="0C251FB4"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139.5</w:t>
            </w:r>
          </w:p>
        </w:tc>
        <w:tc>
          <w:tcPr>
            <w:tcW w:w="903" w:type="dxa"/>
            <w:tcBorders>
              <w:top w:val="nil"/>
              <w:left w:val="nil"/>
              <w:bottom w:val="nil"/>
              <w:right w:val="single" w:sz="4" w:space="0" w:color="auto"/>
            </w:tcBorders>
            <w:shd w:val="clear" w:color="auto" w:fill="auto"/>
            <w:noWrap/>
            <w:vAlign w:val="bottom"/>
            <w:hideMark/>
          </w:tcPr>
          <w:p w14:paraId="27872906" w14:textId="073DE3A9"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182.9</w:t>
            </w:r>
          </w:p>
        </w:tc>
      </w:tr>
      <w:tr w:rsidR="005E3577" w:rsidRPr="005E3577" w14:paraId="4FC3150A"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61EAEE41" w14:textId="6C536C0E" w:rsidR="005E3577" w:rsidRPr="005E3577" w:rsidRDefault="005E3577" w:rsidP="005E3577">
            <w:pPr>
              <w:keepNext/>
              <w:spacing w:after="0" w:line="240" w:lineRule="auto"/>
              <w:ind w:firstLineChars="200" w:firstLine="400"/>
              <w:rPr>
                <w:rFonts w:ascii="Calibri" w:eastAsia="Times New Roman" w:hAnsi="Calibri" w:cs="Calibri"/>
                <w:color w:val="000000"/>
                <w:sz w:val="20"/>
                <w:szCs w:val="20"/>
              </w:rPr>
            </w:pPr>
            <w:r w:rsidRPr="005E3577">
              <w:rPr>
                <w:rFonts w:ascii="Calibri" w:eastAsia="Times New Roman" w:hAnsi="Calibri" w:cs="Calibri"/>
                <w:color w:val="000000"/>
                <w:sz w:val="20"/>
                <w:szCs w:val="20"/>
              </w:rPr>
              <w:t>Taxes on income, profits, property</w:t>
            </w:r>
          </w:p>
        </w:tc>
        <w:tc>
          <w:tcPr>
            <w:tcW w:w="902" w:type="dxa"/>
            <w:tcBorders>
              <w:top w:val="nil"/>
              <w:left w:val="nil"/>
              <w:bottom w:val="nil"/>
              <w:right w:val="single" w:sz="4" w:space="0" w:color="auto"/>
            </w:tcBorders>
            <w:shd w:val="clear" w:color="auto" w:fill="auto"/>
            <w:noWrap/>
            <w:vAlign w:val="bottom"/>
            <w:hideMark/>
          </w:tcPr>
          <w:p w14:paraId="0CC32AC1" w14:textId="57653C6E"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8.6</w:t>
            </w:r>
          </w:p>
        </w:tc>
        <w:tc>
          <w:tcPr>
            <w:tcW w:w="903" w:type="dxa"/>
            <w:tcBorders>
              <w:top w:val="nil"/>
              <w:left w:val="nil"/>
              <w:bottom w:val="nil"/>
              <w:right w:val="single" w:sz="4" w:space="0" w:color="auto"/>
            </w:tcBorders>
            <w:shd w:val="clear" w:color="auto" w:fill="auto"/>
            <w:noWrap/>
            <w:vAlign w:val="bottom"/>
            <w:hideMark/>
          </w:tcPr>
          <w:p w14:paraId="364BDA3F" w14:textId="61CC2C9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11.7</w:t>
            </w:r>
          </w:p>
        </w:tc>
        <w:tc>
          <w:tcPr>
            <w:tcW w:w="903" w:type="dxa"/>
            <w:tcBorders>
              <w:top w:val="nil"/>
              <w:left w:val="nil"/>
              <w:bottom w:val="nil"/>
              <w:right w:val="nil"/>
            </w:tcBorders>
            <w:shd w:val="clear" w:color="auto" w:fill="auto"/>
            <w:noWrap/>
            <w:vAlign w:val="bottom"/>
            <w:hideMark/>
          </w:tcPr>
          <w:p w14:paraId="17007C34" w14:textId="70D7748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11.3</w:t>
            </w:r>
          </w:p>
        </w:tc>
        <w:tc>
          <w:tcPr>
            <w:tcW w:w="902" w:type="dxa"/>
            <w:tcBorders>
              <w:top w:val="nil"/>
              <w:left w:val="nil"/>
              <w:bottom w:val="nil"/>
              <w:right w:val="nil"/>
            </w:tcBorders>
            <w:shd w:val="clear" w:color="auto" w:fill="auto"/>
            <w:noWrap/>
            <w:vAlign w:val="bottom"/>
            <w:hideMark/>
          </w:tcPr>
          <w:p w14:paraId="08A99E27" w14:textId="149E001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8.7</w:t>
            </w:r>
          </w:p>
        </w:tc>
        <w:tc>
          <w:tcPr>
            <w:tcW w:w="903" w:type="dxa"/>
            <w:tcBorders>
              <w:top w:val="nil"/>
              <w:left w:val="nil"/>
              <w:bottom w:val="nil"/>
              <w:right w:val="single" w:sz="4" w:space="0" w:color="auto"/>
            </w:tcBorders>
            <w:shd w:val="clear" w:color="auto" w:fill="auto"/>
            <w:noWrap/>
            <w:vAlign w:val="bottom"/>
            <w:hideMark/>
          </w:tcPr>
          <w:p w14:paraId="6E24E7AD" w14:textId="0C7629E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16.2</w:t>
            </w:r>
          </w:p>
        </w:tc>
        <w:tc>
          <w:tcPr>
            <w:tcW w:w="903" w:type="dxa"/>
            <w:tcBorders>
              <w:top w:val="nil"/>
              <w:left w:val="nil"/>
              <w:bottom w:val="nil"/>
              <w:right w:val="single" w:sz="4" w:space="0" w:color="auto"/>
            </w:tcBorders>
            <w:shd w:val="clear" w:color="auto" w:fill="auto"/>
            <w:noWrap/>
            <w:vAlign w:val="bottom"/>
            <w:hideMark/>
          </w:tcPr>
          <w:p w14:paraId="18D8C9D1" w14:textId="2C316712"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13.8</w:t>
            </w:r>
          </w:p>
        </w:tc>
      </w:tr>
      <w:tr w:rsidR="005E3577" w:rsidRPr="005E3577" w14:paraId="69D73850"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0A0B10BB" w14:textId="2119383F" w:rsidR="005E3577" w:rsidRPr="005E3577" w:rsidRDefault="005E3577" w:rsidP="005E3577">
            <w:pPr>
              <w:keepNext/>
              <w:spacing w:after="0" w:line="240" w:lineRule="auto"/>
              <w:ind w:firstLineChars="200" w:firstLine="400"/>
              <w:rPr>
                <w:rFonts w:ascii="Calibri" w:eastAsia="Times New Roman" w:hAnsi="Calibri" w:cs="Calibri"/>
                <w:color w:val="000000"/>
                <w:sz w:val="20"/>
                <w:szCs w:val="20"/>
              </w:rPr>
            </w:pPr>
            <w:r w:rsidRPr="005E3577">
              <w:rPr>
                <w:rFonts w:ascii="Calibri" w:eastAsia="Times New Roman" w:hAnsi="Calibri" w:cs="Calibri"/>
                <w:color w:val="000000"/>
                <w:sz w:val="20"/>
                <w:szCs w:val="20"/>
              </w:rPr>
              <w:t>Taxes on goods and services</w:t>
            </w:r>
          </w:p>
        </w:tc>
        <w:tc>
          <w:tcPr>
            <w:tcW w:w="902" w:type="dxa"/>
            <w:tcBorders>
              <w:top w:val="nil"/>
              <w:left w:val="nil"/>
              <w:bottom w:val="nil"/>
              <w:right w:val="single" w:sz="4" w:space="0" w:color="auto"/>
            </w:tcBorders>
            <w:shd w:val="clear" w:color="auto" w:fill="auto"/>
            <w:noWrap/>
            <w:vAlign w:val="bottom"/>
            <w:hideMark/>
          </w:tcPr>
          <w:p w14:paraId="658D7F38" w14:textId="5F8F8A73"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22.1</w:t>
            </w:r>
          </w:p>
        </w:tc>
        <w:tc>
          <w:tcPr>
            <w:tcW w:w="903" w:type="dxa"/>
            <w:tcBorders>
              <w:top w:val="nil"/>
              <w:left w:val="nil"/>
              <w:bottom w:val="nil"/>
              <w:right w:val="single" w:sz="4" w:space="0" w:color="auto"/>
            </w:tcBorders>
            <w:shd w:val="clear" w:color="auto" w:fill="auto"/>
            <w:noWrap/>
            <w:vAlign w:val="bottom"/>
            <w:hideMark/>
          </w:tcPr>
          <w:p w14:paraId="00566469" w14:textId="20BF352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25.0</w:t>
            </w:r>
          </w:p>
        </w:tc>
        <w:tc>
          <w:tcPr>
            <w:tcW w:w="903" w:type="dxa"/>
            <w:tcBorders>
              <w:top w:val="nil"/>
              <w:left w:val="nil"/>
              <w:bottom w:val="nil"/>
              <w:right w:val="nil"/>
            </w:tcBorders>
            <w:shd w:val="clear" w:color="auto" w:fill="auto"/>
            <w:noWrap/>
            <w:vAlign w:val="bottom"/>
            <w:hideMark/>
          </w:tcPr>
          <w:p w14:paraId="0D56B430" w14:textId="62669E56"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27.1</w:t>
            </w:r>
          </w:p>
        </w:tc>
        <w:tc>
          <w:tcPr>
            <w:tcW w:w="902" w:type="dxa"/>
            <w:tcBorders>
              <w:top w:val="nil"/>
              <w:left w:val="nil"/>
              <w:bottom w:val="nil"/>
              <w:right w:val="nil"/>
            </w:tcBorders>
            <w:shd w:val="clear" w:color="auto" w:fill="auto"/>
            <w:noWrap/>
            <w:vAlign w:val="bottom"/>
            <w:hideMark/>
          </w:tcPr>
          <w:p w14:paraId="524B5713" w14:textId="15D5378A"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17.8</w:t>
            </w:r>
          </w:p>
        </w:tc>
        <w:tc>
          <w:tcPr>
            <w:tcW w:w="903" w:type="dxa"/>
            <w:tcBorders>
              <w:top w:val="nil"/>
              <w:left w:val="nil"/>
              <w:bottom w:val="nil"/>
              <w:right w:val="single" w:sz="4" w:space="0" w:color="auto"/>
            </w:tcBorders>
            <w:shd w:val="clear" w:color="auto" w:fill="auto"/>
            <w:noWrap/>
            <w:vAlign w:val="bottom"/>
            <w:hideMark/>
          </w:tcPr>
          <w:p w14:paraId="2F58609E" w14:textId="2FC06AF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21.3</w:t>
            </w:r>
          </w:p>
        </w:tc>
        <w:tc>
          <w:tcPr>
            <w:tcW w:w="903" w:type="dxa"/>
            <w:tcBorders>
              <w:top w:val="nil"/>
              <w:left w:val="nil"/>
              <w:bottom w:val="nil"/>
              <w:right w:val="single" w:sz="4" w:space="0" w:color="auto"/>
            </w:tcBorders>
            <w:shd w:val="clear" w:color="auto" w:fill="auto"/>
            <w:noWrap/>
            <w:vAlign w:val="bottom"/>
            <w:hideMark/>
          </w:tcPr>
          <w:p w14:paraId="6C7F4717" w14:textId="03D58584"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30.0</w:t>
            </w:r>
          </w:p>
        </w:tc>
      </w:tr>
      <w:tr w:rsidR="005E3577" w:rsidRPr="005E3577" w14:paraId="69D9B1E3"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009831C1" w14:textId="312E6F77" w:rsidR="005E3577" w:rsidRPr="005E3577" w:rsidRDefault="005E3577" w:rsidP="005E3577">
            <w:pPr>
              <w:keepNext/>
              <w:spacing w:after="0" w:line="240" w:lineRule="auto"/>
              <w:ind w:firstLineChars="200" w:firstLine="400"/>
              <w:rPr>
                <w:rFonts w:ascii="Calibri" w:eastAsia="Times New Roman" w:hAnsi="Calibri" w:cs="Calibri"/>
                <w:color w:val="000000"/>
                <w:sz w:val="20"/>
                <w:szCs w:val="20"/>
              </w:rPr>
            </w:pPr>
            <w:r w:rsidRPr="005E3577">
              <w:rPr>
                <w:rFonts w:ascii="Calibri" w:eastAsia="Times New Roman" w:hAnsi="Calibri" w:cs="Calibri"/>
                <w:color w:val="000000"/>
                <w:sz w:val="20"/>
                <w:szCs w:val="20"/>
              </w:rPr>
              <w:t>Taxes on international trade</w:t>
            </w:r>
          </w:p>
        </w:tc>
        <w:tc>
          <w:tcPr>
            <w:tcW w:w="902" w:type="dxa"/>
            <w:tcBorders>
              <w:top w:val="nil"/>
              <w:left w:val="nil"/>
              <w:bottom w:val="nil"/>
              <w:right w:val="single" w:sz="4" w:space="0" w:color="auto"/>
            </w:tcBorders>
            <w:shd w:val="clear" w:color="auto" w:fill="auto"/>
            <w:noWrap/>
            <w:vAlign w:val="bottom"/>
            <w:hideMark/>
          </w:tcPr>
          <w:p w14:paraId="69B960AC" w14:textId="5D76F149"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100.3</w:t>
            </w:r>
          </w:p>
        </w:tc>
        <w:tc>
          <w:tcPr>
            <w:tcW w:w="903" w:type="dxa"/>
            <w:tcBorders>
              <w:top w:val="nil"/>
              <w:left w:val="nil"/>
              <w:bottom w:val="nil"/>
              <w:right w:val="single" w:sz="4" w:space="0" w:color="auto"/>
            </w:tcBorders>
            <w:shd w:val="clear" w:color="auto" w:fill="auto"/>
            <w:noWrap/>
            <w:vAlign w:val="bottom"/>
            <w:hideMark/>
          </w:tcPr>
          <w:p w14:paraId="07BEA318" w14:textId="37135B2E"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107.0</w:t>
            </w:r>
          </w:p>
        </w:tc>
        <w:tc>
          <w:tcPr>
            <w:tcW w:w="903" w:type="dxa"/>
            <w:tcBorders>
              <w:top w:val="nil"/>
              <w:left w:val="nil"/>
              <w:bottom w:val="nil"/>
              <w:right w:val="nil"/>
            </w:tcBorders>
            <w:shd w:val="clear" w:color="auto" w:fill="auto"/>
            <w:noWrap/>
            <w:vAlign w:val="bottom"/>
            <w:hideMark/>
          </w:tcPr>
          <w:p w14:paraId="37839148" w14:textId="7C9DCF7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106.0</w:t>
            </w:r>
          </w:p>
        </w:tc>
        <w:tc>
          <w:tcPr>
            <w:tcW w:w="902" w:type="dxa"/>
            <w:tcBorders>
              <w:top w:val="nil"/>
              <w:left w:val="nil"/>
              <w:bottom w:val="nil"/>
              <w:right w:val="nil"/>
            </w:tcBorders>
            <w:shd w:val="clear" w:color="auto" w:fill="auto"/>
            <w:noWrap/>
            <w:vAlign w:val="bottom"/>
            <w:hideMark/>
          </w:tcPr>
          <w:p w14:paraId="4D694E86" w14:textId="4D2E2888"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74.8</w:t>
            </w:r>
          </w:p>
        </w:tc>
        <w:tc>
          <w:tcPr>
            <w:tcW w:w="903" w:type="dxa"/>
            <w:tcBorders>
              <w:top w:val="nil"/>
              <w:left w:val="nil"/>
              <w:bottom w:val="nil"/>
              <w:right w:val="single" w:sz="4" w:space="0" w:color="auto"/>
            </w:tcBorders>
            <w:shd w:val="clear" w:color="auto" w:fill="auto"/>
            <w:noWrap/>
            <w:vAlign w:val="bottom"/>
            <w:hideMark/>
          </w:tcPr>
          <w:p w14:paraId="5BF63C93" w14:textId="7ED5CAB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91.1</w:t>
            </w:r>
          </w:p>
        </w:tc>
        <w:tc>
          <w:tcPr>
            <w:tcW w:w="903" w:type="dxa"/>
            <w:tcBorders>
              <w:top w:val="nil"/>
              <w:left w:val="nil"/>
              <w:bottom w:val="nil"/>
              <w:right w:val="single" w:sz="4" w:space="0" w:color="auto"/>
            </w:tcBorders>
            <w:shd w:val="clear" w:color="auto" w:fill="auto"/>
            <w:noWrap/>
            <w:vAlign w:val="bottom"/>
            <w:hideMark/>
          </w:tcPr>
          <w:p w14:paraId="107EC1B3" w14:textId="6ACF8CA0"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128.0</w:t>
            </w:r>
          </w:p>
        </w:tc>
      </w:tr>
      <w:tr w:rsidR="002C32BB" w:rsidRPr="005E3577" w14:paraId="273C237B"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tcPr>
          <w:p w14:paraId="28D90FBB" w14:textId="3752B98E" w:rsidR="002C32BB" w:rsidRPr="005E3577" w:rsidRDefault="002C32BB" w:rsidP="002C32BB">
            <w:pPr>
              <w:keepNext/>
              <w:spacing w:after="0" w:line="240" w:lineRule="auto"/>
              <w:ind w:firstLineChars="302" w:firstLine="604"/>
              <w:rPr>
                <w:rFonts w:ascii="Calibri" w:eastAsia="Times New Roman" w:hAnsi="Calibri" w:cs="Calibri"/>
                <w:color w:val="000000"/>
                <w:sz w:val="20"/>
                <w:szCs w:val="20"/>
              </w:rPr>
            </w:pPr>
            <w:r>
              <w:rPr>
                <w:rFonts w:ascii="Calibri" w:eastAsia="Times New Roman" w:hAnsi="Calibri" w:cs="Calibri"/>
                <w:color w:val="000000"/>
                <w:sz w:val="20"/>
                <w:szCs w:val="20"/>
              </w:rPr>
              <w:t>o/w import tax on khat</w:t>
            </w:r>
          </w:p>
        </w:tc>
        <w:tc>
          <w:tcPr>
            <w:tcW w:w="902" w:type="dxa"/>
            <w:tcBorders>
              <w:top w:val="nil"/>
              <w:left w:val="nil"/>
              <w:bottom w:val="nil"/>
              <w:right w:val="single" w:sz="4" w:space="0" w:color="auto"/>
            </w:tcBorders>
            <w:shd w:val="clear" w:color="auto" w:fill="auto"/>
            <w:noWrap/>
            <w:vAlign w:val="bottom"/>
          </w:tcPr>
          <w:p w14:paraId="2A3D461D" w14:textId="7BA557EC"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13.4</w:t>
            </w:r>
          </w:p>
        </w:tc>
        <w:tc>
          <w:tcPr>
            <w:tcW w:w="903" w:type="dxa"/>
            <w:tcBorders>
              <w:top w:val="nil"/>
              <w:left w:val="nil"/>
              <w:bottom w:val="nil"/>
              <w:right w:val="single" w:sz="4" w:space="0" w:color="auto"/>
            </w:tcBorders>
            <w:shd w:val="clear" w:color="auto" w:fill="auto"/>
            <w:noWrap/>
            <w:vAlign w:val="bottom"/>
          </w:tcPr>
          <w:p w14:paraId="0BB77D76" w14:textId="112AE2B0"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16.6</w:t>
            </w:r>
          </w:p>
        </w:tc>
        <w:tc>
          <w:tcPr>
            <w:tcW w:w="903" w:type="dxa"/>
            <w:tcBorders>
              <w:top w:val="nil"/>
              <w:left w:val="nil"/>
              <w:bottom w:val="nil"/>
              <w:right w:val="nil"/>
            </w:tcBorders>
            <w:shd w:val="clear" w:color="auto" w:fill="auto"/>
            <w:noWrap/>
            <w:vAlign w:val="bottom"/>
          </w:tcPr>
          <w:p w14:paraId="1954D0D1" w14:textId="3547276C"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14.0</w:t>
            </w:r>
          </w:p>
        </w:tc>
        <w:tc>
          <w:tcPr>
            <w:tcW w:w="902" w:type="dxa"/>
            <w:tcBorders>
              <w:top w:val="nil"/>
              <w:left w:val="nil"/>
              <w:bottom w:val="nil"/>
              <w:right w:val="nil"/>
            </w:tcBorders>
            <w:shd w:val="clear" w:color="auto" w:fill="auto"/>
            <w:noWrap/>
            <w:vAlign w:val="bottom"/>
          </w:tcPr>
          <w:p w14:paraId="65DB9733" w14:textId="05C01788"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5.0</w:t>
            </w:r>
          </w:p>
        </w:tc>
        <w:tc>
          <w:tcPr>
            <w:tcW w:w="903" w:type="dxa"/>
            <w:tcBorders>
              <w:top w:val="nil"/>
              <w:left w:val="nil"/>
              <w:bottom w:val="nil"/>
              <w:right w:val="single" w:sz="4" w:space="0" w:color="auto"/>
            </w:tcBorders>
            <w:shd w:val="clear" w:color="auto" w:fill="auto"/>
            <w:noWrap/>
            <w:vAlign w:val="bottom"/>
          </w:tcPr>
          <w:p w14:paraId="34445EFD" w14:textId="35535FD9"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5.5</w:t>
            </w:r>
          </w:p>
        </w:tc>
        <w:tc>
          <w:tcPr>
            <w:tcW w:w="903" w:type="dxa"/>
            <w:tcBorders>
              <w:top w:val="nil"/>
              <w:left w:val="nil"/>
              <w:bottom w:val="nil"/>
              <w:right w:val="single" w:sz="4" w:space="0" w:color="auto"/>
            </w:tcBorders>
            <w:shd w:val="clear" w:color="auto" w:fill="auto"/>
            <w:noWrap/>
            <w:vAlign w:val="bottom"/>
          </w:tcPr>
          <w:p w14:paraId="3DFCD31F" w14:textId="5A90DE73" w:rsidR="002C32BB" w:rsidRPr="005E3577" w:rsidRDefault="002C32BB" w:rsidP="002C32BB">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37.0</w:t>
            </w:r>
          </w:p>
        </w:tc>
      </w:tr>
      <w:tr w:rsidR="005E3577" w:rsidRPr="005E3577" w14:paraId="5E64C9BC"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5F8A44B4" w14:textId="679DE7BD" w:rsidR="005E3577" w:rsidRPr="005E3577" w:rsidRDefault="005E3577" w:rsidP="005E3577">
            <w:pPr>
              <w:keepNext/>
              <w:spacing w:after="0" w:line="240" w:lineRule="auto"/>
              <w:ind w:firstLineChars="200" w:firstLine="400"/>
              <w:rPr>
                <w:rFonts w:ascii="Calibri" w:eastAsia="Times New Roman" w:hAnsi="Calibri" w:cs="Calibri"/>
                <w:color w:val="000000"/>
                <w:sz w:val="20"/>
                <w:szCs w:val="20"/>
              </w:rPr>
            </w:pPr>
            <w:r w:rsidRPr="005E3577">
              <w:rPr>
                <w:rFonts w:ascii="Calibri" w:eastAsia="Times New Roman" w:hAnsi="Calibri" w:cs="Calibri"/>
                <w:color w:val="000000"/>
                <w:sz w:val="20"/>
                <w:szCs w:val="20"/>
              </w:rPr>
              <w:t>Other taxes</w:t>
            </w:r>
          </w:p>
        </w:tc>
        <w:tc>
          <w:tcPr>
            <w:tcW w:w="902" w:type="dxa"/>
            <w:tcBorders>
              <w:top w:val="nil"/>
              <w:left w:val="nil"/>
              <w:bottom w:val="nil"/>
              <w:right w:val="single" w:sz="4" w:space="0" w:color="auto"/>
            </w:tcBorders>
            <w:shd w:val="clear" w:color="auto" w:fill="auto"/>
            <w:noWrap/>
            <w:vAlign w:val="bottom"/>
            <w:hideMark/>
          </w:tcPr>
          <w:p w14:paraId="567A952A" w14:textId="5EC0488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7.9</w:t>
            </w:r>
          </w:p>
        </w:tc>
        <w:tc>
          <w:tcPr>
            <w:tcW w:w="903" w:type="dxa"/>
            <w:tcBorders>
              <w:top w:val="nil"/>
              <w:left w:val="nil"/>
              <w:bottom w:val="nil"/>
              <w:right w:val="single" w:sz="4" w:space="0" w:color="auto"/>
            </w:tcBorders>
            <w:shd w:val="clear" w:color="auto" w:fill="auto"/>
            <w:noWrap/>
            <w:vAlign w:val="bottom"/>
            <w:hideMark/>
          </w:tcPr>
          <w:p w14:paraId="37B95C0D" w14:textId="11AC10A2"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11.1</w:t>
            </w:r>
          </w:p>
        </w:tc>
        <w:tc>
          <w:tcPr>
            <w:tcW w:w="903" w:type="dxa"/>
            <w:tcBorders>
              <w:top w:val="nil"/>
              <w:left w:val="nil"/>
              <w:bottom w:val="nil"/>
              <w:right w:val="nil"/>
            </w:tcBorders>
            <w:shd w:val="clear" w:color="auto" w:fill="auto"/>
            <w:noWrap/>
            <w:vAlign w:val="bottom"/>
            <w:hideMark/>
          </w:tcPr>
          <w:p w14:paraId="5D0D38DC" w14:textId="1106CE4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11.1</w:t>
            </w:r>
          </w:p>
        </w:tc>
        <w:tc>
          <w:tcPr>
            <w:tcW w:w="902" w:type="dxa"/>
            <w:tcBorders>
              <w:top w:val="nil"/>
              <w:left w:val="nil"/>
              <w:bottom w:val="nil"/>
              <w:right w:val="nil"/>
            </w:tcBorders>
            <w:shd w:val="clear" w:color="auto" w:fill="auto"/>
            <w:noWrap/>
            <w:vAlign w:val="bottom"/>
            <w:hideMark/>
          </w:tcPr>
          <w:p w14:paraId="5F4B3D77" w14:textId="4D25235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5.7</w:t>
            </w:r>
          </w:p>
        </w:tc>
        <w:tc>
          <w:tcPr>
            <w:tcW w:w="903" w:type="dxa"/>
            <w:tcBorders>
              <w:top w:val="nil"/>
              <w:left w:val="nil"/>
              <w:bottom w:val="nil"/>
              <w:right w:val="single" w:sz="4" w:space="0" w:color="auto"/>
            </w:tcBorders>
            <w:shd w:val="clear" w:color="auto" w:fill="auto"/>
            <w:noWrap/>
            <w:vAlign w:val="bottom"/>
            <w:hideMark/>
          </w:tcPr>
          <w:p w14:paraId="6481ED7F" w14:textId="5B6969F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11.0</w:t>
            </w:r>
          </w:p>
        </w:tc>
        <w:tc>
          <w:tcPr>
            <w:tcW w:w="903" w:type="dxa"/>
            <w:tcBorders>
              <w:top w:val="nil"/>
              <w:left w:val="nil"/>
              <w:bottom w:val="nil"/>
              <w:right w:val="single" w:sz="4" w:space="0" w:color="auto"/>
            </w:tcBorders>
            <w:shd w:val="clear" w:color="auto" w:fill="auto"/>
            <w:noWrap/>
            <w:vAlign w:val="bottom"/>
            <w:hideMark/>
          </w:tcPr>
          <w:p w14:paraId="67811739" w14:textId="737ECEC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11.0</w:t>
            </w:r>
          </w:p>
        </w:tc>
      </w:tr>
      <w:tr w:rsidR="005E3577" w:rsidRPr="005E3577" w14:paraId="4A0E4FD9"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5B9C1DF1" w14:textId="62D0D2B5"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Non-tax revenue</w:t>
            </w:r>
          </w:p>
        </w:tc>
        <w:tc>
          <w:tcPr>
            <w:tcW w:w="902" w:type="dxa"/>
            <w:tcBorders>
              <w:top w:val="nil"/>
              <w:left w:val="nil"/>
              <w:bottom w:val="nil"/>
              <w:right w:val="single" w:sz="4" w:space="0" w:color="auto"/>
            </w:tcBorders>
            <w:shd w:val="clear" w:color="auto" w:fill="auto"/>
            <w:noWrap/>
            <w:vAlign w:val="bottom"/>
            <w:hideMark/>
          </w:tcPr>
          <w:p w14:paraId="0F358EEE" w14:textId="00305F2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44.5</w:t>
            </w:r>
          </w:p>
        </w:tc>
        <w:tc>
          <w:tcPr>
            <w:tcW w:w="903" w:type="dxa"/>
            <w:tcBorders>
              <w:top w:val="nil"/>
              <w:left w:val="nil"/>
              <w:bottom w:val="nil"/>
              <w:right w:val="single" w:sz="4" w:space="0" w:color="auto"/>
            </w:tcBorders>
            <w:shd w:val="clear" w:color="auto" w:fill="auto"/>
            <w:noWrap/>
            <w:vAlign w:val="bottom"/>
            <w:hideMark/>
          </w:tcPr>
          <w:p w14:paraId="14B8F4EA" w14:textId="5ABFC04C"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74.9</w:t>
            </w:r>
          </w:p>
        </w:tc>
        <w:tc>
          <w:tcPr>
            <w:tcW w:w="903" w:type="dxa"/>
            <w:tcBorders>
              <w:top w:val="nil"/>
              <w:left w:val="nil"/>
              <w:bottom w:val="nil"/>
              <w:right w:val="nil"/>
            </w:tcBorders>
            <w:shd w:val="clear" w:color="auto" w:fill="auto"/>
            <w:noWrap/>
            <w:vAlign w:val="bottom"/>
            <w:hideMark/>
          </w:tcPr>
          <w:p w14:paraId="16986E2E" w14:textId="09410EF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78.9</w:t>
            </w:r>
          </w:p>
        </w:tc>
        <w:tc>
          <w:tcPr>
            <w:tcW w:w="902" w:type="dxa"/>
            <w:tcBorders>
              <w:top w:val="nil"/>
              <w:left w:val="nil"/>
              <w:bottom w:val="nil"/>
              <w:right w:val="nil"/>
            </w:tcBorders>
            <w:shd w:val="clear" w:color="auto" w:fill="auto"/>
            <w:noWrap/>
            <w:vAlign w:val="bottom"/>
            <w:hideMark/>
          </w:tcPr>
          <w:p w14:paraId="70C7A4E3" w14:textId="1FE8A693"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60.5</w:t>
            </w:r>
          </w:p>
        </w:tc>
        <w:tc>
          <w:tcPr>
            <w:tcW w:w="903" w:type="dxa"/>
            <w:tcBorders>
              <w:top w:val="nil"/>
              <w:left w:val="nil"/>
              <w:bottom w:val="nil"/>
              <w:right w:val="single" w:sz="4" w:space="0" w:color="auto"/>
            </w:tcBorders>
            <w:shd w:val="clear" w:color="auto" w:fill="auto"/>
            <w:noWrap/>
            <w:vAlign w:val="bottom"/>
            <w:hideMark/>
          </w:tcPr>
          <w:p w14:paraId="360D91ED" w14:textId="3B4B24C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71.7</w:t>
            </w:r>
          </w:p>
        </w:tc>
        <w:tc>
          <w:tcPr>
            <w:tcW w:w="903" w:type="dxa"/>
            <w:tcBorders>
              <w:top w:val="nil"/>
              <w:left w:val="nil"/>
              <w:bottom w:val="nil"/>
              <w:right w:val="single" w:sz="4" w:space="0" w:color="auto"/>
            </w:tcBorders>
            <w:shd w:val="clear" w:color="auto" w:fill="auto"/>
            <w:noWrap/>
            <w:vAlign w:val="bottom"/>
            <w:hideMark/>
          </w:tcPr>
          <w:p w14:paraId="41A3F582" w14:textId="4CCDC14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86.8</w:t>
            </w:r>
          </w:p>
        </w:tc>
      </w:tr>
      <w:tr w:rsidR="005A3647" w:rsidRPr="005E3577" w14:paraId="779793B4"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tcPr>
          <w:p w14:paraId="77D1B58C" w14:textId="0C7D81DD" w:rsidR="005A3647" w:rsidRPr="005E3577" w:rsidRDefault="005A3647" w:rsidP="005A3647">
            <w:pPr>
              <w:keepNext/>
              <w:spacing w:after="0" w:line="240" w:lineRule="auto"/>
              <w:ind w:firstLineChars="200" w:firstLine="400"/>
              <w:rPr>
                <w:rFonts w:ascii="Calibri" w:eastAsia="Times New Roman" w:hAnsi="Calibri" w:cs="Calibri"/>
                <w:color w:val="000000"/>
                <w:sz w:val="20"/>
                <w:szCs w:val="20"/>
              </w:rPr>
            </w:pPr>
            <w:r>
              <w:rPr>
                <w:rFonts w:ascii="Calibri" w:eastAsia="Times New Roman" w:hAnsi="Calibri" w:cs="Calibri"/>
                <w:color w:val="000000"/>
                <w:sz w:val="20"/>
                <w:szCs w:val="20"/>
              </w:rPr>
              <w:t>o/w telecoms spectrum fees</w:t>
            </w:r>
          </w:p>
        </w:tc>
        <w:tc>
          <w:tcPr>
            <w:tcW w:w="902" w:type="dxa"/>
            <w:tcBorders>
              <w:top w:val="nil"/>
              <w:left w:val="nil"/>
              <w:bottom w:val="nil"/>
              <w:right w:val="single" w:sz="4" w:space="0" w:color="auto"/>
            </w:tcBorders>
            <w:shd w:val="clear" w:color="auto" w:fill="auto"/>
            <w:noWrap/>
            <w:vAlign w:val="bottom"/>
          </w:tcPr>
          <w:p w14:paraId="432EA38F" w14:textId="45EBBB6C"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w:t>
            </w:r>
          </w:p>
        </w:tc>
        <w:tc>
          <w:tcPr>
            <w:tcW w:w="903" w:type="dxa"/>
            <w:tcBorders>
              <w:top w:val="nil"/>
              <w:left w:val="nil"/>
              <w:bottom w:val="nil"/>
              <w:right w:val="single" w:sz="4" w:space="0" w:color="auto"/>
            </w:tcBorders>
            <w:shd w:val="clear" w:color="auto" w:fill="auto"/>
            <w:noWrap/>
            <w:vAlign w:val="bottom"/>
          </w:tcPr>
          <w:p w14:paraId="6F458DC5" w14:textId="7F820AA7"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8.7</w:t>
            </w:r>
          </w:p>
        </w:tc>
        <w:tc>
          <w:tcPr>
            <w:tcW w:w="903" w:type="dxa"/>
            <w:tcBorders>
              <w:top w:val="nil"/>
              <w:left w:val="nil"/>
              <w:bottom w:val="nil"/>
              <w:right w:val="nil"/>
            </w:tcBorders>
            <w:shd w:val="clear" w:color="auto" w:fill="auto"/>
            <w:noWrap/>
            <w:vAlign w:val="bottom"/>
          </w:tcPr>
          <w:p w14:paraId="5A5CC330" w14:textId="3ADFA281"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12.6</w:t>
            </w:r>
          </w:p>
        </w:tc>
        <w:tc>
          <w:tcPr>
            <w:tcW w:w="902" w:type="dxa"/>
            <w:tcBorders>
              <w:top w:val="nil"/>
              <w:left w:val="nil"/>
              <w:bottom w:val="nil"/>
              <w:right w:val="nil"/>
            </w:tcBorders>
            <w:shd w:val="clear" w:color="auto" w:fill="auto"/>
            <w:noWrap/>
            <w:vAlign w:val="bottom"/>
          </w:tcPr>
          <w:p w14:paraId="33B8F5C2" w14:textId="3069EFD4"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12.6</w:t>
            </w:r>
          </w:p>
        </w:tc>
        <w:tc>
          <w:tcPr>
            <w:tcW w:w="903" w:type="dxa"/>
            <w:tcBorders>
              <w:top w:val="nil"/>
              <w:left w:val="nil"/>
              <w:bottom w:val="nil"/>
              <w:right w:val="single" w:sz="4" w:space="0" w:color="auto"/>
            </w:tcBorders>
            <w:shd w:val="clear" w:color="auto" w:fill="auto"/>
            <w:noWrap/>
            <w:vAlign w:val="bottom"/>
          </w:tcPr>
          <w:p w14:paraId="59B8EDD7" w14:textId="6B225DFF"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1.7</w:t>
            </w:r>
          </w:p>
        </w:tc>
        <w:tc>
          <w:tcPr>
            <w:tcW w:w="903" w:type="dxa"/>
            <w:tcBorders>
              <w:top w:val="nil"/>
              <w:left w:val="nil"/>
              <w:bottom w:val="nil"/>
              <w:right w:val="single" w:sz="4" w:space="0" w:color="auto"/>
            </w:tcBorders>
            <w:shd w:val="clear" w:color="auto" w:fill="auto"/>
            <w:noWrap/>
            <w:vAlign w:val="bottom"/>
          </w:tcPr>
          <w:p w14:paraId="26892D32" w14:textId="207CF281" w:rsidR="005A3647" w:rsidRPr="005E3577" w:rsidRDefault="005A3647" w:rsidP="005A3647">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12.6</w:t>
            </w:r>
          </w:p>
        </w:tc>
      </w:tr>
      <w:tr w:rsidR="00701852" w:rsidRPr="005E3577" w14:paraId="2E77BBE6"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221A0695" w14:textId="77777777" w:rsidR="00701852" w:rsidRPr="005E3577" w:rsidRDefault="00701852" w:rsidP="00701852">
            <w:pPr>
              <w:keepNext/>
              <w:spacing w:after="0" w:line="240" w:lineRule="auto"/>
              <w:rPr>
                <w:rFonts w:ascii="Calibri" w:eastAsia="Times New Roman" w:hAnsi="Calibri" w:cs="Calibri"/>
                <w:color w:val="000000"/>
                <w:sz w:val="20"/>
                <w:szCs w:val="20"/>
              </w:rPr>
            </w:pPr>
            <w:r w:rsidRPr="005E3577">
              <w:rPr>
                <w:rFonts w:ascii="Calibri" w:eastAsia="Times New Roman" w:hAnsi="Calibri" w:cs="Calibri"/>
                <w:color w:val="000000"/>
                <w:sz w:val="20"/>
                <w:szCs w:val="20"/>
              </w:rPr>
              <w:t>Grants</w:t>
            </w:r>
          </w:p>
        </w:tc>
        <w:tc>
          <w:tcPr>
            <w:tcW w:w="902" w:type="dxa"/>
            <w:tcBorders>
              <w:top w:val="nil"/>
              <w:left w:val="nil"/>
              <w:bottom w:val="nil"/>
              <w:right w:val="single" w:sz="4" w:space="0" w:color="auto"/>
            </w:tcBorders>
            <w:shd w:val="clear" w:color="auto" w:fill="auto"/>
            <w:noWrap/>
            <w:vAlign w:val="bottom"/>
            <w:hideMark/>
          </w:tcPr>
          <w:p w14:paraId="5B7B584C" w14:textId="7E4C1618"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92.8</w:t>
            </w:r>
          </w:p>
        </w:tc>
        <w:tc>
          <w:tcPr>
            <w:tcW w:w="903" w:type="dxa"/>
            <w:tcBorders>
              <w:top w:val="nil"/>
              <w:left w:val="nil"/>
              <w:bottom w:val="nil"/>
              <w:right w:val="single" w:sz="4" w:space="0" w:color="auto"/>
            </w:tcBorders>
            <w:shd w:val="clear" w:color="auto" w:fill="auto"/>
            <w:noWrap/>
            <w:vAlign w:val="bottom"/>
            <w:hideMark/>
          </w:tcPr>
          <w:p w14:paraId="25F7311B" w14:textId="27EAC03D"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108.1</w:t>
            </w:r>
          </w:p>
        </w:tc>
        <w:tc>
          <w:tcPr>
            <w:tcW w:w="903" w:type="dxa"/>
            <w:tcBorders>
              <w:top w:val="nil"/>
              <w:left w:val="nil"/>
              <w:bottom w:val="nil"/>
              <w:right w:val="nil"/>
            </w:tcBorders>
            <w:shd w:val="clear" w:color="auto" w:fill="auto"/>
            <w:noWrap/>
            <w:vAlign w:val="bottom"/>
            <w:hideMark/>
          </w:tcPr>
          <w:p w14:paraId="172395F4" w14:textId="18B5A6E1"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231.8</w:t>
            </w:r>
          </w:p>
        </w:tc>
        <w:tc>
          <w:tcPr>
            <w:tcW w:w="902" w:type="dxa"/>
            <w:tcBorders>
              <w:top w:val="nil"/>
              <w:left w:val="nil"/>
              <w:bottom w:val="nil"/>
              <w:right w:val="nil"/>
            </w:tcBorders>
            <w:shd w:val="clear" w:color="auto" w:fill="auto"/>
            <w:noWrap/>
            <w:vAlign w:val="bottom"/>
            <w:hideMark/>
          </w:tcPr>
          <w:p w14:paraId="4B3C6D82" w14:textId="3C267776"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410.6</w:t>
            </w:r>
          </w:p>
        </w:tc>
        <w:tc>
          <w:tcPr>
            <w:tcW w:w="903" w:type="dxa"/>
            <w:tcBorders>
              <w:top w:val="nil"/>
              <w:left w:val="nil"/>
              <w:bottom w:val="nil"/>
              <w:right w:val="single" w:sz="4" w:space="0" w:color="auto"/>
            </w:tcBorders>
            <w:shd w:val="clear" w:color="auto" w:fill="auto"/>
            <w:noWrap/>
            <w:vAlign w:val="bottom"/>
            <w:hideMark/>
          </w:tcPr>
          <w:p w14:paraId="6841F315" w14:textId="66ABC65B"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295.6</w:t>
            </w:r>
          </w:p>
        </w:tc>
        <w:tc>
          <w:tcPr>
            <w:tcW w:w="903" w:type="dxa"/>
            <w:tcBorders>
              <w:top w:val="nil"/>
              <w:left w:val="nil"/>
              <w:bottom w:val="nil"/>
              <w:right w:val="single" w:sz="4" w:space="0" w:color="auto"/>
            </w:tcBorders>
            <w:shd w:val="clear" w:color="auto" w:fill="auto"/>
            <w:noWrap/>
            <w:vAlign w:val="bottom"/>
            <w:hideMark/>
          </w:tcPr>
          <w:p w14:paraId="45176B2F" w14:textId="0BCF7962"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410.8</w:t>
            </w:r>
          </w:p>
        </w:tc>
      </w:tr>
      <w:tr w:rsidR="00701852" w:rsidRPr="005E3577" w14:paraId="78305E38"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42702785" w14:textId="77777777" w:rsidR="00701852" w:rsidRPr="005E3577" w:rsidRDefault="00701852" w:rsidP="00701852">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Budget support</w:t>
            </w:r>
          </w:p>
        </w:tc>
        <w:tc>
          <w:tcPr>
            <w:tcW w:w="902" w:type="dxa"/>
            <w:tcBorders>
              <w:top w:val="nil"/>
              <w:left w:val="nil"/>
              <w:bottom w:val="nil"/>
              <w:right w:val="single" w:sz="4" w:space="0" w:color="auto"/>
            </w:tcBorders>
            <w:shd w:val="clear" w:color="auto" w:fill="auto"/>
            <w:noWrap/>
            <w:vAlign w:val="bottom"/>
            <w:hideMark/>
          </w:tcPr>
          <w:p w14:paraId="63A8DF4C" w14:textId="3EE13E13"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42.8</w:t>
            </w:r>
          </w:p>
        </w:tc>
        <w:tc>
          <w:tcPr>
            <w:tcW w:w="903" w:type="dxa"/>
            <w:tcBorders>
              <w:top w:val="nil"/>
              <w:left w:val="nil"/>
              <w:bottom w:val="nil"/>
              <w:right w:val="single" w:sz="4" w:space="0" w:color="auto"/>
            </w:tcBorders>
            <w:shd w:val="clear" w:color="auto" w:fill="auto"/>
            <w:noWrap/>
            <w:vAlign w:val="bottom"/>
            <w:hideMark/>
          </w:tcPr>
          <w:p w14:paraId="608B5979" w14:textId="2FB4E506"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65.5</w:t>
            </w:r>
          </w:p>
        </w:tc>
        <w:tc>
          <w:tcPr>
            <w:tcW w:w="903" w:type="dxa"/>
            <w:tcBorders>
              <w:top w:val="nil"/>
              <w:left w:val="nil"/>
              <w:bottom w:val="nil"/>
              <w:right w:val="nil"/>
            </w:tcBorders>
            <w:shd w:val="clear" w:color="auto" w:fill="auto"/>
            <w:noWrap/>
            <w:vAlign w:val="bottom"/>
            <w:hideMark/>
          </w:tcPr>
          <w:p w14:paraId="5CF46241" w14:textId="563223A9"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63.0</w:t>
            </w:r>
          </w:p>
        </w:tc>
        <w:tc>
          <w:tcPr>
            <w:tcW w:w="902" w:type="dxa"/>
            <w:tcBorders>
              <w:top w:val="nil"/>
              <w:left w:val="nil"/>
              <w:bottom w:val="nil"/>
              <w:right w:val="nil"/>
            </w:tcBorders>
            <w:shd w:val="clear" w:color="auto" w:fill="auto"/>
            <w:noWrap/>
            <w:vAlign w:val="bottom"/>
            <w:hideMark/>
          </w:tcPr>
          <w:p w14:paraId="266A35A6" w14:textId="727A5096"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167.3</w:t>
            </w:r>
          </w:p>
        </w:tc>
        <w:tc>
          <w:tcPr>
            <w:tcW w:w="903" w:type="dxa"/>
            <w:tcBorders>
              <w:top w:val="nil"/>
              <w:left w:val="nil"/>
              <w:bottom w:val="nil"/>
              <w:right w:val="single" w:sz="4" w:space="0" w:color="auto"/>
            </w:tcBorders>
            <w:shd w:val="clear" w:color="auto" w:fill="auto"/>
            <w:noWrap/>
            <w:vAlign w:val="bottom"/>
            <w:hideMark/>
          </w:tcPr>
          <w:p w14:paraId="5398F992" w14:textId="16404E74"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123.1</w:t>
            </w:r>
          </w:p>
        </w:tc>
        <w:tc>
          <w:tcPr>
            <w:tcW w:w="903" w:type="dxa"/>
            <w:tcBorders>
              <w:top w:val="nil"/>
              <w:left w:val="nil"/>
              <w:bottom w:val="nil"/>
              <w:right w:val="single" w:sz="4" w:space="0" w:color="auto"/>
            </w:tcBorders>
            <w:shd w:val="clear" w:color="auto" w:fill="auto"/>
            <w:noWrap/>
            <w:vAlign w:val="bottom"/>
            <w:hideMark/>
          </w:tcPr>
          <w:p w14:paraId="2EAB2ED5" w14:textId="12A1E2C9"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130.0</w:t>
            </w:r>
          </w:p>
        </w:tc>
      </w:tr>
      <w:tr w:rsidR="00701852" w:rsidRPr="005E3577" w14:paraId="68498BD5"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729B7710" w14:textId="77777777" w:rsidR="00701852" w:rsidRPr="005E3577" w:rsidRDefault="00701852" w:rsidP="00701852">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Project support</w:t>
            </w:r>
          </w:p>
        </w:tc>
        <w:tc>
          <w:tcPr>
            <w:tcW w:w="902" w:type="dxa"/>
            <w:tcBorders>
              <w:top w:val="nil"/>
              <w:left w:val="nil"/>
              <w:bottom w:val="nil"/>
              <w:right w:val="single" w:sz="4" w:space="0" w:color="auto"/>
            </w:tcBorders>
            <w:shd w:val="clear" w:color="auto" w:fill="auto"/>
            <w:noWrap/>
            <w:vAlign w:val="bottom"/>
            <w:hideMark/>
          </w:tcPr>
          <w:p w14:paraId="5133903B" w14:textId="19A8E079"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50.0</w:t>
            </w:r>
          </w:p>
        </w:tc>
        <w:tc>
          <w:tcPr>
            <w:tcW w:w="903" w:type="dxa"/>
            <w:tcBorders>
              <w:top w:val="nil"/>
              <w:left w:val="nil"/>
              <w:bottom w:val="nil"/>
              <w:right w:val="single" w:sz="4" w:space="0" w:color="auto"/>
            </w:tcBorders>
            <w:shd w:val="clear" w:color="auto" w:fill="auto"/>
            <w:noWrap/>
            <w:vAlign w:val="bottom"/>
            <w:hideMark/>
          </w:tcPr>
          <w:p w14:paraId="4231052B" w14:textId="7D6AC389"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42.6</w:t>
            </w:r>
          </w:p>
        </w:tc>
        <w:tc>
          <w:tcPr>
            <w:tcW w:w="903" w:type="dxa"/>
            <w:tcBorders>
              <w:top w:val="nil"/>
              <w:left w:val="nil"/>
              <w:bottom w:val="nil"/>
              <w:right w:val="nil"/>
            </w:tcBorders>
            <w:shd w:val="clear" w:color="auto" w:fill="auto"/>
            <w:noWrap/>
            <w:vAlign w:val="bottom"/>
            <w:hideMark/>
          </w:tcPr>
          <w:p w14:paraId="6DA02560" w14:textId="35432A17"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168.8</w:t>
            </w:r>
          </w:p>
        </w:tc>
        <w:tc>
          <w:tcPr>
            <w:tcW w:w="902" w:type="dxa"/>
            <w:tcBorders>
              <w:top w:val="nil"/>
              <w:left w:val="nil"/>
              <w:bottom w:val="nil"/>
              <w:right w:val="nil"/>
            </w:tcBorders>
            <w:shd w:val="clear" w:color="auto" w:fill="auto"/>
            <w:noWrap/>
            <w:vAlign w:val="bottom"/>
            <w:hideMark/>
          </w:tcPr>
          <w:p w14:paraId="33C6BD26" w14:textId="1514F33B"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243.3</w:t>
            </w:r>
          </w:p>
        </w:tc>
        <w:tc>
          <w:tcPr>
            <w:tcW w:w="903" w:type="dxa"/>
            <w:tcBorders>
              <w:top w:val="nil"/>
              <w:left w:val="nil"/>
              <w:bottom w:val="nil"/>
              <w:right w:val="single" w:sz="4" w:space="0" w:color="auto"/>
            </w:tcBorders>
            <w:shd w:val="clear" w:color="auto" w:fill="auto"/>
            <w:noWrap/>
            <w:vAlign w:val="bottom"/>
            <w:hideMark/>
          </w:tcPr>
          <w:p w14:paraId="6A533C95" w14:textId="7A57FB46"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172.5</w:t>
            </w:r>
          </w:p>
        </w:tc>
        <w:tc>
          <w:tcPr>
            <w:tcW w:w="903" w:type="dxa"/>
            <w:tcBorders>
              <w:top w:val="nil"/>
              <w:left w:val="nil"/>
              <w:bottom w:val="nil"/>
              <w:right w:val="single" w:sz="4" w:space="0" w:color="auto"/>
            </w:tcBorders>
            <w:shd w:val="clear" w:color="auto" w:fill="auto"/>
            <w:noWrap/>
            <w:vAlign w:val="bottom"/>
            <w:hideMark/>
          </w:tcPr>
          <w:p w14:paraId="164821E8" w14:textId="3628E569" w:rsidR="00701852" w:rsidRPr="005E3577" w:rsidRDefault="00701852" w:rsidP="00701852">
            <w:pPr>
              <w:keepNext/>
              <w:spacing w:after="0" w:line="240" w:lineRule="auto"/>
              <w:ind w:right="122"/>
              <w:jc w:val="right"/>
              <w:rPr>
                <w:rFonts w:ascii="Calibri" w:eastAsia="Times New Roman" w:hAnsi="Calibri" w:cs="Calibri"/>
                <w:color w:val="000000"/>
                <w:sz w:val="20"/>
                <w:szCs w:val="20"/>
              </w:rPr>
            </w:pPr>
            <w:r>
              <w:rPr>
                <w:rFonts w:ascii="Calibri" w:hAnsi="Calibri" w:cs="Calibri"/>
                <w:color w:val="000000"/>
                <w:sz w:val="20"/>
                <w:szCs w:val="20"/>
              </w:rPr>
              <w:t>280.8</w:t>
            </w:r>
          </w:p>
        </w:tc>
      </w:tr>
      <w:tr w:rsidR="005E3577" w:rsidRPr="005E3577" w14:paraId="40842FF2"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68866050" w14:textId="77777777" w:rsidR="005E3577" w:rsidRPr="005E3577" w:rsidRDefault="005E3577" w:rsidP="005E3577">
            <w:pPr>
              <w:keepNext/>
              <w:spacing w:after="0" w:line="240" w:lineRule="auto"/>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c>
          <w:tcPr>
            <w:tcW w:w="902" w:type="dxa"/>
            <w:tcBorders>
              <w:top w:val="nil"/>
              <w:left w:val="nil"/>
              <w:bottom w:val="nil"/>
              <w:right w:val="single" w:sz="4" w:space="0" w:color="auto"/>
            </w:tcBorders>
            <w:shd w:val="clear" w:color="auto" w:fill="auto"/>
            <w:noWrap/>
            <w:vAlign w:val="bottom"/>
            <w:hideMark/>
          </w:tcPr>
          <w:p w14:paraId="0629D986"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c>
          <w:tcPr>
            <w:tcW w:w="903" w:type="dxa"/>
            <w:tcBorders>
              <w:top w:val="nil"/>
              <w:left w:val="nil"/>
              <w:bottom w:val="nil"/>
              <w:right w:val="single" w:sz="4" w:space="0" w:color="auto"/>
            </w:tcBorders>
            <w:shd w:val="clear" w:color="auto" w:fill="auto"/>
            <w:noWrap/>
            <w:vAlign w:val="bottom"/>
            <w:hideMark/>
          </w:tcPr>
          <w:p w14:paraId="0E8A91D8"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c>
          <w:tcPr>
            <w:tcW w:w="903" w:type="dxa"/>
            <w:tcBorders>
              <w:top w:val="nil"/>
              <w:left w:val="nil"/>
              <w:bottom w:val="nil"/>
              <w:right w:val="nil"/>
            </w:tcBorders>
            <w:shd w:val="clear" w:color="auto" w:fill="auto"/>
            <w:noWrap/>
            <w:vAlign w:val="bottom"/>
            <w:hideMark/>
          </w:tcPr>
          <w:p w14:paraId="7509CCBA"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c>
          <w:tcPr>
            <w:tcW w:w="902" w:type="dxa"/>
            <w:tcBorders>
              <w:top w:val="nil"/>
              <w:left w:val="nil"/>
              <w:bottom w:val="nil"/>
              <w:right w:val="nil"/>
            </w:tcBorders>
            <w:shd w:val="clear" w:color="auto" w:fill="auto"/>
            <w:noWrap/>
            <w:vAlign w:val="bottom"/>
            <w:hideMark/>
          </w:tcPr>
          <w:p w14:paraId="140003CB"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p>
        </w:tc>
        <w:tc>
          <w:tcPr>
            <w:tcW w:w="903" w:type="dxa"/>
            <w:tcBorders>
              <w:top w:val="nil"/>
              <w:left w:val="nil"/>
              <w:bottom w:val="nil"/>
              <w:right w:val="single" w:sz="4" w:space="0" w:color="auto"/>
            </w:tcBorders>
            <w:shd w:val="clear" w:color="auto" w:fill="auto"/>
            <w:noWrap/>
            <w:vAlign w:val="bottom"/>
            <w:hideMark/>
          </w:tcPr>
          <w:p w14:paraId="5F9E3EE9"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c>
          <w:tcPr>
            <w:tcW w:w="903" w:type="dxa"/>
            <w:tcBorders>
              <w:top w:val="nil"/>
              <w:left w:val="nil"/>
              <w:bottom w:val="nil"/>
              <w:right w:val="single" w:sz="4" w:space="0" w:color="auto"/>
            </w:tcBorders>
            <w:shd w:val="clear" w:color="auto" w:fill="auto"/>
            <w:noWrap/>
            <w:vAlign w:val="bottom"/>
            <w:hideMark/>
          </w:tcPr>
          <w:p w14:paraId="54E06B60" w14:textId="77777777" w:rsidR="005E3577" w:rsidRPr="005E3577" w:rsidRDefault="005E3577" w:rsidP="005E3577">
            <w:pPr>
              <w:keepNext/>
              <w:spacing w:after="0" w:line="240" w:lineRule="auto"/>
              <w:ind w:right="122"/>
              <w:rPr>
                <w:rFonts w:ascii="Calibri" w:eastAsia="Times New Roman" w:hAnsi="Calibri" w:cs="Calibri"/>
                <w:color w:val="000000"/>
                <w:sz w:val="20"/>
                <w:szCs w:val="20"/>
              </w:rPr>
            </w:pPr>
            <w:r w:rsidRPr="005E3577">
              <w:rPr>
                <w:rFonts w:ascii="Calibri" w:eastAsia="Times New Roman" w:hAnsi="Calibri" w:cs="Calibri"/>
                <w:color w:val="000000"/>
                <w:sz w:val="20"/>
                <w:szCs w:val="20"/>
              </w:rPr>
              <w:t> </w:t>
            </w:r>
          </w:p>
        </w:tc>
      </w:tr>
      <w:tr w:rsidR="005E3577" w:rsidRPr="005E3577" w14:paraId="761BF7ED"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2A302A3C" w14:textId="77777777" w:rsidR="005E3577" w:rsidRPr="005E3577" w:rsidRDefault="005E3577" w:rsidP="005E3577">
            <w:pPr>
              <w:keepNext/>
              <w:spacing w:after="0" w:line="240" w:lineRule="auto"/>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Expenditure</w:t>
            </w:r>
          </w:p>
        </w:tc>
        <w:tc>
          <w:tcPr>
            <w:tcW w:w="902" w:type="dxa"/>
            <w:tcBorders>
              <w:top w:val="nil"/>
              <w:left w:val="nil"/>
              <w:bottom w:val="nil"/>
              <w:right w:val="single" w:sz="4" w:space="0" w:color="auto"/>
            </w:tcBorders>
            <w:shd w:val="clear" w:color="auto" w:fill="auto"/>
            <w:noWrap/>
            <w:vAlign w:val="bottom"/>
            <w:hideMark/>
          </w:tcPr>
          <w:p w14:paraId="14D1190A"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268.5</w:t>
            </w:r>
          </w:p>
        </w:tc>
        <w:tc>
          <w:tcPr>
            <w:tcW w:w="903" w:type="dxa"/>
            <w:tcBorders>
              <w:top w:val="nil"/>
              <w:left w:val="nil"/>
              <w:bottom w:val="nil"/>
              <w:right w:val="single" w:sz="4" w:space="0" w:color="auto"/>
            </w:tcBorders>
            <w:shd w:val="clear" w:color="auto" w:fill="auto"/>
            <w:noWrap/>
            <w:vAlign w:val="bottom"/>
            <w:hideMark/>
          </w:tcPr>
          <w:p w14:paraId="34BA54EC"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315.7</w:t>
            </w:r>
          </w:p>
        </w:tc>
        <w:tc>
          <w:tcPr>
            <w:tcW w:w="903" w:type="dxa"/>
            <w:tcBorders>
              <w:top w:val="nil"/>
              <w:left w:val="nil"/>
              <w:bottom w:val="nil"/>
              <w:right w:val="nil"/>
            </w:tcBorders>
            <w:shd w:val="clear" w:color="auto" w:fill="auto"/>
            <w:noWrap/>
            <w:vAlign w:val="bottom"/>
            <w:hideMark/>
          </w:tcPr>
          <w:p w14:paraId="6B58B5BA"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476.2</w:t>
            </w:r>
          </w:p>
        </w:tc>
        <w:tc>
          <w:tcPr>
            <w:tcW w:w="902" w:type="dxa"/>
            <w:tcBorders>
              <w:top w:val="nil"/>
              <w:left w:val="nil"/>
              <w:bottom w:val="nil"/>
              <w:right w:val="nil"/>
            </w:tcBorders>
            <w:shd w:val="clear" w:color="auto" w:fill="auto"/>
            <w:noWrap/>
            <w:vAlign w:val="bottom"/>
            <w:hideMark/>
          </w:tcPr>
          <w:p w14:paraId="45409229"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696.6</w:t>
            </w:r>
          </w:p>
        </w:tc>
        <w:tc>
          <w:tcPr>
            <w:tcW w:w="903" w:type="dxa"/>
            <w:tcBorders>
              <w:top w:val="nil"/>
              <w:left w:val="nil"/>
              <w:bottom w:val="nil"/>
              <w:right w:val="single" w:sz="4" w:space="0" w:color="auto"/>
            </w:tcBorders>
            <w:shd w:val="clear" w:color="auto" w:fill="auto"/>
            <w:noWrap/>
            <w:vAlign w:val="bottom"/>
            <w:hideMark/>
          </w:tcPr>
          <w:p w14:paraId="593416D2"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494.7</w:t>
            </w:r>
          </w:p>
        </w:tc>
        <w:tc>
          <w:tcPr>
            <w:tcW w:w="903" w:type="dxa"/>
            <w:tcBorders>
              <w:top w:val="nil"/>
              <w:left w:val="nil"/>
              <w:bottom w:val="nil"/>
              <w:right w:val="single" w:sz="4" w:space="0" w:color="auto"/>
            </w:tcBorders>
            <w:shd w:val="clear" w:color="auto" w:fill="auto"/>
            <w:noWrap/>
            <w:vAlign w:val="bottom"/>
            <w:hideMark/>
          </w:tcPr>
          <w:p w14:paraId="3E5C4DA8" w14:textId="77777777" w:rsidR="005E3577" w:rsidRPr="005E3577" w:rsidRDefault="005E3577" w:rsidP="005E3577">
            <w:pPr>
              <w:keepNext/>
              <w:spacing w:after="0" w:line="240" w:lineRule="auto"/>
              <w:ind w:right="122"/>
              <w:jc w:val="right"/>
              <w:rPr>
                <w:rFonts w:ascii="Calibri" w:eastAsia="Times New Roman" w:hAnsi="Calibri" w:cs="Calibri"/>
                <w:b/>
                <w:bCs/>
                <w:color w:val="000000"/>
                <w:sz w:val="20"/>
                <w:szCs w:val="20"/>
              </w:rPr>
            </w:pPr>
            <w:r w:rsidRPr="005E3577">
              <w:rPr>
                <w:rFonts w:ascii="Calibri" w:eastAsia="Times New Roman" w:hAnsi="Calibri" w:cs="Calibri"/>
                <w:b/>
                <w:bCs/>
                <w:color w:val="000000"/>
                <w:sz w:val="20"/>
                <w:szCs w:val="20"/>
              </w:rPr>
              <w:t>680.5</w:t>
            </w:r>
          </w:p>
        </w:tc>
      </w:tr>
      <w:tr w:rsidR="005E3577" w:rsidRPr="005E3577" w14:paraId="37E7014E"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2A032D65" w14:textId="258ABE94" w:rsidR="005E3577" w:rsidRPr="005E3577" w:rsidRDefault="005E3577" w:rsidP="005E3577">
            <w:pPr>
              <w:keepNext/>
              <w:spacing w:after="0" w:line="240" w:lineRule="auto"/>
              <w:rPr>
                <w:rFonts w:ascii="Calibri" w:eastAsia="Times New Roman" w:hAnsi="Calibri" w:cs="Calibri"/>
                <w:color w:val="000000"/>
                <w:sz w:val="20"/>
                <w:szCs w:val="20"/>
              </w:rPr>
            </w:pPr>
            <w:r w:rsidRPr="005E3577">
              <w:rPr>
                <w:rFonts w:ascii="Calibri" w:eastAsia="Times New Roman" w:hAnsi="Calibri" w:cs="Calibri"/>
                <w:color w:val="000000"/>
                <w:sz w:val="20"/>
                <w:szCs w:val="20"/>
              </w:rPr>
              <w:t>Recurrent</w:t>
            </w:r>
            <w:r>
              <w:rPr>
                <w:rFonts w:ascii="Calibri" w:eastAsia="Times New Roman" w:hAnsi="Calibri" w:cs="Calibri"/>
                <w:color w:val="000000"/>
                <w:sz w:val="20"/>
                <w:szCs w:val="20"/>
              </w:rPr>
              <w:t xml:space="preserve"> spending</w:t>
            </w:r>
          </w:p>
        </w:tc>
        <w:tc>
          <w:tcPr>
            <w:tcW w:w="902" w:type="dxa"/>
            <w:tcBorders>
              <w:top w:val="nil"/>
              <w:left w:val="nil"/>
              <w:bottom w:val="nil"/>
              <w:right w:val="single" w:sz="4" w:space="0" w:color="auto"/>
            </w:tcBorders>
            <w:shd w:val="clear" w:color="auto" w:fill="auto"/>
            <w:noWrap/>
            <w:vAlign w:val="bottom"/>
            <w:hideMark/>
          </w:tcPr>
          <w:p w14:paraId="56F13D8D"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258.6</w:t>
            </w:r>
          </w:p>
        </w:tc>
        <w:tc>
          <w:tcPr>
            <w:tcW w:w="903" w:type="dxa"/>
            <w:tcBorders>
              <w:top w:val="nil"/>
              <w:left w:val="nil"/>
              <w:bottom w:val="nil"/>
              <w:right w:val="single" w:sz="4" w:space="0" w:color="auto"/>
            </w:tcBorders>
            <w:shd w:val="clear" w:color="auto" w:fill="auto"/>
            <w:noWrap/>
            <w:vAlign w:val="bottom"/>
            <w:hideMark/>
          </w:tcPr>
          <w:p w14:paraId="7FD33D75"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300.9</w:t>
            </w:r>
          </w:p>
        </w:tc>
        <w:tc>
          <w:tcPr>
            <w:tcW w:w="903" w:type="dxa"/>
            <w:tcBorders>
              <w:top w:val="nil"/>
              <w:left w:val="nil"/>
              <w:bottom w:val="nil"/>
              <w:right w:val="nil"/>
            </w:tcBorders>
            <w:shd w:val="clear" w:color="auto" w:fill="auto"/>
            <w:noWrap/>
            <w:vAlign w:val="bottom"/>
            <w:hideMark/>
          </w:tcPr>
          <w:p w14:paraId="65E9BFA4"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435.5</w:t>
            </w:r>
          </w:p>
        </w:tc>
        <w:tc>
          <w:tcPr>
            <w:tcW w:w="902" w:type="dxa"/>
            <w:tcBorders>
              <w:top w:val="nil"/>
              <w:left w:val="nil"/>
              <w:bottom w:val="nil"/>
              <w:right w:val="nil"/>
            </w:tcBorders>
            <w:shd w:val="clear" w:color="auto" w:fill="auto"/>
            <w:noWrap/>
            <w:vAlign w:val="bottom"/>
            <w:hideMark/>
          </w:tcPr>
          <w:p w14:paraId="5369E672"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652.4</w:t>
            </w:r>
          </w:p>
        </w:tc>
        <w:tc>
          <w:tcPr>
            <w:tcW w:w="903" w:type="dxa"/>
            <w:tcBorders>
              <w:top w:val="nil"/>
              <w:left w:val="nil"/>
              <w:bottom w:val="nil"/>
              <w:right w:val="single" w:sz="4" w:space="0" w:color="auto"/>
            </w:tcBorders>
            <w:shd w:val="clear" w:color="auto" w:fill="auto"/>
            <w:noWrap/>
            <w:vAlign w:val="bottom"/>
            <w:hideMark/>
          </w:tcPr>
          <w:p w14:paraId="20BA8486"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476.2</w:t>
            </w:r>
          </w:p>
        </w:tc>
        <w:tc>
          <w:tcPr>
            <w:tcW w:w="903" w:type="dxa"/>
            <w:tcBorders>
              <w:top w:val="nil"/>
              <w:left w:val="nil"/>
              <w:bottom w:val="nil"/>
              <w:right w:val="single" w:sz="4" w:space="0" w:color="auto"/>
            </w:tcBorders>
            <w:shd w:val="clear" w:color="auto" w:fill="auto"/>
            <w:noWrap/>
            <w:vAlign w:val="bottom"/>
            <w:hideMark/>
          </w:tcPr>
          <w:p w14:paraId="2E7ACBBE"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597.5</w:t>
            </w:r>
          </w:p>
        </w:tc>
      </w:tr>
      <w:tr w:rsidR="005E3577" w:rsidRPr="005E3577" w14:paraId="7E121717"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3429D98A" w14:textId="77777777"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Compensation of employees</w:t>
            </w:r>
          </w:p>
        </w:tc>
        <w:tc>
          <w:tcPr>
            <w:tcW w:w="902" w:type="dxa"/>
            <w:tcBorders>
              <w:top w:val="nil"/>
              <w:left w:val="nil"/>
              <w:bottom w:val="nil"/>
              <w:right w:val="single" w:sz="4" w:space="0" w:color="auto"/>
            </w:tcBorders>
            <w:shd w:val="clear" w:color="auto" w:fill="auto"/>
            <w:noWrap/>
            <w:vAlign w:val="bottom"/>
            <w:hideMark/>
          </w:tcPr>
          <w:p w14:paraId="448B528F"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142.8</w:t>
            </w:r>
          </w:p>
        </w:tc>
        <w:tc>
          <w:tcPr>
            <w:tcW w:w="903" w:type="dxa"/>
            <w:tcBorders>
              <w:top w:val="nil"/>
              <w:left w:val="nil"/>
              <w:bottom w:val="nil"/>
              <w:right w:val="single" w:sz="4" w:space="0" w:color="auto"/>
            </w:tcBorders>
            <w:shd w:val="clear" w:color="auto" w:fill="auto"/>
            <w:noWrap/>
            <w:vAlign w:val="bottom"/>
            <w:hideMark/>
          </w:tcPr>
          <w:p w14:paraId="2FEB001B"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162.8</w:t>
            </w:r>
          </w:p>
        </w:tc>
        <w:tc>
          <w:tcPr>
            <w:tcW w:w="903" w:type="dxa"/>
            <w:tcBorders>
              <w:top w:val="nil"/>
              <w:left w:val="nil"/>
              <w:bottom w:val="nil"/>
              <w:right w:val="nil"/>
            </w:tcBorders>
            <w:shd w:val="clear" w:color="auto" w:fill="auto"/>
            <w:noWrap/>
            <w:vAlign w:val="bottom"/>
            <w:hideMark/>
          </w:tcPr>
          <w:p w14:paraId="656FE293"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220.3</w:t>
            </w:r>
          </w:p>
        </w:tc>
        <w:tc>
          <w:tcPr>
            <w:tcW w:w="902" w:type="dxa"/>
            <w:tcBorders>
              <w:top w:val="nil"/>
              <w:left w:val="nil"/>
              <w:bottom w:val="nil"/>
              <w:right w:val="nil"/>
            </w:tcBorders>
            <w:shd w:val="clear" w:color="auto" w:fill="auto"/>
            <w:noWrap/>
            <w:vAlign w:val="bottom"/>
            <w:hideMark/>
          </w:tcPr>
          <w:p w14:paraId="10540848"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229.9</w:t>
            </w:r>
          </w:p>
        </w:tc>
        <w:tc>
          <w:tcPr>
            <w:tcW w:w="903" w:type="dxa"/>
            <w:tcBorders>
              <w:top w:val="nil"/>
              <w:left w:val="nil"/>
              <w:bottom w:val="nil"/>
              <w:right w:val="single" w:sz="4" w:space="0" w:color="auto"/>
            </w:tcBorders>
            <w:shd w:val="clear" w:color="auto" w:fill="auto"/>
            <w:noWrap/>
            <w:vAlign w:val="bottom"/>
            <w:hideMark/>
          </w:tcPr>
          <w:p w14:paraId="02CE74B2"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227.0</w:t>
            </w:r>
          </w:p>
        </w:tc>
        <w:tc>
          <w:tcPr>
            <w:tcW w:w="903" w:type="dxa"/>
            <w:tcBorders>
              <w:top w:val="nil"/>
              <w:left w:val="nil"/>
              <w:bottom w:val="nil"/>
              <w:right w:val="single" w:sz="4" w:space="0" w:color="auto"/>
            </w:tcBorders>
            <w:shd w:val="clear" w:color="auto" w:fill="auto"/>
            <w:noWrap/>
            <w:vAlign w:val="bottom"/>
            <w:hideMark/>
          </w:tcPr>
          <w:p w14:paraId="455F8F87"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252.8</w:t>
            </w:r>
          </w:p>
        </w:tc>
      </w:tr>
      <w:tr w:rsidR="005E3577" w:rsidRPr="005E3577" w14:paraId="5F13E1C7"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170CD787" w14:textId="747003DF"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Use of goods and services</w:t>
            </w:r>
          </w:p>
        </w:tc>
        <w:tc>
          <w:tcPr>
            <w:tcW w:w="902" w:type="dxa"/>
            <w:tcBorders>
              <w:top w:val="nil"/>
              <w:left w:val="nil"/>
              <w:bottom w:val="nil"/>
              <w:right w:val="single" w:sz="4" w:space="0" w:color="auto"/>
            </w:tcBorders>
            <w:shd w:val="clear" w:color="auto" w:fill="auto"/>
            <w:noWrap/>
            <w:vAlign w:val="bottom"/>
            <w:hideMark/>
          </w:tcPr>
          <w:p w14:paraId="62B5076B" w14:textId="0851670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80.6</w:t>
            </w:r>
          </w:p>
        </w:tc>
        <w:tc>
          <w:tcPr>
            <w:tcW w:w="903" w:type="dxa"/>
            <w:tcBorders>
              <w:top w:val="nil"/>
              <w:left w:val="nil"/>
              <w:bottom w:val="nil"/>
              <w:right w:val="single" w:sz="4" w:space="0" w:color="auto"/>
            </w:tcBorders>
            <w:shd w:val="clear" w:color="auto" w:fill="auto"/>
            <w:noWrap/>
            <w:vAlign w:val="bottom"/>
            <w:hideMark/>
          </w:tcPr>
          <w:p w14:paraId="55EA889C" w14:textId="35E9D899"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92.7</w:t>
            </w:r>
          </w:p>
        </w:tc>
        <w:tc>
          <w:tcPr>
            <w:tcW w:w="903" w:type="dxa"/>
            <w:tcBorders>
              <w:top w:val="nil"/>
              <w:left w:val="nil"/>
              <w:bottom w:val="nil"/>
              <w:right w:val="nil"/>
            </w:tcBorders>
            <w:shd w:val="clear" w:color="auto" w:fill="auto"/>
            <w:noWrap/>
            <w:vAlign w:val="bottom"/>
            <w:hideMark/>
          </w:tcPr>
          <w:p w14:paraId="2187A25D" w14:textId="67273EB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132.2</w:t>
            </w:r>
          </w:p>
        </w:tc>
        <w:tc>
          <w:tcPr>
            <w:tcW w:w="902" w:type="dxa"/>
            <w:tcBorders>
              <w:top w:val="nil"/>
              <w:left w:val="nil"/>
              <w:bottom w:val="nil"/>
              <w:right w:val="nil"/>
            </w:tcBorders>
            <w:shd w:val="clear" w:color="auto" w:fill="auto"/>
            <w:noWrap/>
            <w:vAlign w:val="bottom"/>
            <w:hideMark/>
          </w:tcPr>
          <w:p w14:paraId="6B6C8D85" w14:textId="679F051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152.6</w:t>
            </w:r>
          </w:p>
        </w:tc>
        <w:tc>
          <w:tcPr>
            <w:tcW w:w="903" w:type="dxa"/>
            <w:tcBorders>
              <w:top w:val="nil"/>
              <w:left w:val="nil"/>
              <w:bottom w:val="nil"/>
              <w:right w:val="single" w:sz="4" w:space="0" w:color="auto"/>
            </w:tcBorders>
            <w:shd w:val="clear" w:color="auto" w:fill="auto"/>
            <w:noWrap/>
            <w:vAlign w:val="bottom"/>
            <w:hideMark/>
          </w:tcPr>
          <w:p w14:paraId="3E7E08F3" w14:textId="5A925BA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80.3</w:t>
            </w:r>
          </w:p>
        </w:tc>
        <w:tc>
          <w:tcPr>
            <w:tcW w:w="903" w:type="dxa"/>
            <w:tcBorders>
              <w:top w:val="nil"/>
              <w:left w:val="nil"/>
              <w:bottom w:val="nil"/>
              <w:right w:val="single" w:sz="4" w:space="0" w:color="auto"/>
            </w:tcBorders>
            <w:shd w:val="clear" w:color="auto" w:fill="auto"/>
            <w:noWrap/>
            <w:vAlign w:val="bottom"/>
            <w:hideMark/>
          </w:tcPr>
          <w:p w14:paraId="042A1FD5" w14:textId="3BD306E3"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183.1</w:t>
            </w:r>
          </w:p>
        </w:tc>
      </w:tr>
      <w:tr w:rsidR="005E3577" w:rsidRPr="005E3577" w14:paraId="71E2B16E"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18C9805D" w14:textId="29BBF78D"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Debt service (incl. principal)</w:t>
            </w:r>
          </w:p>
        </w:tc>
        <w:tc>
          <w:tcPr>
            <w:tcW w:w="902" w:type="dxa"/>
            <w:tcBorders>
              <w:top w:val="nil"/>
              <w:left w:val="nil"/>
              <w:bottom w:val="nil"/>
              <w:right w:val="single" w:sz="4" w:space="0" w:color="auto"/>
            </w:tcBorders>
            <w:shd w:val="clear" w:color="auto" w:fill="auto"/>
            <w:noWrap/>
            <w:vAlign w:val="bottom"/>
            <w:hideMark/>
          </w:tcPr>
          <w:p w14:paraId="054E26F0" w14:textId="2B14A1D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0.0</w:t>
            </w:r>
          </w:p>
        </w:tc>
        <w:tc>
          <w:tcPr>
            <w:tcW w:w="903" w:type="dxa"/>
            <w:tcBorders>
              <w:top w:val="nil"/>
              <w:left w:val="nil"/>
              <w:bottom w:val="nil"/>
              <w:right w:val="single" w:sz="4" w:space="0" w:color="auto"/>
            </w:tcBorders>
            <w:shd w:val="clear" w:color="auto" w:fill="auto"/>
            <w:noWrap/>
            <w:vAlign w:val="bottom"/>
            <w:hideMark/>
          </w:tcPr>
          <w:p w14:paraId="22386CAD" w14:textId="5191386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0.0</w:t>
            </w:r>
          </w:p>
        </w:tc>
        <w:tc>
          <w:tcPr>
            <w:tcW w:w="903" w:type="dxa"/>
            <w:tcBorders>
              <w:top w:val="nil"/>
              <w:left w:val="nil"/>
              <w:bottom w:val="nil"/>
              <w:right w:val="nil"/>
            </w:tcBorders>
            <w:shd w:val="clear" w:color="auto" w:fill="auto"/>
            <w:noWrap/>
            <w:vAlign w:val="bottom"/>
            <w:hideMark/>
          </w:tcPr>
          <w:p w14:paraId="69ADF81F" w14:textId="4B2DA0F5"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0.3</w:t>
            </w:r>
          </w:p>
        </w:tc>
        <w:tc>
          <w:tcPr>
            <w:tcW w:w="902" w:type="dxa"/>
            <w:tcBorders>
              <w:top w:val="nil"/>
              <w:left w:val="nil"/>
              <w:bottom w:val="nil"/>
              <w:right w:val="nil"/>
            </w:tcBorders>
            <w:shd w:val="clear" w:color="auto" w:fill="auto"/>
            <w:noWrap/>
            <w:vAlign w:val="bottom"/>
            <w:hideMark/>
          </w:tcPr>
          <w:p w14:paraId="52149DD8" w14:textId="3084B32B"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14.4</w:t>
            </w:r>
          </w:p>
        </w:tc>
        <w:tc>
          <w:tcPr>
            <w:tcW w:w="903" w:type="dxa"/>
            <w:tcBorders>
              <w:top w:val="nil"/>
              <w:left w:val="nil"/>
              <w:bottom w:val="nil"/>
              <w:right w:val="single" w:sz="4" w:space="0" w:color="auto"/>
            </w:tcBorders>
            <w:shd w:val="clear" w:color="auto" w:fill="auto"/>
            <w:noWrap/>
            <w:vAlign w:val="bottom"/>
            <w:hideMark/>
          </w:tcPr>
          <w:p w14:paraId="7BF84679" w14:textId="6DDA3C2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14.4</w:t>
            </w:r>
          </w:p>
        </w:tc>
        <w:tc>
          <w:tcPr>
            <w:tcW w:w="903" w:type="dxa"/>
            <w:tcBorders>
              <w:top w:val="nil"/>
              <w:left w:val="nil"/>
              <w:bottom w:val="nil"/>
              <w:right w:val="single" w:sz="4" w:space="0" w:color="auto"/>
            </w:tcBorders>
            <w:shd w:val="clear" w:color="auto" w:fill="auto"/>
            <w:noWrap/>
            <w:vAlign w:val="bottom"/>
            <w:hideMark/>
          </w:tcPr>
          <w:p w14:paraId="7EB49C72" w14:textId="6841B113"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16.5</w:t>
            </w:r>
          </w:p>
        </w:tc>
      </w:tr>
      <w:tr w:rsidR="005E3577" w:rsidRPr="005E3577" w14:paraId="0E26D9EA"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20BDB815" w14:textId="3B33261B"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Grants (intergovernmental, etc.)</w:t>
            </w:r>
          </w:p>
        </w:tc>
        <w:tc>
          <w:tcPr>
            <w:tcW w:w="902" w:type="dxa"/>
            <w:tcBorders>
              <w:top w:val="nil"/>
              <w:left w:val="nil"/>
              <w:bottom w:val="nil"/>
              <w:right w:val="single" w:sz="4" w:space="0" w:color="auto"/>
            </w:tcBorders>
            <w:shd w:val="clear" w:color="auto" w:fill="auto"/>
            <w:noWrap/>
            <w:vAlign w:val="bottom"/>
            <w:hideMark/>
          </w:tcPr>
          <w:p w14:paraId="294BBF7E" w14:textId="3449AB7B"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30.8</w:t>
            </w:r>
          </w:p>
        </w:tc>
        <w:tc>
          <w:tcPr>
            <w:tcW w:w="903" w:type="dxa"/>
            <w:tcBorders>
              <w:top w:val="nil"/>
              <w:left w:val="nil"/>
              <w:bottom w:val="nil"/>
              <w:right w:val="single" w:sz="4" w:space="0" w:color="auto"/>
            </w:tcBorders>
            <w:shd w:val="clear" w:color="auto" w:fill="auto"/>
            <w:noWrap/>
            <w:vAlign w:val="bottom"/>
            <w:hideMark/>
          </w:tcPr>
          <w:p w14:paraId="59FE11A6" w14:textId="09446714"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45.0</w:t>
            </w:r>
          </w:p>
        </w:tc>
        <w:tc>
          <w:tcPr>
            <w:tcW w:w="903" w:type="dxa"/>
            <w:tcBorders>
              <w:top w:val="nil"/>
              <w:left w:val="nil"/>
              <w:bottom w:val="nil"/>
              <w:right w:val="nil"/>
            </w:tcBorders>
            <w:shd w:val="clear" w:color="auto" w:fill="auto"/>
            <w:noWrap/>
            <w:vAlign w:val="bottom"/>
            <w:hideMark/>
          </w:tcPr>
          <w:p w14:paraId="02F7F516" w14:textId="2033122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42.6</w:t>
            </w:r>
          </w:p>
        </w:tc>
        <w:tc>
          <w:tcPr>
            <w:tcW w:w="902" w:type="dxa"/>
            <w:tcBorders>
              <w:top w:val="nil"/>
              <w:left w:val="nil"/>
              <w:bottom w:val="nil"/>
              <w:right w:val="nil"/>
            </w:tcBorders>
            <w:shd w:val="clear" w:color="auto" w:fill="auto"/>
            <w:noWrap/>
            <w:vAlign w:val="bottom"/>
            <w:hideMark/>
          </w:tcPr>
          <w:p w14:paraId="7D81F00E" w14:textId="624B47BD"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155.0</w:t>
            </w:r>
          </w:p>
        </w:tc>
        <w:tc>
          <w:tcPr>
            <w:tcW w:w="903" w:type="dxa"/>
            <w:tcBorders>
              <w:top w:val="nil"/>
              <w:left w:val="nil"/>
              <w:bottom w:val="nil"/>
              <w:right w:val="single" w:sz="4" w:space="0" w:color="auto"/>
            </w:tcBorders>
            <w:shd w:val="clear" w:color="auto" w:fill="auto"/>
            <w:noWrap/>
            <w:vAlign w:val="bottom"/>
            <w:hideMark/>
          </w:tcPr>
          <w:p w14:paraId="7CE34996" w14:textId="7D0C0FF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90.2</w:t>
            </w:r>
          </w:p>
        </w:tc>
        <w:tc>
          <w:tcPr>
            <w:tcW w:w="903" w:type="dxa"/>
            <w:tcBorders>
              <w:top w:val="nil"/>
              <w:left w:val="nil"/>
              <w:bottom w:val="nil"/>
              <w:right w:val="single" w:sz="4" w:space="0" w:color="auto"/>
            </w:tcBorders>
            <w:shd w:val="clear" w:color="auto" w:fill="auto"/>
            <w:noWrap/>
            <w:vAlign w:val="bottom"/>
            <w:hideMark/>
          </w:tcPr>
          <w:p w14:paraId="368B040B" w14:textId="52CEB0E2"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70.5</w:t>
            </w:r>
          </w:p>
        </w:tc>
      </w:tr>
      <w:tr w:rsidR="005E3577" w:rsidRPr="005E3577" w14:paraId="741E17F5"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0382972A" w14:textId="77777777"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Social benefits</w:t>
            </w:r>
          </w:p>
        </w:tc>
        <w:tc>
          <w:tcPr>
            <w:tcW w:w="902" w:type="dxa"/>
            <w:tcBorders>
              <w:top w:val="nil"/>
              <w:left w:val="nil"/>
              <w:bottom w:val="nil"/>
              <w:right w:val="single" w:sz="4" w:space="0" w:color="auto"/>
            </w:tcBorders>
            <w:shd w:val="clear" w:color="auto" w:fill="auto"/>
            <w:noWrap/>
            <w:vAlign w:val="bottom"/>
            <w:hideMark/>
          </w:tcPr>
          <w:p w14:paraId="43EDDFBA"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0.3</w:t>
            </w:r>
          </w:p>
        </w:tc>
        <w:tc>
          <w:tcPr>
            <w:tcW w:w="903" w:type="dxa"/>
            <w:tcBorders>
              <w:top w:val="nil"/>
              <w:left w:val="nil"/>
              <w:bottom w:val="nil"/>
              <w:right w:val="single" w:sz="4" w:space="0" w:color="auto"/>
            </w:tcBorders>
            <w:shd w:val="clear" w:color="auto" w:fill="auto"/>
            <w:noWrap/>
            <w:vAlign w:val="bottom"/>
            <w:hideMark/>
          </w:tcPr>
          <w:p w14:paraId="17ACC8A0"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0.0</w:t>
            </w:r>
          </w:p>
        </w:tc>
        <w:tc>
          <w:tcPr>
            <w:tcW w:w="903" w:type="dxa"/>
            <w:tcBorders>
              <w:top w:val="nil"/>
              <w:left w:val="nil"/>
              <w:bottom w:val="nil"/>
              <w:right w:val="nil"/>
            </w:tcBorders>
            <w:shd w:val="clear" w:color="auto" w:fill="auto"/>
            <w:noWrap/>
            <w:vAlign w:val="bottom"/>
            <w:hideMark/>
          </w:tcPr>
          <w:p w14:paraId="5A9964BC"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25.0</w:t>
            </w:r>
          </w:p>
        </w:tc>
        <w:tc>
          <w:tcPr>
            <w:tcW w:w="902" w:type="dxa"/>
            <w:tcBorders>
              <w:top w:val="nil"/>
              <w:left w:val="nil"/>
              <w:bottom w:val="nil"/>
              <w:right w:val="nil"/>
            </w:tcBorders>
            <w:shd w:val="clear" w:color="auto" w:fill="auto"/>
            <w:noWrap/>
            <w:vAlign w:val="bottom"/>
            <w:hideMark/>
          </w:tcPr>
          <w:p w14:paraId="49BA6C7E"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93.4</w:t>
            </w:r>
          </w:p>
        </w:tc>
        <w:tc>
          <w:tcPr>
            <w:tcW w:w="903" w:type="dxa"/>
            <w:tcBorders>
              <w:top w:val="nil"/>
              <w:left w:val="nil"/>
              <w:bottom w:val="nil"/>
              <w:right w:val="single" w:sz="4" w:space="0" w:color="auto"/>
            </w:tcBorders>
            <w:shd w:val="clear" w:color="auto" w:fill="auto"/>
            <w:noWrap/>
            <w:vAlign w:val="bottom"/>
            <w:hideMark/>
          </w:tcPr>
          <w:p w14:paraId="0FE102B5"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62.1</w:t>
            </w:r>
          </w:p>
        </w:tc>
        <w:tc>
          <w:tcPr>
            <w:tcW w:w="903" w:type="dxa"/>
            <w:tcBorders>
              <w:top w:val="nil"/>
              <w:left w:val="nil"/>
              <w:bottom w:val="nil"/>
              <w:right w:val="single" w:sz="4" w:space="0" w:color="auto"/>
            </w:tcBorders>
            <w:shd w:val="clear" w:color="auto" w:fill="auto"/>
            <w:noWrap/>
            <w:vAlign w:val="bottom"/>
            <w:hideMark/>
          </w:tcPr>
          <w:p w14:paraId="46318091"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60.2</w:t>
            </w:r>
          </w:p>
        </w:tc>
      </w:tr>
      <w:tr w:rsidR="005E3577" w:rsidRPr="005E3577" w14:paraId="54DD3602" w14:textId="77777777" w:rsidTr="005E3577">
        <w:trPr>
          <w:trHeight w:val="216"/>
          <w:jc w:val="center"/>
        </w:trPr>
        <w:tc>
          <w:tcPr>
            <w:tcW w:w="3934" w:type="dxa"/>
            <w:tcBorders>
              <w:top w:val="nil"/>
              <w:left w:val="single" w:sz="4" w:space="0" w:color="auto"/>
              <w:bottom w:val="nil"/>
              <w:right w:val="single" w:sz="4" w:space="0" w:color="auto"/>
            </w:tcBorders>
            <w:shd w:val="clear" w:color="auto" w:fill="auto"/>
            <w:noWrap/>
            <w:vAlign w:val="bottom"/>
            <w:hideMark/>
          </w:tcPr>
          <w:p w14:paraId="418A17AD" w14:textId="16967A6A" w:rsidR="005E3577" w:rsidRPr="005E3577" w:rsidRDefault="005E3577" w:rsidP="005E3577">
            <w:pPr>
              <w:keepNext/>
              <w:spacing w:after="0" w:line="240" w:lineRule="auto"/>
              <w:ind w:firstLineChars="100" w:firstLine="200"/>
              <w:rPr>
                <w:rFonts w:ascii="Calibri" w:eastAsia="Times New Roman" w:hAnsi="Calibri" w:cs="Calibri"/>
                <w:color w:val="000000"/>
                <w:sz w:val="20"/>
                <w:szCs w:val="20"/>
              </w:rPr>
            </w:pPr>
            <w:r w:rsidRPr="005E3577">
              <w:rPr>
                <w:rFonts w:ascii="Calibri" w:eastAsia="Times New Roman" w:hAnsi="Calibri" w:cs="Calibri"/>
                <w:color w:val="000000"/>
                <w:sz w:val="20"/>
                <w:szCs w:val="20"/>
              </w:rPr>
              <w:t>Other expenses</w:t>
            </w:r>
          </w:p>
        </w:tc>
        <w:tc>
          <w:tcPr>
            <w:tcW w:w="902" w:type="dxa"/>
            <w:tcBorders>
              <w:top w:val="nil"/>
              <w:left w:val="nil"/>
              <w:bottom w:val="nil"/>
              <w:right w:val="single" w:sz="4" w:space="0" w:color="auto"/>
            </w:tcBorders>
            <w:shd w:val="clear" w:color="auto" w:fill="auto"/>
            <w:noWrap/>
            <w:vAlign w:val="bottom"/>
            <w:hideMark/>
          </w:tcPr>
          <w:p w14:paraId="69BB237C"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4.1</w:t>
            </w:r>
          </w:p>
        </w:tc>
        <w:tc>
          <w:tcPr>
            <w:tcW w:w="903" w:type="dxa"/>
            <w:tcBorders>
              <w:top w:val="nil"/>
              <w:left w:val="nil"/>
              <w:bottom w:val="nil"/>
              <w:right w:val="single" w:sz="4" w:space="0" w:color="auto"/>
            </w:tcBorders>
            <w:shd w:val="clear" w:color="auto" w:fill="auto"/>
            <w:noWrap/>
            <w:vAlign w:val="bottom"/>
            <w:hideMark/>
          </w:tcPr>
          <w:p w14:paraId="4B4D2B81"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0.4</w:t>
            </w:r>
          </w:p>
        </w:tc>
        <w:tc>
          <w:tcPr>
            <w:tcW w:w="903" w:type="dxa"/>
            <w:tcBorders>
              <w:top w:val="nil"/>
              <w:left w:val="nil"/>
              <w:bottom w:val="nil"/>
              <w:right w:val="nil"/>
            </w:tcBorders>
            <w:shd w:val="clear" w:color="auto" w:fill="auto"/>
            <w:noWrap/>
            <w:vAlign w:val="bottom"/>
            <w:hideMark/>
          </w:tcPr>
          <w:p w14:paraId="6A8ADD6F"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15.1</w:t>
            </w:r>
          </w:p>
        </w:tc>
        <w:tc>
          <w:tcPr>
            <w:tcW w:w="902" w:type="dxa"/>
            <w:tcBorders>
              <w:top w:val="nil"/>
              <w:left w:val="nil"/>
              <w:bottom w:val="nil"/>
              <w:right w:val="nil"/>
            </w:tcBorders>
            <w:shd w:val="clear" w:color="auto" w:fill="auto"/>
            <w:noWrap/>
            <w:vAlign w:val="bottom"/>
            <w:hideMark/>
          </w:tcPr>
          <w:p w14:paraId="6C5DE8E7"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7.0</w:t>
            </w:r>
          </w:p>
        </w:tc>
        <w:tc>
          <w:tcPr>
            <w:tcW w:w="903" w:type="dxa"/>
            <w:tcBorders>
              <w:top w:val="nil"/>
              <w:left w:val="nil"/>
              <w:bottom w:val="nil"/>
              <w:right w:val="single" w:sz="4" w:space="0" w:color="auto"/>
            </w:tcBorders>
            <w:shd w:val="clear" w:color="auto" w:fill="auto"/>
            <w:noWrap/>
            <w:vAlign w:val="bottom"/>
            <w:hideMark/>
          </w:tcPr>
          <w:p w14:paraId="69BCD03D"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2.2</w:t>
            </w:r>
          </w:p>
        </w:tc>
        <w:tc>
          <w:tcPr>
            <w:tcW w:w="903" w:type="dxa"/>
            <w:tcBorders>
              <w:top w:val="nil"/>
              <w:left w:val="nil"/>
              <w:bottom w:val="nil"/>
              <w:right w:val="single" w:sz="4" w:space="0" w:color="auto"/>
            </w:tcBorders>
            <w:shd w:val="clear" w:color="auto" w:fill="auto"/>
            <w:noWrap/>
            <w:vAlign w:val="bottom"/>
            <w:hideMark/>
          </w:tcPr>
          <w:p w14:paraId="0B8DAAC6" w14:textId="77777777"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14.4</w:t>
            </w:r>
          </w:p>
        </w:tc>
      </w:tr>
      <w:tr w:rsidR="005E3577" w:rsidRPr="005E3577" w14:paraId="423F613C" w14:textId="77777777" w:rsidTr="005E3577">
        <w:trPr>
          <w:trHeight w:val="216"/>
          <w:jc w:val="center"/>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14:paraId="456DE0E3" w14:textId="5E64A2B2" w:rsidR="005E3577" w:rsidRPr="005E3577" w:rsidRDefault="005E3577" w:rsidP="005E3577">
            <w:pPr>
              <w:keepNext/>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Capital spending</w:t>
            </w:r>
          </w:p>
        </w:tc>
        <w:tc>
          <w:tcPr>
            <w:tcW w:w="902" w:type="dxa"/>
            <w:tcBorders>
              <w:top w:val="nil"/>
              <w:left w:val="nil"/>
              <w:bottom w:val="single" w:sz="4" w:space="0" w:color="auto"/>
              <w:right w:val="single" w:sz="4" w:space="0" w:color="auto"/>
            </w:tcBorders>
            <w:shd w:val="clear" w:color="auto" w:fill="auto"/>
            <w:noWrap/>
            <w:vAlign w:val="bottom"/>
            <w:hideMark/>
          </w:tcPr>
          <w:p w14:paraId="23594F77" w14:textId="55C26346"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9.9</w:t>
            </w:r>
          </w:p>
        </w:tc>
        <w:tc>
          <w:tcPr>
            <w:tcW w:w="903" w:type="dxa"/>
            <w:tcBorders>
              <w:top w:val="nil"/>
              <w:left w:val="nil"/>
              <w:bottom w:val="single" w:sz="4" w:space="0" w:color="auto"/>
              <w:right w:val="single" w:sz="4" w:space="0" w:color="auto"/>
            </w:tcBorders>
            <w:shd w:val="clear" w:color="auto" w:fill="auto"/>
            <w:noWrap/>
            <w:vAlign w:val="bottom"/>
            <w:hideMark/>
          </w:tcPr>
          <w:p w14:paraId="344A4A65" w14:textId="1D6761C1"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14.8</w:t>
            </w:r>
          </w:p>
        </w:tc>
        <w:tc>
          <w:tcPr>
            <w:tcW w:w="903" w:type="dxa"/>
            <w:tcBorders>
              <w:top w:val="nil"/>
              <w:left w:val="nil"/>
              <w:bottom w:val="single" w:sz="4" w:space="0" w:color="auto"/>
              <w:right w:val="nil"/>
            </w:tcBorders>
            <w:shd w:val="clear" w:color="auto" w:fill="auto"/>
            <w:noWrap/>
            <w:vAlign w:val="bottom"/>
            <w:hideMark/>
          </w:tcPr>
          <w:p w14:paraId="2114C715" w14:textId="221DDD1E"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40.6</w:t>
            </w:r>
          </w:p>
        </w:tc>
        <w:tc>
          <w:tcPr>
            <w:tcW w:w="902" w:type="dxa"/>
            <w:tcBorders>
              <w:top w:val="nil"/>
              <w:left w:val="nil"/>
              <w:bottom w:val="single" w:sz="4" w:space="0" w:color="auto"/>
              <w:right w:val="nil"/>
            </w:tcBorders>
            <w:shd w:val="clear" w:color="auto" w:fill="auto"/>
            <w:noWrap/>
            <w:vAlign w:val="bottom"/>
            <w:hideMark/>
          </w:tcPr>
          <w:p w14:paraId="3526218F" w14:textId="6EB87D9F"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44.3</w:t>
            </w:r>
          </w:p>
        </w:tc>
        <w:tc>
          <w:tcPr>
            <w:tcW w:w="903" w:type="dxa"/>
            <w:tcBorders>
              <w:top w:val="nil"/>
              <w:left w:val="nil"/>
              <w:bottom w:val="single" w:sz="4" w:space="0" w:color="auto"/>
              <w:right w:val="single" w:sz="4" w:space="0" w:color="auto"/>
            </w:tcBorders>
            <w:shd w:val="clear" w:color="auto" w:fill="auto"/>
            <w:noWrap/>
            <w:vAlign w:val="bottom"/>
            <w:hideMark/>
          </w:tcPr>
          <w:p w14:paraId="12E235E1" w14:textId="36B81FAB"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18.6</w:t>
            </w:r>
          </w:p>
        </w:tc>
        <w:tc>
          <w:tcPr>
            <w:tcW w:w="903" w:type="dxa"/>
            <w:tcBorders>
              <w:top w:val="nil"/>
              <w:left w:val="nil"/>
              <w:bottom w:val="single" w:sz="4" w:space="0" w:color="auto"/>
              <w:right w:val="single" w:sz="4" w:space="0" w:color="auto"/>
            </w:tcBorders>
            <w:shd w:val="clear" w:color="auto" w:fill="auto"/>
            <w:noWrap/>
            <w:vAlign w:val="bottom"/>
            <w:hideMark/>
          </w:tcPr>
          <w:p w14:paraId="0B39C4CB" w14:textId="50A3B3F8" w:rsidR="005E3577" w:rsidRPr="005E3577" w:rsidRDefault="005E3577" w:rsidP="005E3577">
            <w:pPr>
              <w:keepNext/>
              <w:spacing w:after="0" w:line="240" w:lineRule="auto"/>
              <w:ind w:right="122"/>
              <w:jc w:val="right"/>
              <w:rPr>
                <w:rFonts w:ascii="Calibri" w:eastAsia="Times New Roman" w:hAnsi="Calibri" w:cs="Calibri"/>
                <w:color w:val="000000"/>
                <w:sz w:val="20"/>
                <w:szCs w:val="20"/>
              </w:rPr>
            </w:pPr>
            <w:r w:rsidRPr="005E3577">
              <w:rPr>
                <w:rFonts w:ascii="Calibri" w:eastAsia="Times New Roman" w:hAnsi="Calibri" w:cs="Calibri"/>
                <w:color w:val="000000"/>
                <w:sz w:val="20"/>
                <w:szCs w:val="20"/>
              </w:rPr>
              <w:t>83.0</w:t>
            </w:r>
          </w:p>
        </w:tc>
      </w:tr>
    </w:tbl>
    <w:p w14:paraId="2216C6BD" w14:textId="1A06E90B" w:rsidR="005E3577" w:rsidRDefault="00BE2E80" w:rsidP="00D756D2">
      <w:pPr>
        <w:pStyle w:val="Source"/>
        <w:spacing w:after="0"/>
      </w:pPr>
      <w:r>
        <w:t xml:space="preserve">Sources: 2020 </w:t>
      </w:r>
      <w:r w:rsidR="006D563E">
        <w:t>outturn</w:t>
      </w:r>
      <w:r>
        <w:t xml:space="preserve"> data from </w:t>
      </w:r>
      <w:bookmarkStart w:id="50" w:name="_Hlk70252544"/>
      <w:r>
        <w:t>MOF website (mof.gov.so/fiscal)</w:t>
      </w:r>
      <w:r w:rsidR="006D563E">
        <w:t>; other data from MOF 2021</w:t>
      </w:r>
      <w:bookmarkEnd w:id="50"/>
      <w:r w:rsidR="006D563E">
        <w:t xml:space="preserve"> budget documents.</w:t>
      </w:r>
    </w:p>
    <w:p w14:paraId="41358B46" w14:textId="1626F8B5" w:rsidR="00C577C8" w:rsidRPr="00D756D2" w:rsidRDefault="00C577C8" w:rsidP="00D756D2">
      <w:pPr>
        <w:pStyle w:val="Source"/>
      </w:pPr>
      <w:r w:rsidRPr="00D756D2">
        <w:t>Notes: Budget support above excludes disbursements from the</w:t>
      </w:r>
      <w:r w:rsidR="00D756D2">
        <w:t xml:space="preserve"> World Bank’s</w:t>
      </w:r>
      <w:r w:rsidRPr="00D756D2">
        <w:t xml:space="preserve"> Recurrent Cost and Reform Financing</w:t>
      </w:r>
      <w:r w:rsidR="00D756D2">
        <w:t xml:space="preserve"> Investment Project</w:t>
      </w:r>
      <w:r w:rsidRPr="00D756D2">
        <w:t>, which are shown as budget support in MOF tables.</w:t>
      </w:r>
    </w:p>
    <w:p w14:paraId="5327FFBA" w14:textId="5B1DA1D9" w:rsidR="00C827D2" w:rsidRPr="003C59C6" w:rsidRDefault="00C827D2" w:rsidP="005F1975">
      <w:pPr>
        <w:pStyle w:val="Heading3"/>
        <w:spacing w:before="120" w:after="120"/>
      </w:pPr>
      <w:bookmarkStart w:id="51" w:name="_Toc71574629"/>
      <w:bookmarkStart w:id="52" w:name="_Toc71574804"/>
      <w:bookmarkStart w:id="53" w:name="_Toc71617928"/>
      <w:bookmarkStart w:id="54" w:name="_Toc71618663"/>
      <w:bookmarkStart w:id="55" w:name="_Toc71725889"/>
      <w:r w:rsidRPr="003C59C6">
        <w:lastRenderedPageBreak/>
        <w:t>Domestic revenue collection contracted but higher grants cushioned fiscal operations</w:t>
      </w:r>
      <w:bookmarkEnd w:id="51"/>
      <w:bookmarkEnd w:id="52"/>
      <w:bookmarkEnd w:id="53"/>
      <w:bookmarkEnd w:id="54"/>
      <w:bookmarkEnd w:id="55"/>
      <w:r w:rsidRPr="003C59C6">
        <w:t xml:space="preserve"> </w:t>
      </w:r>
    </w:p>
    <w:p w14:paraId="2B5349A8" w14:textId="22436AE5" w:rsidR="001E585F" w:rsidRDefault="00C827D2" w:rsidP="003C59C6">
      <w:pPr>
        <w:spacing w:after="120" w:line="276" w:lineRule="auto"/>
        <w:jc w:val="both"/>
        <w:rPr>
          <w:rFonts w:ascii="Calibri" w:eastAsia="Times New Roman" w:hAnsi="Calibri" w:cs="Calibri"/>
          <w:bCs/>
        </w:rPr>
      </w:pPr>
      <w:r w:rsidRPr="000068C5">
        <w:rPr>
          <w:rFonts w:ascii="Calibri" w:eastAsia="Times New Roman" w:hAnsi="Calibri" w:cs="Calibri"/>
          <w:b/>
        </w:rPr>
        <w:t>FGS domestic revenue collection surpassed the revised target</w:t>
      </w:r>
      <w:r>
        <w:rPr>
          <w:rFonts w:ascii="Calibri" w:eastAsia="Times New Roman" w:hAnsi="Calibri" w:cs="Calibri"/>
          <w:b/>
        </w:rPr>
        <w:t xml:space="preserve"> but</w:t>
      </w:r>
      <w:r w:rsidRPr="000068C5">
        <w:rPr>
          <w:rFonts w:ascii="Calibri" w:eastAsia="Times New Roman" w:hAnsi="Calibri" w:cs="Calibri"/>
          <w:b/>
        </w:rPr>
        <w:t xml:space="preserve"> </w:t>
      </w:r>
      <w:r>
        <w:rPr>
          <w:rFonts w:ascii="Calibri" w:eastAsia="Times New Roman" w:hAnsi="Calibri" w:cs="Calibri"/>
          <w:b/>
        </w:rPr>
        <w:t xml:space="preserve">was </w:t>
      </w:r>
      <w:r w:rsidRPr="000068C5">
        <w:rPr>
          <w:rFonts w:ascii="Calibri" w:eastAsia="Times New Roman" w:hAnsi="Calibri" w:cs="Calibri"/>
          <w:b/>
        </w:rPr>
        <w:t>lower than the previous year</w:t>
      </w:r>
      <w:r w:rsidR="005615DF">
        <w:rPr>
          <w:rFonts w:ascii="Calibri" w:eastAsia="Times New Roman" w:hAnsi="Calibri" w:cs="Calibri"/>
          <w:b/>
        </w:rPr>
        <w:t>’s</w:t>
      </w:r>
      <w:r w:rsidRPr="000068C5">
        <w:rPr>
          <w:rFonts w:ascii="Calibri" w:eastAsia="Times New Roman" w:hAnsi="Calibri" w:cs="Calibri"/>
          <w:b/>
        </w:rPr>
        <w:t xml:space="preserve"> outturn.</w:t>
      </w:r>
      <w:r w:rsidR="005A3647">
        <w:rPr>
          <w:rFonts w:ascii="Calibri" w:eastAsia="Times New Roman" w:hAnsi="Calibri" w:cs="Calibri"/>
          <w:b/>
        </w:rPr>
        <w:t xml:space="preserve"> </w:t>
      </w:r>
      <w:r>
        <w:rPr>
          <w:rFonts w:ascii="Calibri" w:eastAsia="Times New Roman" w:hAnsi="Calibri" w:cs="Calibri"/>
          <w:bCs/>
        </w:rPr>
        <w:t xml:space="preserve">COVID-19 containment measures led to </w:t>
      </w:r>
      <w:r w:rsidRPr="00425814">
        <w:rPr>
          <w:rFonts w:ascii="Calibri" w:eastAsia="Times New Roman" w:hAnsi="Calibri" w:cs="Calibri"/>
          <w:bCs/>
        </w:rPr>
        <w:t xml:space="preserve">revenue shortfall </w:t>
      </w:r>
      <w:r>
        <w:rPr>
          <w:rFonts w:ascii="Calibri" w:eastAsia="Times New Roman" w:hAnsi="Calibri" w:cs="Calibri"/>
          <w:bCs/>
        </w:rPr>
        <w:t xml:space="preserve">across all streams except income and </w:t>
      </w:r>
      <w:r w:rsidR="005615DF">
        <w:rPr>
          <w:rFonts w:ascii="Calibri" w:eastAsia="Times New Roman" w:hAnsi="Calibri" w:cs="Calibri"/>
          <w:bCs/>
        </w:rPr>
        <w:t>profits</w:t>
      </w:r>
      <w:r>
        <w:rPr>
          <w:rFonts w:ascii="Calibri" w:eastAsia="Times New Roman" w:hAnsi="Calibri" w:cs="Calibri"/>
          <w:bCs/>
        </w:rPr>
        <w:t xml:space="preserve"> taxes</w:t>
      </w:r>
      <w:r w:rsidR="002C32BB">
        <w:rPr>
          <w:rFonts w:ascii="Calibri" w:eastAsia="Times New Roman" w:hAnsi="Calibri" w:cs="Calibri"/>
          <w:bCs/>
        </w:rPr>
        <w:t>,</w:t>
      </w:r>
      <w:r>
        <w:rPr>
          <w:rFonts w:ascii="Calibri" w:eastAsia="Times New Roman" w:hAnsi="Calibri" w:cs="Calibri"/>
          <w:bCs/>
        </w:rPr>
        <w:t xml:space="preserve"> which grew by 38 percent albeit from a small base (</w:t>
      </w:r>
      <w:r w:rsidR="00C7631D">
        <w:rPr>
          <w:rFonts w:ascii="Calibri" w:eastAsia="Times New Roman" w:hAnsi="Calibri" w:cs="Calibri"/>
          <w:bCs/>
        </w:rPr>
        <w:fldChar w:fldCharType="begin"/>
      </w:r>
      <w:r w:rsidR="00C7631D">
        <w:rPr>
          <w:rFonts w:ascii="Calibri" w:eastAsia="Times New Roman" w:hAnsi="Calibri" w:cs="Calibri"/>
          <w:bCs/>
        </w:rPr>
        <w:instrText xml:space="preserve"> REF _Ref70952377 \h </w:instrText>
      </w:r>
      <w:r w:rsidR="00C7631D">
        <w:rPr>
          <w:rFonts w:ascii="Calibri" w:eastAsia="Times New Roman" w:hAnsi="Calibri" w:cs="Calibri"/>
          <w:bCs/>
        </w:rPr>
      </w:r>
      <w:r w:rsidR="00C7631D">
        <w:rPr>
          <w:rFonts w:ascii="Calibri" w:eastAsia="Times New Roman" w:hAnsi="Calibri" w:cs="Calibri"/>
          <w:bCs/>
        </w:rPr>
        <w:fldChar w:fldCharType="separate"/>
      </w:r>
      <w:r w:rsidR="005A19B4">
        <w:t xml:space="preserve">Figure </w:t>
      </w:r>
      <w:r w:rsidR="005A19B4">
        <w:rPr>
          <w:noProof/>
        </w:rPr>
        <w:t>15</w:t>
      </w:r>
      <w:r w:rsidR="00C7631D">
        <w:rPr>
          <w:rFonts w:ascii="Calibri" w:eastAsia="Times New Roman" w:hAnsi="Calibri" w:cs="Calibri"/>
          <w:bCs/>
        </w:rPr>
        <w:fldChar w:fldCharType="end"/>
      </w:r>
      <w:r w:rsidR="002C32BB">
        <w:rPr>
          <w:rFonts w:ascii="Calibri" w:eastAsia="Times New Roman" w:hAnsi="Calibri" w:cs="Calibri"/>
          <w:bCs/>
        </w:rPr>
        <w:fldChar w:fldCharType="begin"/>
      </w:r>
      <w:r w:rsidR="002C32BB">
        <w:rPr>
          <w:rFonts w:ascii="Calibri" w:eastAsia="Times New Roman" w:hAnsi="Calibri" w:cs="Calibri"/>
          <w:bCs/>
        </w:rPr>
        <w:instrText xml:space="preserve"> REF _Ref70952377 \h </w:instrText>
      </w:r>
      <w:r w:rsidR="002C32BB">
        <w:rPr>
          <w:rFonts w:ascii="Calibri" w:eastAsia="Times New Roman" w:hAnsi="Calibri" w:cs="Calibri"/>
          <w:bCs/>
        </w:rPr>
      </w:r>
      <w:r w:rsidR="002C32BB">
        <w:rPr>
          <w:rFonts w:ascii="Calibri" w:eastAsia="Times New Roman" w:hAnsi="Calibri" w:cs="Calibri"/>
          <w:bCs/>
        </w:rPr>
        <w:fldChar w:fldCharType="end"/>
      </w:r>
      <w:r>
        <w:rPr>
          <w:rFonts w:ascii="Calibri" w:eastAsia="Times New Roman" w:hAnsi="Calibri" w:cs="Calibri"/>
          <w:bCs/>
        </w:rPr>
        <w:t xml:space="preserve">a). </w:t>
      </w:r>
      <w:r w:rsidR="005A3647">
        <w:rPr>
          <w:rFonts w:ascii="Calibri" w:eastAsia="Times New Roman" w:hAnsi="Calibri" w:cs="Calibri"/>
          <w:bCs/>
        </w:rPr>
        <w:t xml:space="preserve">Tax revenue exceeded the target in the revised budget by 29 percent and non-tax revenue (licenses, fees, and other charges) by 19 percent, but they fell short of actual collection in 2019 by 6 and 4 percent, respectively. </w:t>
      </w:r>
      <w:r w:rsidRPr="00872305">
        <w:rPr>
          <w:rFonts w:ascii="Calibri" w:eastAsia="Times New Roman" w:hAnsi="Calibri" w:cs="Calibri"/>
          <w:bCs/>
        </w:rPr>
        <w:t xml:space="preserve">The </w:t>
      </w:r>
      <w:r w:rsidR="002C32BB">
        <w:rPr>
          <w:rFonts w:ascii="Calibri" w:eastAsia="Times New Roman" w:hAnsi="Calibri" w:cs="Calibri"/>
          <w:bCs/>
        </w:rPr>
        <w:t>five</w:t>
      </w:r>
      <w:r w:rsidRPr="00872305">
        <w:rPr>
          <w:rFonts w:ascii="Calibri" w:eastAsia="Times New Roman" w:hAnsi="Calibri" w:cs="Calibri"/>
          <w:bCs/>
        </w:rPr>
        <w:t>-month airport closure halted the legal importation of khat from neighboring Kenya and Ethiopia</w:t>
      </w:r>
      <w:r w:rsidR="005615DF">
        <w:rPr>
          <w:rFonts w:ascii="Calibri" w:eastAsia="Times New Roman" w:hAnsi="Calibri" w:cs="Calibri"/>
          <w:bCs/>
        </w:rPr>
        <w:t xml:space="preserve"> accounted for </w:t>
      </w:r>
      <w:r w:rsidR="001E585F">
        <w:rPr>
          <w:rFonts w:ascii="Calibri" w:eastAsia="Times New Roman" w:hAnsi="Calibri" w:cs="Calibri"/>
          <w:bCs/>
        </w:rPr>
        <w:t>a</w:t>
      </w:r>
      <w:r w:rsidR="005615DF">
        <w:rPr>
          <w:rFonts w:ascii="Calibri" w:eastAsia="Times New Roman" w:hAnsi="Calibri" w:cs="Calibri"/>
          <w:bCs/>
        </w:rPr>
        <w:t xml:space="preserve">round 85 percent of the </w:t>
      </w:r>
      <w:r w:rsidR="001E585F">
        <w:rPr>
          <w:rFonts w:ascii="Calibri" w:eastAsia="Times New Roman" w:hAnsi="Calibri" w:cs="Calibri"/>
          <w:bCs/>
        </w:rPr>
        <w:t>drop</w:t>
      </w:r>
      <w:r w:rsidR="005615DF">
        <w:rPr>
          <w:rFonts w:ascii="Calibri" w:eastAsia="Times New Roman" w:hAnsi="Calibri" w:cs="Calibri"/>
          <w:bCs/>
        </w:rPr>
        <w:t xml:space="preserve"> in domestic revenue collection</w:t>
      </w:r>
      <w:r w:rsidR="001E585F">
        <w:rPr>
          <w:rFonts w:ascii="Calibri" w:eastAsia="Times New Roman" w:hAnsi="Calibri" w:cs="Calibri"/>
          <w:bCs/>
        </w:rPr>
        <w:t xml:space="preserve"> in 2020</w:t>
      </w:r>
      <w:r w:rsidR="00E87FCA">
        <w:rPr>
          <w:rFonts w:ascii="Calibri" w:eastAsia="Times New Roman" w:hAnsi="Calibri" w:cs="Calibri"/>
          <w:bCs/>
        </w:rPr>
        <w:t xml:space="preserve">. Revenue </w:t>
      </w:r>
      <w:r w:rsidRPr="00872305">
        <w:rPr>
          <w:rFonts w:ascii="Calibri" w:eastAsia="Times New Roman" w:hAnsi="Calibri" w:cs="Calibri"/>
          <w:bCs/>
        </w:rPr>
        <w:t xml:space="preserve">from </w:t>
      </w:r>
      <w:r w:rsidR="001E585F">
        <w:rPr>
          <w:rFonts w:ascii="Calibri" w:eastAsia="Times New Roman" w:hAnsi="Calibri" w:cs="Calibri"/>
          <w:bCs/>
        </w:rPr>
        <w:t>the import tax on khat</w:t>
      </w:r>
      <w:r w:rsidRPr="00872305">
        <w:rPr>
          <w:rFonts w:ascii="Calibri" w:eastAsia="Times New Roman" w:hAnsi="Calibri" w:cs="Calibri"/>
          <w:bCs/>
        </w:rPr>
        <w:t xml:space="preserve"> declin</w:t>
      </w:r>
      <w:r w:rsidR="00E87FCA">
        <w:rPr>
          <w:rFonts w:ascii="Calibri" w:eastAsia="Times New Roman" w:hAnsi="Calibri" w:cs="Calibri"/>
          <w:bCs/>
        </w:rPr>
        <w:t>e</w:t>
      </w:r>
      <w:r w:rsidR="005615DF">
        <w:rPr>
          <w:rFonts w:ascii="Calibri" w:eastAsia="Times New Roman" w:hAnsi="Calibri" w:cs="Calibri"/>
          <w:bCs/>
        </w:rPr>
        <w:t>d</w:t>
      </w:r>
      <w:r w:rsidRPr="00872305">
        <w:rPr>
          <w:rFonts w:ascii="Calibri" w:eastAsia="Times New Roman" w:hAnsi="Calibri" w:cs="Calibri"/>
          <w:bCs/>
        </w:rPr>
        <w:t xml:space="preserve"> by </w:t>
      </w:r>
      <w:r>
        <w:rPr>
          <w:rFonts w:ascii="Calibri" w:eastAsia="Times New Roman" w:hAnsi="Calibri" w:cs="Calibri"/>
          <w:bCs/>
        </w:rPr>
        <w:t>67</w:t>
      </w:r>
      <w:r w:rsidRPr="00872305">
        <w:rPr>
          <w:rFonts w:ascii="Calibri" w:eastAsia="Times New Roman" w:hAnsi="Calibri" w:cs="Calibri"/>
          <w:bCs/>
        </w:rPr>
        <w:t xml:space="preserve"> percent compared to</w:t>
      </w:r>
      <w:r w:rsidR="00E87FCA">
        <w:rPr>
          <w:rFonts w:ascii="Calibri" w:eastAsia="Times New Roman" w:hAnsi="Calibri" w:cs="Calibri"/>
          <w:bCs/>
        </w:rPr>
        <w:t xml:space="preserve"> 2019</w:t>
      </w:r>
      <w:r w:rsidR="001E585F">
        <w:rPr>
          <w:rFonts w:ascii="Calibri" w:eastAsia="Times New Roman" w:hAnsi="Calibri" w:cs="Calibri"/>
          <w:bCs/>
        </w:rPr>
        <w:t>,</w:t>
      </w:r>
      <w:r w:rsidR="00E87FCA">
        <w:rPr>
          <w:rFonts w:ascii="Calibri" w:eastAsia="Times New Roman" w:hAnsi="Calibri" w:cs="Calibri"/>
          <w:bCs/>
        </w:rPr>
        <w:t xml:space="preserve"> as</w:t>
      </w:r>
      <w:r>
        <w:rPr>
          <w:rFonts w:ascii="Calibri" w:eastAsia="Times New Roman" w:hAnsi="Calibri" w:cs="Calibri"/>
          <w:bCs/>
        </w:rPr>
        <w:t xml:space="preserve"> there was no revenue collection from importation of khat in both quarter 2 and 3, and quarter 4 recorded only a dismal collection</w:t>
      </w:r>
      <w:r w:rsidR="00E87FCA">
        <w:rPr>
          <w:rFonts w:ascii="Calibri" w:eastAsia="Times New Roman" w:hAnsi="Calibri" w:cs="Calibri"/>
          <w:bCs/>
        </w:rPr>
        <w:t>—</w:t>
      </w:r>
      <w:r>
        <w:rPr>
          <w:rFonts w:ascii="Calibri" w:eastAsia="Times New Roman" w:hAnsi="Calibri" w:cs="Calibri"/>
          <w:bCs/>
        </w:rPr>
        <w:t xml:space="preserve">12 percent of US$5.6 million collected in the same period in 2019. </w:t>
      </w:r>
      <w:r w:rsidR="005A3647">
        <w:rPr>
          <w:rFonts w:ascii="Calibri" w:eastAsia="Times New Roman" w:hAnsi="Calibri" w:cs="Calibri"/>
          <w:bCs/>
        </w:rPr>
        <w:t xml:space="preserve">Telecommunications spectrum fees also severely underperformed in 2020. </w:t>
      </w:r>
      <w:r w:rsidR="00964134">
        <w:rPr>
          <w:rFonts w:ascii="Calibri" w:eastAsia="Times New Roman" w:hAnsi="Calibri" w:cs="Calibri"/>
          <w:bCs/>
        </w:rPr>
        <w:t>Due to challenges in introducing the new universal communications licensing framework, the FGS collected only $1.7 million in spectrum fees in 2020—only 20 percent of what it collected in 2018 and 14 percent of the 2020 target.</w:t>
      </w:r>
      <w:r w:rsidR="0061756A">
        <w:rPr>
          <w:rFonts w:ascii="Calibri" w:eastAsia="Times New Roman" w:hAnsi="Calibri" w:cs="Calibri"/>
          <w:bCs/>
        </w:rPr>
        <w:t xml:space="preserve"> Partially offsetting these declines, increased revenue from customs duties on petroleum imports and higher income from the port concession and overflight fees collectively generated US$9.9 million in 2020 than in 2019.</w:t>
      </w:r>
    </w:p>
    <w:p w14:paraId="1F73C04A" w14:textId="7A94FA94" w:rsidR="00C827D2" w:rsidRDefault="00C827D2" w:rsidP="00750C31">
      <w:pPr>
        <w:pStyle w:val="Caption"/>
      </w:pPr>
      <w:bookmarkStart w:id="56" w:name="_Ref70952377"/>
      <w:bookmarkStart w:id="57" w:name="_Toc71725933"/>
      <w:r>
        <w:t xml:space="preserve">Figure </w:t>
      </w:r>
      <w:fldSimple w:instr=" SEQ Figure \* ARABIC ">
        <w:r w:rsidR="005A19B4">
          <w:rPr>
            <w:noProof/>
          </w:rPr>
          <w:t>15</w:t>
        </w:r>
      </w:fldSimple>
      <w:bookmarkEnd w:id="56"/>
      <w:r>
        <w:t xml:space="preserve">: </w:t>
      </w:r>
      <w:r w:rsidRPr="005B70C8">
        <w:t>COVID-19 containment measures dampened revenue collection, but grants eased the pressure</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6606C" w:rsidRPr="0080519E" w14:paraId="48579EC6" w14:textId="77777777" w:rsidTr="00E11E84">
        <w:tc>
          <w:tcPr>
            <w:tcW w:w="4896" w:type="dxa"/>
            <w:tcMar>
              <w:left w:w="0" w:type="dxa"/>
              <w:right w:w="0" w:type="dxa"/>
            </w:tcMar>
          </w:tcPr>
          <w:p w14:paraId="78C20628" w14:textId="45A80103" w:rsidR="0096606C" w:rsidRPr="001E09E9" w:rsidRDefault="000911C3" w:rsidP="00750C31">
            <w:pPr>
              <w:pStyle w:val="basefont"/>
              <w:keepNext/>
              <w:jc w:val="center"/>
              <w:rPr>
                <w:noProof/>
                <w:sz w:val="20"/>
                <w:szCs w:val="20"/>
              </w:rPr>
            </w:pPr>
            <w:r w:rsidRPr="001E09E9">
              <w:rPr>
                <w:noProof/>
                <w:sz w:val="20"/>
                <w:szCs w:val="20"/>
              </w:rPr>
              <w:t>a</w:t>
            </w:r>
            <w:r w:rsidR="00750C31" w:rsidRPr="001E09E9">
              <w:rPr>
                <w:noProof/>
                <w:sz w:val="20"/>
                <w:szCs w:val="20"/>
              </w:rPr>
              <w:t>. 2020 revenue variance</w:t>
            </w:r>
          </w:p>
        </w:tc>
        <w:tc>
          <w:tcPr>
            <w:tcW w:w="4464" w:type="dxa"/>
            <w:tcMar>
              <w:left w:w="0" w:type="dxa"/>
              <w:right w:w="0" w:type="dxa"/>
            </w:tcMar>
          </w:tcPr>
          <w:p w14:paraId="46731774" w14:textId="593BA8CE" w:rsidR="0096606C" w:rsidRPr="001E09E9" w:rsidRDefault="000911C3" w:rsidP="00750C31">
            <w:pPr>
              <w:pStyle w:val="basefont"/>
              <w:keepNext/>
              <w:jc w:val="center"/>
              <w:rPr>
                <w:noProof/>
                <w:sz w:val="20"/>
                <w:szCs w:val="20"/>
              </w:rPr>
            </w:pPr>
            <w:r w:rsidRPr="001E09E9">
              <w:rPr>
                <w:noProof/>
                <w:sz w:val="20"/>
                <w:szCs w:val="20"/>
              </w:rPr>
              <w:t>b</w:t>
            </w:r>
            <w:r w:rsidR="00750C31" w:rsidRPr="001E09E9">
              <w:rPr>
                <w:noProof/>
                <w:sz w:val="20"/>
                <w:szCs w:val="20"/>
              </w:rPr>
              <w:t>. Sources of FGS revenue, 2018–2</w:t>
            </w:r>
            <w:r w:rsidR="00E11E84" w:rsidRPr="001E09E9">
              <w:rPr>
                <w:noProof/>
                <w:sz w:val="20"/>
                <w:szCs w:val="20"/>
              </w:rPr>
              <w:t>0</w:t>
            </w:r>
          </w:p>
        </w:tc>
      </w:tr>
      <w:tr w:rsidR="0096606C" w14:paraId="39B8DB97" w14:textId="77777777" w:rsidTr="00E11E84">
        <w:tc>
          <w:tcPr>
            <w:tcW w:w="4896" w:type="dxa"/>
          </w:tcPr>
          <w:p w14:paraId="6472DF67" w14:textId="620B61D2" w:rsidR="0096606C" w:rsidRDefault="0096606C" w:rsidP="00750C31">
            <w:pPr>
              <w:pStyle w:val="basefont"/>
              <w:keepNext/>
              <w:rPr>
                <w:noProof/>
              </w:rPr>
            </w:pPr>
            <w:r>
              <w:rPr>
                <w:noProof/>
              </w:rPr>
              <w:drawing>
                <wp:inline distT="0" distB="0" distL="0" distR="0" wp14:anchorId="69B4B1F8" wp14:editId="7F4A3A6C">
                  <wp:extent cx="2971800" cy="1828800"/>
                  <wp:effectExtent l="0" t="0" r="0" b="0"/>
                  <wp:docPr id="14" name="Chart 14">
                    <a:extLst xmlns:a="http://schemas.openxmlformats.org/drawingml/2006/main">
                      <a:ext uri="{FF2B5EF4-FFF2-40B4-BE49-F238E27FC236}">
                        <a16:creationId xmlns:a16="http://schemas.microsoft.com/office/drawing/2014/main" id="{DEFD7A43-A8E9-4FB2-BB6F-4A979A4EA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464" w:type="dxa"/>
          </w:tcPr>
          <w:p w14:paraId="25F16B94" w14:textId="6B18D75E" w:rsidR="0096606C" w:rsidRDefault="00E11E84" w:rsidP="00750C31">
            <w:pPr>
              <w:pStyle w:val="basefont"/>
              <w:keepNext/>
              <w:rPr>
                <w:noProof/>
              </w:rPr>
            </w:pPr>
            <w:r>
              <w:rPr>
                <w:noProof/>
              </w:rPr>
              <w:drawing>
                <wp:inline distT="0" distB="0" distL="0" distR="0" wp14:anchorId="330B200B" wp14:editId="0C406058">
                  <wp:extent cx="2971800" cy="1828800"/>
                  <wp:effectExtent l="0" t="0" r="0" b="0"/>
                  <wp:docPr id="16" name="Chart 16">
                    <a:extLst xmlns:a="http://schemas.openxmlformats.org/drawingml/2006/main">
                      <a:ext uri="{FF2B5EF4-FFF2-40B4-BE49-F238E27FC236}">
                        <a16:creationId xmlns:a16="http://schemas.microsoft.com/office/drawing/2014/main" id="{8A533FA0-03C6-4A42-939B-D2600D248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38A6401" w14:textId="4DC89851" w:rsidR="00C827D2" w:rsidRPr="005615DF" w:rsidRDefault="00C827D2" w:rsidP="00D756D2">
      <w:pPr>
        <w:pStyle w:val="Source"/>
      </w:pPr>
      <w:r w:rsidRPr="005615DF">
        <w:t>Source: FGS M</w:t>
      </w:r>
      <w:r w:rsidR="00750C31">
        <w:t>O</w:t>
      </w:r>
      <w:r w:rsidRPr="005615DF">
        <w:t>F, 2020</w:t>
      </w:r>
    </w:p>
    <w:p w14:paraId="7F567CAD" w14:textId="05A19DF3" w:rsidR="0061756A" w:rsidRDefault="0061756A" w:rsidP="0061756A">
      <w:pPr>
        <w:spacing w:before="120" w:after="120" w:line="276" w:lineRule="auto"/>
        <w:jc w:val="both"/>
        <w:rPr>
          <w:rFonts w:ascii="Calibri" w:eastAsia="Times New Roman" w:hAnsi="Calibri" w:cs="Calibri"/>
          <w:bCs/>
        </w:rPr>
      </w:pPr>
      <w:r>
        <w:rPr>
          <w:rFonts w:ascii="Calibri" w:eastAsia="Times New Roman" w:hAnsi="Calibri" w:cs="Calibri"/>
          <w:b/>
        </w:rPr>
        <w:t>Increased d</w:t>
      </w:r>
      <w:r w:rsidRPr="00872305">
        <w:rPr>
          <w:rFonts w:ascii="Calibri" w:eastAsia="Times New Roman" w:hAnsi="Calibri" w:cs="Calibri"/>
          <w:b/>
        </w:rPr>
        <w:t>onor grants</w:t>
      </w:r>
      <w:r>
        <w:rPr>
          <w:rFonts w:ascii="Calibri" w:eastAsia="Times New Roman" w:hAnsi="Calibri" w:cs="Calibri"/>
          <w:b/>
        </w:rPr>
        <w:t xml:space="preserve"> supported the country’s response to the </w:t>
      </w:r>
      <w:r w:rsidRPr="00CC3663">
        <w:rPr>
          <w:rFonts w:ascii="Calibri" w:eastAsia="Times New Roman" w:hAnsi="Calibri" w:cs="Calibri"/>
          <w:b/>
        </w:rPr>
        <w:t xml:space="preserve">triple crisis and </w:t>
      </w:r>
      <w:r w:rsidR="00CF3CEE" w:rsidRPr="00CC3663">
        <w:rPr>
          <w:rFonts w:ascii="Calibri" w:eastAsia="Times New Roman" w:hAnsi="Calibri" w:cs="Calibri"/>
          <w:b/>
        </w:rPr>
        <w:t>partially mitigated the</w:t>
      </w:r>
      <w:r w:rsidRPr="00CC3663">
        <w:rPr>
          <w:rFonts w:ascii="Calibri" w:eastAsia="Times New Roman" w:hAnsi="Calibri" w:cs="Calibri"/>
          <w:b/>
        </w:rPr>
        <w:t xml:space="preserve"> drop in domestic revenue</w:t>
      </w:r>
      <w:r w:rsidRPr="00CC3663">
        <w:rPr>
          <w:rFonts w:ascii="Calibri" w:eastAsia="Times New Roman" w:hAnsi="Calibri" w:cs="Calibri"/>
          <w:bCs/>
        </w:rPr>
        <w:t xml:space="preserve"> (</w:t>
      </w:r>
      <w:r w:rsidR="00C7631D" w:rsidRPr="00CC3663">
        <w:rPr>
          <w:rFonts w:ascii="Calibri" w:eastAsia="Times New Roman" w:hAnsi="Calibri" w:cs="Calibri"/>
          <w:bCs/>
        </w:rPr>
        <w:fldChar w:fldCharType="begin"/>
      </w:r>
      <w:r w:rsidR="00C7631D" w:rsidRPr="00CC3663">
        <w:rPr>
          <w:rFonts w:ascii="Calibri" w:eastAsia="Times New Roman" w:hAnsi="Calibri" w:cs="Calibri"/>
          <w:bCs/>
        </w:rPr>
        <w:instrText xml:space="preserve"> REF _Ref70952377 \h </w:instrText>
      </w:r>
      <w:r w:rsidR="00CC3663">
        <w:rPr>
          <w:rFonts w:ascii="Calibri" w:eastAsia="Times New Roman" w:hAnsi="Calibri" w:cs="Calibri"/>
          <w:bCs/>
        </w:rPr>
        <w:instrText xml:space="preserve"> \* MERGEFORMAT </w:instrText>
      </w:r>
      <w:r w:rsidR="00C7631D" w:rsidRPr="00CC3663">
        <w:rPr>
          <w:rFonts w:ascii="Calibri" w:eastAsia="Times New Roman" w:hAnsi="Calibri" w:cs="Calibri"/>
          <w:bCs/>
        </w:rPr>
      </w:r>
      <w:r w:rsidR="00C7631D" w:rsidRPr="00CC3663">
        <w:rPr>
          <w:rFonts w:ascii="Calibri" w:eastAsia="Times New Roman" w:hAnsi="Calibri" w:cs="Calibri"/>
          <w:bCs/>
        </w:rPr>
        <w:fldChar w:fldCharType="separate"/>
      </w:r>
      <w:r w:rsidR="005A19B4">
        <w:t xml:space="preserve">Figure </w:t>
      </w:r>
      <w:r w:rsidR="005A19B4">
        <w:rPr>
          <w:noProof/>
        </w:rPr>
        <w:t>15</w:t>
      </w:r>
      <w:r w:rsidR="00C7631D" w:rsidRPr="00CC3663">
        <w:rPr>
          <w:rFonts w:ascii="Calibri" w:eastAsia="Times New Roman" w:hAnsi="Calibri" w:cs="Calibri"/>
          <w:bCs/>
        </w:rPr>
        <w:fldChar w:fldCharType="end"/>
      </w:r>
      <w:r w:rsidRPr="00CC3663">
        <w:rPr>
          <w:rFonts w:ascii="Calibri" w:eastAsia="Times New Roman" w:hAnsi="Calibri" w:cs="Calibri"/>
          <w:bCs/>
        </w:rPr>
        <w:t>b).</w:t>
      </w:r>
      <w:r w:rsidRPr="00CC3663">
        <w:rPr>
          <w:rFonts w:ascii="Calibri" w:eastAsia="Times New Roman" w:hAnsi="Calibri" w:cs="Calibri"/>
          <w:b/>
        </w:rPr>
        <w:t xml:space="preserve"> </w:t>
      </w:r>
      <w:r w:rsidRPr="00CC3663">
        <w:rPr>
          <w:rFonts w:ascii="Calibri" w:eastAsia="Times New Roman" w:hAnsi="Calibri" w:cs="Calibri"/>
          <w:bCs/>
        </w:rPr>
        <w:t>Total donor disbursements</w:t>
      </w:r>
      <w:r w:rsidR="001E06B6" w:rsidRPr="00CC3663">
        <w:rPr>
          <w:rFonts w:ascii="Calibri" w:eastAsia="Times New Roman" w:hAnsi="Calibri" w:cs="Calibri"/>
          <w:bCs/>
        </w:rPr>
        <w:t xml:space="preserve"> almost tripled, </w:t>
      </w:r>
      <w:r w:rsidRPr="00CC3663">
        <w:rPr>
          <w:rFonts w:ascii="Calibri" w:eastAsia="Times New Roman" w:hAnsi="Calibri" w:cs="Calibri"/>
          <w:bCs/>
        </w:rPr>
        <w:t>increas</w:t>
      </w:r>
      <w:r w:rsidR="001E06B6" w:rsidRPr="00CC3663">
        <w:rPr>
          <w:rFonts w:ascii="Calibri" w:eastAsia="Times New Roman" w:hAnsi="Calibri" w:cs="Calibri"/>
          <w:bCs/>
        </w:rPr>
        <w:t>ing</w:t>
      </w:r>
      <w:r w:rsidRPr="00CC3663">
        <w:rPr>
          <w:rFonts w:ascii="Calibri" w:eastAsia="Times New Roman" w:hAnsi="Calibri" w:cs="Calibri"/>
          <w:bCs/>
        </w:rPr>
        <w:t xml:space="preserve"> </w:t>
      </w:r>
      <w:r w:rsidRPr="00CC3663">
        <w:rPr>
          <w:rFonts w:ascii="Calibri" w:eastAsia="Times New Roman" w:hAnsi="Calibri" w:cs="Calibri"/>
          <w:bCs/>
          <w:shd w:val="clear" w:color="auto" w:fill="FFFFFF" w:themeFill="background1"/>
        </w:rPr>
        <w:t>by 3.</w:t>
      </w:r>
      <w:r w:rsidR="00367563" w:rsidRPr="00CC3663">
        <w:rPr>
          <w:rFonts w:ascii="Calibri" w:eastAsia="Times New Roman" w:hAnsi="Calibri" w:cs="Calibri"/>
          <w:bCs/>
          <w:shd w:val="clear" w:color="auto" w:fill="FFFFFF" w:themeFill="background1"/>
        </w:rPr>
        <w:t>7</w:t>
      </w:r>
      <w:r w:rsidRPr="00CC3663">
        <w:rPr>
          <w:rFonts w:ascii="Calibri" w:eastAsia="Times New Roman" w:hAnsi="Calibri" w:cs="Calibri"/>
          <w:bCs/>
          <w:shd w:val="clear" w:color="auto" w:fill="FFFFFF" w:themeFill="background1"/>
        </w:rPr>
        <w:t xml:space="preserve"> percentage points in 2020 to reach 5.</w:t>
      </w:r>
      <w:r w:rsidR="001F2277" w:rsidRPr="00CC3663">
        <w:rPr>
          <w:rFonts w:ascii="Calibri" w:eastAsia="Times New Roman" w:hAnsi="Calibri" w:cs="Calibri"/>
          <w:bCs/>
          <w:shd w:val="clear" w:color="auto" w:fill="FFFFFF" w:themeFill="background1"/>
        </w:rPr>
        <w:t>9</w:t>
      </w:r>
      <w:r w:rsidRPr="00CC3663">
        <w:rPr>
          <w:rFonts w:ascii="Calibri" w:eastAsia="Times New Roman" w:hAnsi="Calibri" w:cs="Calibri"/>
          <w:bCs/>
          <w:shd w:val="clear" w:color="auto" w:fill="FFFFFF" w:themeFill="background1"/>
        </w:rPr>
        <w:t xml:space="preserve"> percent of GDP in 2020. Total budget</w:t>
      </w:r>
      <w:r w:rsidRPr="001E09E9">
        <w:rPr>
          <w:rFonts w:ascii="Calibri" w:eastAsia="Times New Roman" w:hAnsi="Calibri" w:cs="Calibri"/>
          <w:bCs/>
          <w:shd w:val="clear" w:color="auto" w:fill="FFFFFF" w:themeFill="background1"/>
        </w:rPr>
        <w:t xml:space="preserve"> support accounted for </w:t>
      </w:r>
      <w:r w:rsidR="00F75938" w:rsidRPr="001E09E9">
        <w:rPr>
          <w:rFonts w:ascii="Calibri" w:eastAsia="Times New Roman" w:hAnsi="Calibri" w:cs="Calibri"/>
          <w:bCs/>
          <w:shd w:val="clear" w:color="auto" w:fill="FFFFFF" w:themeFill="background1"/>
        </w:rPr>
        <w:t>42</w:t>
      </w:r>
      <w:r>
        <w:rPr>
          <w:rFonts w:ascii="Calibri" w:eastAsia="Times New Roman" w:hAnsi="Calibri" w:cs="Calibri"/>
          <w:bCs/>
        </w:rPr>
        <w:t xml:space="preserve"> percent of total donor </w:t>
      </w:r>
      <w:r w:rsidR="003F3E9D">
        <w:rPr>
          <w:rFonts w:ascii="Calibri" w:eastAsia="Times New Roman" w:hAnsi="Calibri" w:cs="Calibri"/>
          <w:bCs/>
        </w:rPr>
        <w:t>grants in 2020</w:t>
      </w:r>
      <w:r>
        <w:rPr>
          <w:rFonts w:ascii="Calibri" w:eastAsia="Times New Roman" w:hAnsi="Calibri" w:cs="Calibri"/>
          <w:bCs/>
        </w:rPr>
        <w:t xml:space="preserve">, </w:t>
      </w:r>
      <w:r w:rsidRPr="00872305">
        <w:rPr>
          <w:rFonts w:ascii="Calibri" w:eastAsia="Times New Roman" w:hAnsi="Calibri" w:cs="Calibri"/>
          <w:bCs/>
        </w:rPr>
        <w:t>increas</w:t>
      </w:r>
      <w:r>
        <w:rPr>
          <w:rFonts w:ascii="Calibri" w:eastAsia="Times New Roman" w:hAnsi="Calibri" w:cs="Calibri"/>
          <w:bCs/>
        </w:rPr>
        <w:t xml:space="preserve">ing by </w:t>
      </w:r>
      <w:r w:rsidRPr="00872305">
        <w:rPr>
          <w:rFonts w:ascii="Calibri" w:eastAsia="Times New Roman" w:hAnsi="Calibri" w:cs="Calibri"/>
          <w:bCs/>
        </w:rPr>
        <w:t xml:space="preserve">over US$100 million </w:t>
      </w:r>
      <w:r>
        <w:rPr>
          <w:rFonts w:ascii="Calibri" w:eastAsia="Times New Roman" w:hAnsi="Calibri" w:cs="Calibri"/>
          <w:bCs/>
        </w:rPr>
        <w:t>compared</w:t>
      </w:r>
      <w:r w:rsidR="003F3E9D">
        <w:rPr>
          <w:rFonts w:ascii="Calibri" w:eastAsia="Times New Roman" w:hAnsi="Calibri" w:cs="Calibri"/>
          <w:bCs/>
        </w:rPr>
        <w:t xml:space="preserve"> 2019, mainly through African Development Bank and World Bank reengagement grants provided when Somalia reached t</w:t>
      </w:r>
      <w:r>
        <w:rPr>
          <w:rFonts w:ascii="Calibri" w:eastAsia="Times New Roman" w:hAnsi="Calibri" w:cs="Calibri"/>
          <w:bCs/>
        </w:rPr>
        <w:t xml:space="preserve">he </w:t>
      </w:r>
      <w:r w:rsidRPr="004E2BCF">
        <w:rPr>
          <w:rFonts w:ascii="Calibri" w:eastAsia="Times New Roman" w:hAnsi="Calibri" w:cs="Calibri"/>
          <w:bCs/>
        </w:rPr>
        <w:t>HIPC Decision Point</w:t>
      </w:r>
      <w:r w:rsidR="003F3E9D">
        <w:rPr>
          <w:rFonts w:ascii="Calibri" w:eastAsia="Times New Roman" w:hAnsi="Calibri" w:cs="Calibri"/>
          <w:bCs/>
        </w:rPr>
        <w:t>.</w:t>
      </w:r>
      <w:r w:rsidRPr="004E2BCF">
        <w:rPr>
          <w:rFonts w:ascii="Calibri" w:eastAsia="Times New Roman" w:hAnsi="Calibri" w:cs="Calibri"/>
          <w:bCs/>
        </w:rPr>
        <w:t xml:space="preserve"> </w:t>
      </w:r>
      <w:r w:rsidR="003F3E9D">
        <w:rPr>
          <w:rFonts w:ascii="Calibri" w:eastAsia="Times New Roman" w:hAnsi="Calibri" w:cs="Calibri"/>
          <w:bCs/>
        </w:rPr>
        <w:t>As noted earlier, reaching the Decision Point</w:t>
      </w:r>
      <w:r w:rsidR="00CF3CEE">
        <w:rPr>
          <w:rFonts w:ascii="Calibri" w:eastAsia="Times New Roman" w:hAnsi="Calibri" w:cs="Calibri"/>
          <w:bCs/>
        </w:rPr>
        <w:t xml:space="preserve"> also</w:t>
      </w:r>
      <w:r>
        <w:rPr>
          <w:rFonts w:ascii="Calibri" w:eastAsia="Times New Roman" w:hAnsi="Calibri" w:cs="Calibri"/>
          <w:bCs/>
        </w:rPr>
        <w:t xml:space="preserve"> </w:t>
      </w:r>
      <w:r w:rsidR="003F3E9D">
        <w:rPr>
          <w:rFonts w:ascii="Calibri" w:eastAsia="Times New Roman" w:hAnsi="Calibri" w:cs="Calibri"/>
          <w:bCs/>
        </w:rPr>
        <w:t>enabled</w:t>
      </w:r>
      <w:r w:rsidRPr="009A4778">
        <w:rPr>
          <w:rFonts w:ascii="Calibri" w:eastAsia="Times New Roman" w:hAnsi="Calibri" w:cs="Calibri"/>
          <w:bCs/>
        </w:rPr>
        <w:t xml:space="preserve"> </w:t>
      </w:r>
      <w:r>
        <w:rPr>
          <w:rFonts w:ascii="Calibri" w:eastAsia="Times New Roman" w:hAnsi="Calibri" w:cs="Calibri"/>
          <w:bCs/>
        </w:rPr>
        <w:t>the country</w:t>
      </w:r>
      <w:r w:rsidR="003F3E9D">
        <w:rPr>
          <w:rFonts w:ascii="Calibri" w:eastAsia="Times New Roman" w:hAnsi="Calibri" w:cs="Calibri"/>
          <w:bCs/>
        </w:rPr>
        <w:t xml:space="preserve"> to</w:t>
      </w:r>
      <w:r w:rsidRPr="009A4778">
        <w:rPr>
          <w:rFonts w:ascii="Calibri" w:eastAsia="Times New Roman" w:hAnsi="Calibri" w:cs="Calibri"/>
          <w:bCs/>
        </w:rPr>
        <w:t xml:space="preserve"> access </w:t>
      </w:r>
      <w:r>
        <w:rPr>
          <w:rFonts w:ascii="Calibri" w:eastAsia="Times New Roman" w:hAnsi="Calibri" w:cs="Calibri"/>
          <w:bCs/>
        </w:rPr>
        <w:t xml:space="preserve">much-needed </w:t>
      </w:r>
      <w:r w:rsidR="003F3E9D">
        <w:rPr>
          <w:rFonts w:ascii="Calibri" w:eastAsia="Times New Roman" w:hAnsi="Calibri" w:cs="Calibri"/>
          <w:bCs/>
        </w:rPr>
        <w:t xml:space="preserve">financing for its </w:t>
      </w:r>
      <w:r>
        <w:rPr>
          <w:rFonts w:ascii="Calibri" w:eastAsia="Times New Roman" w:hAnsi="Calibri" w:cs="Calibri"/>
          <w:bCs/>
        </w:rPr>
        <w:t xml:space="preserve">response to the </w:t>
      </w:r>
      <w:r w:rsidR="00CF3CEE">
        <w:rPr>
          <w:rFonts w:ascii="Calibri" w:eastAsia="Times New Roman" w:hAnsi="Calibri" w:cs="Calibri"/>
          <w:bCs/>
        </w:rPr>
        <w:t xml:space="preserve">triple </w:t>
      </w:r>
      <w:r>
        <w:rPr>
          <w:rFonts w:ascii="Calibri" w:eastAsia="Times New Roman" w:hAnsi="Calibri" w:cs="Calibri"/>
          <w:bCs/>
        </w:rPr>
        <w:t xml:space="preserve">crisis. </w:t>
      </w:r>
      <w:r w:rsidR="007038C2">
        <w:rPr>
          <w:rFonts w:ascii="Calibri" w:eastAsia="Times New Roman" w:hAnsi="Calibri" w:cs="Calibri"/>
          <w:bCs/>
        </w:rPr>
        <w:t>Disbursements for the</w:t>
      </w:r>
      <w:r>
        <w:rPr>
          <w:rFonts w:ascii="Calibri" w:eastAsia="Times New Roman" w:hAnsi="Calibri" w:cs="Calibri"/>
          <w:bCs/>
        </w:rPr>
        <w:t xml:space="preserve"> </w:t>
      </w:r>
      <w:proofErr w:type="spellStart"/>
      <w:r>
        <w:rPr>
          <w:rFonts w:ascii="Calibri" w:eastAsia="Times New Roman" w:hAnsi="Calibri" w:cs="Calibri"/>
          <w:bCs/>
        </w:rPr>
        <w:t>Baxnaano</w:t>
      </w:r>
      <w:proofErr w:type="spellEnd"/>
      <w:r>
        <w:rPr>
          <w:rFonts w:ascii="Calibri" w:eastAsia="Times New Roman" w:hAnsi="Calibri" w:cs="Calibri"/>
          <w:bCs/>
        </w:rPr>
        <w:t xml:space="preserve"> program, emergency </w:t>
      </w:r>
      <w:proofErr w:type="gramStart"/>
      <w:r>
        <w:rPr>
          <w:rFonts w:ascii="Calibri" w:eastAsia="Times New Roman" w:hAnsi="Calibri" w:cs="Calibri"/>
          <w:bCs/>
        </w:rPr>
        <w:t>locusts</w:t>
      </w:r>
      <w:proofErr w:type="gramEnd"/>
      <w:r>
        <w:rPr>
          <w:rFonts w:ascii="Calibri" w:eastAsia="Times New Roman" w:hAnsi="Calibri" w:cs="Calibri"/>
          <w:bCs/>
        </w:rPr>
        <w:t xml:space="preserve"> response, and the crisis response projects accounted for almost all the increase in </w:t>
      </w:r>
      <w:r w:rsidRPr="00872305">
        <w:rPr>
          <w:rFonts w:ascii="Calibri" w:eastAsia="Times New Roman" w:hAnsi="Calibri" w:cs="Calibri"/>
          <w:bCs/>
        </w:rPr>
        <w:t>project grants</w:t>
      </w:r>
      <w:r w:rsidR="007038C2">
        <w:rPr>
          <w:rFonts w:ascii="Calibri" w:eastAsia="Times New Roman" w:hAnsi="Calibri" w:cs="Calibri"/>
          <w:bCs/>
        </w:rPr>
        <w:t xml:space="preserve"> between 2019 and 2020</w:t>
      </w:r>
      <w:r w:rsidRPr="00872305">
        <w:rPr>
          <w:rFonts w:ascii="Calibri" w:eastAsia="Times New Roman" w:hAnsi="Calibri" w:cs="Calibri"/>
          <w:bCs/>
        </w:rPr>
        <w:t xml:space="preserve">. </w:t>
      </w:r>
    </w:p>
    <w:p w14:paraId="20DDFB5D" w14:textId="7D825821" w:rsidR="00E11E84" w:rsidRDefault="00E11E84" w:rsidP="005F1975">
      <w:pPr>
        <w:pStyle w:val="Heading3"/>
        <w:spacing w:before="120" w:after="120"/>
      </w:pPr>
      <w:bookmarkStart w:id="58" w:name="_Toc71574630"/>
      <w:bookmarkStart w:id="59" w:name="_Toc71574805"/>
      <w:bookmarkStart w:id="60" w:name="_Toc71617929"/>
      <w:bookmarkStart w:id="61" w:name="_Toc71618664"/>
      <w:bookmarkStart w:id="62" w:name="_Toc71725890"/>
      <w:r>
        <w:lastRenderedPageBreak/>
        <w:t>The FGS increased spending to meet crisis needs</w:t>
      </w:r>
      <w:r w:rsidR="003C59C6">
        <w:t xml:space="preserve"> but underspent on procurement of goods and services</w:t>
      </w:r>
      <w:bookmarkEnd w:id="58"/>
      <w:bookmarkEnd w:id="59"/>
      <w:bookmarkEnd w:id="60"/>
      <w:bookmarkEnd w:id="61"/>
      <w:bookmarkEnd w:id="62"/>
    </w:p>
    <w:p w14:paraId="3E780559" w14:textId="6F22DF53" w:rsidR="00370C21" w:rsidRDefault="001E06B6" w:rsidP="00C827D2">
      <w:pPr>
        <w:jc w:val="both"/>
        <w:rPr>
          <w:rFonts w:ascii="Calibri" w:eastAsia="Times New Roman" w:hAnsi="Calibri" w:cs="Calibri"/>
          <w:bCs/>
        </w:rPr>
      </w:pPr>
      <w:r w:rsidRPr="00646FE9">
        <w:rPr>
          <w:rFonts w:ascii="Calibri" w:eastAsia="Times New Roman" w:hAnsi="Calibri" w:cs="Calibri"/>
          <w:b/>
        </w:rPr>
        <w:t xml:space="preserve">The FGS revised </w:t>
      </w:r>
      <w:r>
        <w:rPr>
          <w:rFonts w:ascii="Calibri" w:eastAsia="Times New Roman" w:hAnsi="Calibri" w:cs="Calibri"/>
          <w:b/>
        </w:rPr>
        <w:t xml:space="preserve">the 2020 </w:t>
      </w:r>
      <w:r w:rsidRPr="00646FE9">
        <w:rPr>
          <w:rFonts w:ascii="Calibri" w:eastAsia="Times New Roman" w:hAnsi="Calibri" w:cs="Calibri"/>
          <w:b/>
        </w:rPr>
        <w:t>budget</w:t>
      </w:r>
      <w:r>
        <w:rPr>
          <w:rFonts w:ascii="Calibri" w:eastAsia="Times New Roman" w:hAnsi="Calibri" w:cs="Calibri"/>
          <w:b/>
        </w:rPr>
        <w:t xml:space="preserve"> to</w:t>
      </w:r>
      <w:r w:rsidRPr="00646FE9">
        <w:rPr>
          <w:rFonts w:ascii="Calibri" w:eastAsia="Times New Roman" w:hAnsi="Calibri" w:cs="Calibri"/>
          <w:b/>
        </w:rPr>
        <w:t xml:space="preserve"> respon</w:t>
      </w:r>
      <w:r>
        <w:rPr>
          <w:rFonts w:ascii="Calibri" w:eastAsia="Times New Roman" w:hAnsi="Calibri" w:cs="Calibri"/>
          <w:b/>
        </w:rPr>
        <w:t>d</w:t>
      </w:r>
      <w:r w:rsidRPr="00646FE9">
        <w:rPr>
          <w:rFonts w:ascii="Calibri" w:eastAsia="Times New Roman" w:hAnsi="Calibri" w:cs="Calibri"/>
          <w:b/>
        </w:rPr>
        <w:t xml:space="preserve"> to the triple crisis. </w:t>
      </w:r>
      <w:r w:rsidRPr="004037E5">
        <w:rPr>
          <w:rFonts w:ascii="Calibri" w:eastAsia="Times New Roman" w:hAnsi="Calibri" w:cs="Calibri"/>
          <w:bCs/>
        </w:rPr>
        <w:t xml:space="preserve">Total expenditure </w:t>
      </w:r>
      <w:r>
        <w:rPr>
          <w:rFonts w:ascii="Calibri" w:eastAsia="Times New Roman" w:hAnsi="Calibri" w:cs="Calibri"/>
          <w:bCs/>
        </w:rPr>
        <w:t xml:space="preserve">in 2020 </w:t>
      </w:r>
      <w:r w:rsidRPr="004037E5">
        <w:rPr>
          <w:rFonts w:ascii="Calibri" w:eastAsia="Times New Roman" w:hAnsi="Calibri" w:cs="Calibri"/>
          <w:bCs/>
        </w:rPr>
        <w:t xml:space="preserve">rose to </w:t>
      </w:r>
      <w:r>
        <w:rPr>
          <w:rFonts w:ascii="Calibri" w:eastAsia="Times New Roman" w:hAnsi="Calibri" w:cs="Calibri"/>
          <w:bCs/>
        </w:rPr>
        <w:t>9.9</w:t>
      </w:r>
      <w:r w:rsidRPr="004037E5">
        <w:rPr>
          <w:rFonts w:ascii="Calibri" w:eastAsia="Times New Roman" w:hAnsi="Calibri" w:cs="Calibri"/>
          <w:bCs/>
        </w:rPr>
        <w:t xml:space="preserve"> percent of GDP in 2020 from 6.</w:t>
      </w:r>
      <w:r>
        <w:rPr>
          <w:rFonts w:ascii="Calibri" w:eastAsia="Times New Roman" w:hAnsi="Calibri" w:cs="Calibri"/>
          <w:bCs/>
        </w:rPr>
        <w:t>4</w:t>
      </w:r>
      <w:r w:rsidRPr="004037E5">
        <w:rPr>
          <w:rFonts w:ascii="Calibri" w:eastAsia="Times New Roman" w:hAnsi="Calibri" w:cs="Calibri"/>
          <w:bCs/>
        </w:rPr>
        <w:t xml:space="preserve"> percent in 2019</w:t>
      </w:r>
      <w:r>
        <w:rPr>
          <w:rFonts w:ascii="Calibri" w:eastAsia="Times New Roman" w:hAnsi="Calibri" w:cs="Calibri"/>
          <w:bCs/>
        </w:rPr>
        <w:t xml:space="preserve"> (</w:t>
      </w:r>
      <w:r>
        <w:rPr>
          <w:rFonts w:ascii="Calibri" w:eastAsia="Times New Roman" w:hAnsi="Calibri" w:cs="Calibri"/>
          <w:bCs/>
        </w:rPr>
        <w:fldChar w:fldCharType="begin"/>
      </w:r>
      <w:r>
        <w:rPr>
          <w:rFonts w:ascii="Calibri" w:eastAsia="Times New Roman" w:hAnsi="Calibri" w:cs="Calibri"/>
          <w:bCs/>
        </w:rPr>
        <w:instrText xml:space="preserve"> REF _Ref70943917 \h </w:instrText>
      </w:r>
      <w:r>
        <w:rPr>
          <w:rFonts w:ascii="Calibri" w:eastAsia="Times New Roman" w:hAnsi="Calibri" w:cs="Calibri"/>
          <w:bCs/>
        </w:rPr>
      </w:r>
      <w:r>
        <w:rPr>
          <w:rFonts w:ascii="Calibri" w:eastAsia="Times New Roman" w:hAnsi="Calibri" w:cs="Calibri"/>
          <w:bCs/>
        </w:rPr>
        <w:fldChar w:fldCharType="separate"/>
      </w:r>
      <w:r>
        <w:t xml:space="preserve">Table </w:t>
      </w:r>
      <w:r>
        <w:rPr>
          <w:noProof/>
        </w:rPr>
        <w:t>1</w:t>
      </w:r>
      <w:r>
        <w:rPr>
          <w:rFonts w:ascii="Calibri" w:eastAsia="Times New Roman" w:hAnsi="Calibri" w:cs="Calibri"/>
          <w:bCs/>
        </w:rPr>
        <w:fldChar w:fldCharType="end"/>
      </w:r>
      <w:r>
        <w:rPr>
          <w:rFonts w:ascii="Calibri" w:eastAsia="Times New Roman" w:hAnsi="Calibri" w:cs="Calibri"/>
          <w:bCs/>
        </w:rPr>
        <w:t>)</w:t>
      </w:r>
      <w:r w:rsidR="005E50E7">
        <w:rPr>
          <w:rFonts w:ascii="Calibri" w:eastAsia="Times New Roman" w:hAnsi="Calibri" w:cs="Calibri"/>
          <w:bCs/>
        </w:rPr>
        <w:t>.</w:t>
      </w:r>
      <w:r>
        <w:rPr>
          <w:rFonts w:ascii="Calibri" w:eastAsia="Times New Roman" w:hAnsi="Calibri" w:cs="Calibri"/>
          <w:bCs/>
        </w:rPr>
        <w:t xml:space="preserve"> </w:t>
      </w:r>
      <w:r w:rsidR="005E50E7">
        <w:rPr>
          <w:rFonts w:ascii="Calibri" w:eastAsia="Times New Roman" w:hAnsi="Calibri" w:cs="Calibri"/>
          <w:bCs/>
        </w:rPr>
        <w:t>The revised budget almost quadrupled the</w:t>
      </w:r>
      <w:r>
        <w:rPr>
          <w:rFonts w:ascii="Calibri" w:eastAsia="Times New Roman" w:hAnsi="Calibri" w:cs="Calibri"/>
          <w:bCs/>
        </w:rPr>
        <w:t xml:space="preserve"> </w:t>
      </w:r>
      <w:r w:rsidRPr="00C32ED1">
        <w:rPr>
          <w:rFonts w:ascii="Calibri" w:eastAsia="Times New Roman" w:hAnsi="Calibri" w:cs="Calibri"/>
          <w:bCs/>
        </w:rPr>
        <w:t>appropriat</w:t>
      </w:r>
      <w:r w:rsidR="005E50E7">
        <w:rPr>
          <w:rFonts w:ascii="Calibri" w:eastAsia="Times New Roman" w:hAnsi="Calibri" w:cs="Calibri"/>
          <w:bCs/>
        </w:rPr>
        <w:t xml:space="preserve">ion for </w:t>
      </w:r>
      <w:r w:rsidRPr="00C32ED1">
        <w:rPr>
          <w:rFonts w:ascii="Calibri" w:eastAsia="Times New Roman" w:hAnsi="Calibri" w:cs="Calibri"/>
          <w:bCs/>
        </w:rPr>
        <w:t>cash transfers</w:t>
      </w:r>
      <w:r>
        <w:rPr>
          <w:rFonts w:ascii="Calibri" w:eastAsia="Times New Roman" w:hAnsi="Calibri" w:cs="Calibri"/>
          <w:bCs/>
        </w:rPr>
        <w:t xml:space="preserve"> delivered </w:t>
      </w:r>
      <w:r w:rsidR="005E50E7">
        <w:rPr>
          <w:rFonts w:ascii="Calibri" w:eastAsia="Times New Roman" w:hAnsi="Calibri" w:cs="Calibri"/>
          <w:bCs/>
        </w:rPr>
        <w:t xml:space="preserve">to households </w:t>
      </w:r>
      <w:r>
        <w:rPr>
          <w:rFonts w:ascii="Calibri" w:eastAsia="Times New Roman" w:hAnsi="Calibri" w:cs="Calibri"/>
          <w:bCs/>
        </w:rPr>
        <w:t xml:space="preserve">through the </w:t>
      </w:r>
      <w:proofErr w:type="spellStart"/>
      <w:r>
        <w:rPr>
          <w:rFonts w:ascii="Calibri" w:eastAsia="Times New Roman" w:hAnsi="Calibri" w:cs="Calibri"/>
          <w:bCs/>
        </w:rPr>
        <w:t>Baxnaano</w:t>
      </w:r>
      <w:proofErr w:type="spellEnd"/>
      <w:r>
        <w:rPr>
          <w:rFonts w:ascii="Calibri" w:eastAsia="Times New Roman" w:hAnsi="Calibri" w:cs="Calibri"/>
          <w:bCs/>
        </w:rPr>
        <w:t xml:space="preserve"> Program. </w:t>
      </w:r>
      <w:r w:rsidR="00A548B9">
        <w:rPr>
          <w:rFonts w:ascii="Calibri" w:eastAsia="Times New Roman" w:hAnsi="Calibri" w:cs="Calibri"/>
          <w:bCs/>
        </w:rPr>
        <w:t xml:space="preserve">New expenditure on these social benefits accounted for 13 percent of total FGS spending in 2020. </w:t>
      </w:r>
      <w:r>
        <w:rPr>
          <w:rFonts w:ascii="Calibri" w:eastAsia="Times New Roman" w:hAnsi="Calibri" w:cs="Calibri"/>
          <w:bCs/>
        </w:rPr>
        <w:t xml:space="preserve">This was in addition to other </w:t>
      </w:r>
      <w:r w:rsidRPr="00872305">
        <w:rPr>
          <w:rFonts w:ascii="Calibri" w:eastAsia="Times New Roman" w:hAnsi="Calibri" w:cs="Calibri"/>
          <w:bCs/>
        </w:rPr>
        <w:t>new spending</w:t>
      </w:r>
      <w:r w:rsidR="00A548B9">
        <w:rPr>
          <w:rFonts w:ascii="Calibri" w:eastAsia="Times New Roman" w:hAnsi="Calibri" w:cs="Calibri"/>
          <w:bCs/>
        </w:rPr>
        <w:t xml:space="preserve"> on social and economic services. </w:t>
      </w:r>
    </w:p>
    <w:p w14:paraId="6A6872B0" w14:textId="12A93754" w:rsidR="00370C21" w:rsidRDefault="00370C21" w:rsidP="00C827D2">
      <w:pPr>
        <w:jc w:val="both"/>
        <w:rPr>
          <w:rFonts w:ascii="Calibri" w:eastAsia="Times New Roman" w:hAnsi="Calibri" w:cs="Calibri"/>
          <w:bCs/>
        </w:rPr>
      </w:pPr>
      <w:r w:rsidRPr="006E7BE7">
        <w:rPr>
          <w:rFonts w:ascii="Calibri" w:eastAsia="Times New Roman" w:hAnsi="Calibri" w:cs="Calibri"/>
          <w:b/>
        </w:rPr>
        <w:t>The budget allocated more funds to the health sector.</w:t>
      </w:r>
      <w:r>
        <w:rPr>
          <w:rFonts w:ascii="Calibri" w:eastAsia="Times New Roman" w:hAnsi="Calibri" w:cs="Calibri"/>
          <w:bCs/>
        </w:rPr>
        <w:t xml:space="preserve"> The national response to COVID-19 crisis not only saw increase in intergovernmental transfers but also to FGS health sector. Even though health spending remains small, it more than doubled its 2019 level to account for 1.3 percent of the total spending. The COVID-19 crisis has exposed Somalia’s weak healthcare system from critical infrastructure, personnel, access, and limited resources to response to any health-related shocks. This has highlighted the urgent need to strengthen the healthcare system and capacity to deliver services to the Somalis and improve existing poor health outcomes (See SEU Special Focus, </w:t>
      </w:r>
      <w:r w:rsidR="00CC3663">
        <w:rPr>
          <w:rFonts w:ascii="Calibri" w:eastAsia="Times New Roman" w:hAnsi="Calibri" w:cs="Calibri"/>
          <w:bCs/>
        </w:rPr>
        <w:t>Part II</w:t>
      </w:r>
      <w:r>
        <w:rPr>
          <w:rFonts w:ascii="Calibri" w:eastAsia="Times New Roman" w:hAnsi="Calibri" w:cs="Calibri"/>
          <w:bCs/>
        </w:rPr>
        <w:t xml:space="preserve">). </w:t>
      </w:r>
    </w:p>
    <w:p w14:paraId="4944C136" w14:textId="42CBD103" w:rsidR="007300FD" w:rsidRDefault="00370C21" w:rsidP="007300FD">
      <w:pPr>
        <w:jc w:val="both"/>
        <w:rPr>
          <w:bCs/>
        </w:rPr>
      </w:pPr>
      <w:r w:rsidRPr="00370C21">
        <w:rPr>
          <w:rFonts w:ascii="Calibri" w:eastAsia="Times New Roman" w:hAnsi="Calibri" w:cs="Calibri"/>
          <w:b/>
        </w:rPr>
        <w:t>Finally, the FGS increased intergovernmental grants to</w:t>
      </w:r>
      <w:r w:rsidR="00A548B9" w:rsidRPr="00370C21">
        <w:rPr>
          <w:rFonts w:ascii="Calibri" w:eastAsia="Times New Roman" w:hAnsi="Calibri" w:cs="Calibri"/>
          <w:b/>
        </w:rPr>
        <w:t xml:space="preserve"> subnational governments to offset revenue shortfalls due to the impact of the COVID-19 crisis</w:t>
      </w:r>
      <w:r w:rsidRPr="00370C21">
        <w:rPr>
          <w:rFonts w:ascii="Calibri" w:eastAsia="Times New Roman" w:hAnsi="Calibri" w:cs="Calibri"/>
          <w:b/>
        </w:rPr>
        <w:t>.</w:t>
      </w:r>
      <w:r>
        <w:rPr>
          <w:rFonts w:ascii="Calibri" w:eastAsia="Times New Roman" w:hAnsi="Calibri" w:cs="Calibri"/>
          <w:bCs/>
        </w:rPr>
        <w:t xml:space="preserve"> </w:t>
      </w:r>
      <w:r w:rsidR="00A548B9" w:rsidRPr="007D374F">
        <w:rPr>
          <w:rFonts w:ascii="Calibri" w:eastAsia="Times New Roman" w:hAnsi="Calibri" w:cs="Calibri"/>
          <w:bCs/>
        </w:rPr>
        <w:t xml:space="preserve">Total </w:t>
      </w:r>
      <w:r w:rsidR="00F63B0C">
        <w:rPr>
          <w:rFonts w:ascii="Calibri" w:eastAsia="Times New Roman" w:hAnsi="Calibri" w:cs="Calibri"/>
          <w:bCs/>
        </w:rPr>
        <w:t>grants</w:t>
      </w:r>
      <w:r w:rsidR="00A548B9">
        <w:rPr>
          <w:rFonts w:ascii="Calibri" w:eastAsia="Times New Roman" w:hAnsi="Calibri" w:cs="Calibri"/>
          <w:bCs/>
        </w:rPr>
        <w:t xml:space="preserve"> (including projects </w:t>
      </w:r>
      <w:r w:rsidR="00F63B0C">
        <w:rPr>
          <w:rFonts w:ascii="Calibri" w:eastAsia="Times New Roman" w:hAnsi="Calibri" w:cs="Calibri"/>
          <w:bCs/>
        </w:rPr>
        <w:t>grants</w:t>
      </w:r>
      <w:r w:rsidR="00A548B9">
        <w:rPr>
          <w:rFonts w:ascii="Calibri" w:eastAsia="Times New Roman" w:hAnsi="Calibri" w:cs="Calibri"/>
          <w:bCs/>
        </w:rPr>
        <w:t>)</w:t>
      </w:r>
      <w:r w:rsidR="00A548B9" w:rsidRPr="007D374F">
        <w:rPr>
          <w:rFonts w:ascii="Calibri" w:eastAsia="Times New Roman" w:hAnsi="Calibri" w:cs="Calibri"/>
          <w:bCs/>
        </w:rPr>
        <w:t xml:space="preserve"> reached 1.8 percent of GDP</w:t>
      </w:r>
      <w:r w:rsidR="00A548B9">
        <w:rPr>
          <w:rFonts w:ascii="Calibri" w:eastAsia="Times New Roman" w:hAnsi="Calibri" w:cs="Calibri"/>
          <w:bCs/>
        </w:rPr>
        <w:t xml:space="preserve"> in 2020, from 0.9 percent in 2019</w:t>
      </w:r>
      <w:r w:rsidR="00A548B9" w:rsidRPr="007D374F">
        <w:rPr>
          <w:rFonts w:ascii="Calibri" w:eastAsia="Times New Roman" w:hAnsi="Calibri" w:cs="Calibri"/>
          <w:bCs/>
        </w:rPr>
        <w:t xml:space="preserve">, becoming the second largest expenditure after wage bill. </w:t>
      </w:r>
      <w:r w:rsidR="00A548B9">
        <w:rPr>
          <w:rFonts w:ascii="Calibri" w:eastAsia="Times New Roman" w:hAnsi="Calibri" w:cs="Calibri"/>
          <w:bCs/>
        </w:rPr>
        <w:t xml:space="preserve">The </w:t>
      </w:r>
      <w:r w:rsidR="00A548B9" w:rsidRPr="005A3CF0">
        <w:rPr>
          <w:rFonts w:ascii="Calibri" w:eastAsia="Times New Roman" w:hAnsi="Calibri" w:cs="Calibri"/>
          <w:bCs/>
        </w:rPr>
        <w:t xml:space="preserve">COVID-19 </w:t>
      </w:r>
      <w:r w:rsidR="00A548B9">
        <w:rPr>
          <w:rFonts w:ascii="Calibri" w:eastAsia="Times New Roman" w:hAnsi="Calibri" w:cs="Calibri"/>
          <w:bCs/>
        </w:rPr>
        <w:t xml:space="preserve">crisis </w:t>
      </w:r>
      <w:r w:rsidR="00A548B9" w:rsidRPr="005A3CF0">
        <w:rPr>
          <w:rFonts w:ascii="Calibri" w:eastAsia="Times New Roman" w:hAnsi="Calibri" w:cs="Calibri"/>
          <w:bCs/>
        </w:rPr>
        <w:t>has</w:t>
      </w:r>
      <w:r w:rsidR="00A548B9">
        <w:rPr>
          <w:rFonts w:ascii="Calibri" w:eastAsia="Times New Roman" w:hAnsi="Calibri" w:cs="Calibri"/>
          <w:bCs/>
        </w:rPr>
        <w:t xml:space="preserve"> exposed the vulnerability of the subnational governments to manage their operations and </w:t>
      </w:r>
      <w:r w:rsidR="00A548B9" w:rsidRPr="005A3CF0">
        <w:rPr>
          <w:rFonts w:ascii="Calibri" w:eastAsia="Times New Roman" w:hAnsi="Calibri" w:cs="Calibri"/>
          <w:bCs/>
        </w:rPr>
        <w:t xml:space="preserve">is likely to create additional pressure </w:t>
      </w:r>
      <w:r w:rsidR="00A548B9">
        <w:rPr>
          <w:rFonts w:ascii="Calibri" w:eastAsia="Times New Roman" w:hAnsi="Calibri" w:cs="Calibri"/>
          <w:bCs/>
        </w:rPr>
        <w:t>as they become i</w:t>
      </w:r>
      <w:r w:rsidR="00A548B9" w:rsidRPr="005A3CF0">
        <w:rPr>
          <w:rFonts w:ascii="Calibri" w:eastAsia="Times New Roman" w:hAnsi="Calibri" w:cs="Calibri"/>
          <w:bCs/>
        </w:rPr>
        <w:t xml:space="preserve">ncreasingly reliant </w:t>
      </w:r>
      <w:r w:rsidR="00A548B9">
        <w:rPr>
          <w:rFonts w:ascii="Calibri" w:eastAsia="Times New Roman" w:hAnsi="Calibri" w:cs="Calibri"/>
          <w:bCs/>
        </w:rPr>
        <w:t>on grants</w:t>
      </w:r>
      <w:r w:rsidR="00A548B9" w:rsidRPr="005A3CF0">
        <w:rPr>
          <w:rFonts w:ascii="Calibri" w:eastAsia="Times New Roman" w:hAnsi="Calibri" w:cs="Calibri"/>
          <w:bCs/>
        </w:rPr>
        <w:t xml:space="preserve">. </w:t>
      </w:r>
      <w:r w:rsidR="00A548B9">
        <w:rPr>
          <w:rFonts w:ascii="Calibri" w:eastAsia="Times New Roman" w:hAnsi="Calibri" w:cs="Calibri"/>
          <w:bCs/>
        </w:rPr>
        <w:t xml:space="preserve">Therefore, monitoring of </w:t>
      </w:r>
      <w:r w:rsidR="00A548B9" w:rsidRPr="005A3CF0">
        <w:rPr>
          <w:rFonts w:ascii="Calibri" w:eastAsia="Times New Roman" w:hAnsi="Calibri" w:cs="Calibri"/>
          <w:bCs/>
        </w:rPr>
        <w:t xml:space="preserve">subnational </w:t>
      </w:r>
      <w:r w:rsidR="00A548B9">
        <w:rPr>
          <w:rFonts w:ascii="Calibri" w:eastAsia="Times New Roman" w:hAnsi="Calibri" w:cs="Calibri"/>
          <w:bCs/>
        </w:rPr>
        <w:t xml:space="preserve">fiscal </w:t>
      </w:r>
      <w:r w:rsidR="00A548B9" w:rsidRPr="005A3CF0">
        <w:rPr>
          <w:rFonts w:ascii="Calibri" w:eastAsia="Times New Roman" w:hAnsi="Calibri" w:cs="Calibri"/>
          <w:bCs/>
        </w:rPr>
        <w:t>risks</w:t>
      </w:r>
      <w:r w:rsidR="00A548B9">
        <w:rPr>
          <w:rFonts w:ascii="Calibri" w:eastAsia="Times New Roman" w:hAnsi="Calibri" w:cs="Calibri"/>
          <w:bCs/>
        </w:rPr>
        <w:t xml:space="preserve"> remain critical going forward.</w:t>
      </w:r>
    </w:p>
    <w:p w14:paraId="10BF3E4B" w14:textId="7AFB0D94" w:rsidR="008540AE" w:rsidRDefault="00370C21" w:rsidP="0025274E">
      <w:pPr>
        <w:jc w:val="both"/>
      </w:pPr>
      <w:r w:rsidRPr="00370C21">
        <w:rPr>
          <w:b/>
        </w:rPr>
        <w:t>Meanwhile, the FGS cut spending on procurement of goods and services in 2020.</w:t>
      </w:r>
      <w:r>
        <w:t xml:space="preserve"> Actual 2020 spending on goods and services was 47 percent below the revised budget</w:t>
      </w:r>
      <w:r w:rsidR="00B9754D">
        <w:t xml:space="preserve"> appropriation</w:t>
      </w:r>
      <w:r>
        <w:t xml:space="preserve"> and 13 percent below actual spending in 2019.</w:t>
      </w:r>
      <w:r w:rsidR="00367B0E">
        <w:t xml:space="preserve"> </w:t>
      </w:r>
      <w:r w:rsidR="008540AE">
        <w:t xml:space="preserve">Several factors account for this. </w:t>
      </w:r>
      <w:r w:rsidR="00367B0E">
        <w:t xml:space="preserve">The decline between 2019 and 2020 actual spending is largely explained by public financial management (PFM) reforms in the security sector. </w:t>
      </w:r>
      <w:r w:rsidR="00233384">
        <w:t>Anchored in the 2017 National Security Architecture (</w:t>
      </w:r>
      <w:proofErr w:type="spellStart"/>
      <w:r w:rsidR="00233384">
        <w:t>NSArch</w:t>
      </w:r>
      <w:proofErr w:type="spellEnd"/>
      <w:r w:rsidR="00233384">
        <w:t xml:space="preserve">) and the </w:t>
      </w:r>
      <w:r w:rsidR="001E3B70">
        <w:t>2018</w:t>
      </w:r>
      <w:r w:rsidR="00233384">
        <w:t xml:space="preserve"> </w:t>
      </w:r>
      <w:r w:rsidR="001E3B70" w:rsidRPr="001E3B70">
        <w:t>Operational Readiness Assessment</w:t>
      </w:r>
      <w:r w:rsidR="00233384">
        <w:t xml:space="preserve">, the government has </w:t>
      </w:r>
      <w:r w:rsidR="001E3B70">
        <w:t>implement</w:t>
      </w:r>
      <w:r w:rsidR="00233384">
        <w:t xml:space="preserve">ed </w:t>
      </w:r>
      <w:r w:rsidR="001E3B70">
        <w:t xml:space="preserve">key reforms including </w:t>
      </w:r>
      <w:r w:rsidR="001E3B70" w:rsidRPr="001E3B70">
        <w:t>biometric registration of all Somalia security forces</w:t>
      </w:r>
      <w:r w:rsidR="00233384">
        <w:t xml:space="preserve"> - which allows verification of all payments including direct payments to individual accounts</w:t>
      </w:r>
      <w:r w:rsidR="0080230B">
        <w:t>;</w:t>
      </w:r>
      <w:r w:rsidR="005A7D20">
        <w:t xml:space="preserve"> enhanc</w:t>
      </w:r>
      <w:r w:rsidR="0080230B">
        <w:t>ed</w:t>
      </w:r>
      <w:r w:rsidR="005A7D20">
        <w:t xml:space="preserve"> human resources management system</w:t>
      </w:r>
      <w:r w:rsidR="0025274E">
        <w:t xml:space="preserve"> – which now connects the security sector payroll into the overall Somalia Financial Management Information System (SFMIS)</w:t>
      </w:r>
      <w:r w:rsidR="0080230B">
        <w:t>;</w:t>
      </w:r>
      <w:r w:rsidR="005A7D20">
        <w:t xml:space="preserve"> and </w:t>
      </w:r>
      <w:r w:rsidR="0080230B">
        <w:t xml:space="preserve">improved </w:t>
      </w:r>
      <w:r w:rsidR="005A7D20">
        <w:t>internal controls</w:t>
      </w:r>
      <w:r w:rsidR="0025274E">
        <w:t xml:space="preserve"> </w:t>
      </w:r>
      <w:r w:rsidR="00DF246E">
        <w:t>which includes</w:t>
      </w:r>
      <w:r w:rsidR="0080230B">
        <w:t xml:space="preserve"> </w:t>
      </w:r>
      <w:r w:rsidR="0025274E" w:rsidRPr="0025274E">
        <w:t>logistics procedures</w:t>
      </w:r>
      <w:r w:rsidR="0025274E">
        <w:t xml:space="preserve"> and central purchasing contracts for major supplies in sector.</w:t>
      </w:r>
      <w:r w:rsidR="0025274E">
        <w:rPr>
          <w:rStyle w:val="FootnoteReference"/>
          <w:rFonts w:ascii="Calibri" w:eastAsia="Times New Roman" w:hAnsi="Calibri" w:cs="Calibri"/>
          <w:bCs/>
        </w:rPr>
        <w:footnoteReference w:id="16"/>
      </w:r>
      <w:r w:rsidR="0025274E">
        <w:t xml:space="preserve"> Similarly, a</w:t>
      </w:r>
      <w:r w:rsidR="00367B0E" w:rsidRPr="00E357E9">
        <w:t>t the beginning of 2020</w:t>
      </w:r>
      <w:r w:rsidR="00367B0E">
        <w:t xml:space="preserve">, the government started </w:t>
      </w:r>
      <w:r w:rsidR="00367B0E" w:rsidRPr="00E357E9">
        <w:t>inclu</w:t>
      </w:r>
      <w:r w:rsidR="00367B0E">
        <w:t>ding</w:t>
      </w:r>
      <w:r w:rsidR="00367B0E" w:rsidRPr="00E357E9">
        <w:t xml:space="preserve"> security rations to the wages </w:t>
      </w:r>
      <w:r w:rsidR="00367B0E">
        <w:t>of eligible personnel, previously paid as “other general expenses” under use of goods and services.</w:t>
      </w:r>
      <w:r w:rsidR="008540AE">
        <w:rPr>
          <w:rStyle w:val="FootnoteReference"/>
          <w:rFonts w:ascii="Calibri" w:eastAsia="Times New Roman" w:hAnsi="Calibri" w:cs="Calibri"/>
          <w:bCs/>
        </w:rPr>
        <w:footnoteReference w:id="17"/>
      </w:r>
      <w:r w:rsidR="008540AE">
        <w:t xml:space="preserve"> The pandemic-related lockdown also contributed to the decline in spending: spending on </w:t>
      </w:r>
      <w:r w:rsidR="00303A49">
        <w:t>rent and travel fell by 30 and 25 percent, respectively. Finally, spending fell short of the revised 2020 budget because execution of donor-financed and other projects was delayed.</w:t>
      </w:r>
      <w:r w:rsidR="00AA0EB6">
        <w:t xml:space="preserve"> Under-spending on consultants, </w:t>
      </w:r>
      <w:proofErr w:type="gramStart"/>
      <w:r w:rsidR="00AA0EB6">
        <w:t>health</w:t>
      </w:r>
      <w:proofErr w:type="gramEnd"/>
      <w:r w:rsidR="00AA0EB6">
        <w:t xml:space="preserve"> and hygiene products</w:t>
      </w:r>
      <w:r w:rsidR="003C59C6">
        <w:t xml:space="preserve"> (for COVID-19 projects)</w:t>
      </w:r>
      <w:r w:rsidR="00AA0EB6">
        <w:t>, and specialized materials and services (including, for example, those needed for locust control) totaled US$39.3 million (53 percent of the total under-execution of goods and services spending shown in</w:t>
      </w:r>
      <w:r w:rsidR="00C7631D">
        <w:t xml:space="preserve"> </w:t>
      </w:r>
      <w:r w:rsidR="00C7631D">
        <w:fldChar w:fldCharType="begin"/>
      </w:r>
      <w:r w:rsidR="00C7631D">
        <w:instrText xml:space="preserve"> REF _Ref70951929 \h </w:instrText>
      </w:r>
      <w:r w:rsidR="00C7631D">
        <w:fldChar w:fldCharType="separate"/>
      </w:r>
      <w:r w:rsidR="00C7631D">
        <w:t xml:space="preserve">Table </w:t>
      </w:r>
      <w:r w:rsidR="00C7631D">
        <w:rPr>
          <w:noProof/>
        </w:rPr>
        <w:t>5</w:t>
      </w:r>
      <w:r w:rsidR="00C7631D">
        <w:fldChar w:fldCharType="end"/>
      </w:r>
      <w:r w:rsidR="00AA0EB6">
        <w:t xml:space="preserve">). </w:t>
      </w:r>
    </w:p>
    <w:p w14:paraId="19A77441" w14:textId="48063E36" w:rsidR="00370C21" w:rsidRPr="003C59C6" w:rsidRDefault="003C59C6" w:rsidP="005F1975">
      <w:pPr>
        <w:pStyle w:val="Heading3"/>
        <w:spacing w:before="120" w:after="120"/>
      </w:pPr>
      <w:bookmarkStart w:id="63" w:name="_Toc71574631"/>
      <w:bookmarkStart w:id="64" w:name="_Toc71574806"/>
      <w:bookmarkStart w:id="65" w:name="_Toc71617930"/>
      <w:bookmarkStart w:id="66" w:name="_Toc71618665"/>
      <w:bookmarkStart w:id="67" w:name="_Toc71725891"/>
      <w:r w:rsidRPr="003C59C6">
        <w:lastRenderedPageBreak/>
        <w:t>C</w:t>
      </w:r>
      <w:r w:rsidR="007C6872">
        <w:t>hange and continuity</w:t>
      </w:r>
      <w:r w:rsidRPr="003C59C6">
        <w:t xml:space="preserve"> in the FGS budget</w:t>
      </w:r>
      <w:bookmarkEnd w:id="63"/>
      <w:bookmarkEnd w:id="64"/>
      <w:bookmarkEnd w:id="65"/>
      <w:bookmarkEnd w:id="66"/>
      <w:bookmarkEnd w:id="67"/>
      <w:r w:rsidR="00367B0E" w:rsidRPr="003C59C6">
        <w:t xml:space="preserve"> </w:t>
      </w:r>
    </w:p>
    <w:p w14:paraId="5D90547C" w14:textId="6B5DE2A6" w:rsidR="007C6872" w:rsidRPr="007C6872" w:rsidRDefault="007C6872" w:rsidP="00ED44BF">
      <w:pPr>
        <w:jc w:val="both"/>
      </w:pPr>
      <w:r>
        <w:rPr>
          <w:b/>
          <w:bCs/>
        </w:rPr>
        <w:t>Adjustments made through the revised 2020 budget introduced important changes to the composition of FGS spending.</w:t>
      </w:r>
      <w:r w:rsidRPr="007C6872">
        <w:t xml:space="preserve"> </w:t>
      </w:r>
      <w:r w:rsidR="008F7D90">
        <w:t>For reasons</w:t>
      </w:r>
      <w:r w:rsidRPr="007C6872">
        <w:t xml:space="preserve"> discussed above, </w:t>
      </w:r>
      <w:r w:rsidR="008F7D90">
        <w:t xml:space="preserve">the FGS initiated or expanded projects to address the triple crisis. </w:t>
      </w:r>
      <w:r w:rsidR="00DF4140">
        <w:fldChar w:fldCharType="begin"/>
      </w:r>
      <w:r w:rsidR="00DF4140">
        <w:instrText xml:space="preserve"> REF _Ref70977350 \h </w:instrText>
      </w:r>
      <w:r w:rsidR="00DF4140">
        <w:fldChar w:fldCharType="separate"/>
      </w:r>
      <w:r w:rsidR="005A19B4">
        <w:t xml:space="preserve">Figure </w:t>
      </w:r>
      <w:r w:rsidR="005A19B4">
        <w:rPr>
          <w:noProof/>
        </w:rPr>
        <w:t>16</w:t>
      </w:r>
      <w:r w:rsidR="00DF4140">
        <w:fldChar w:fldCharType="end"/>
      </w:r>
      <w:r w:rsidR="008F7D90">
        <w:fldChar w:fldCharType="begin"/>
      </w:r>
      <w:r w:rsidR="008F7D90">
        <w:instrText xml:space="preserve"> REF _Ref70977350 \h </w:instrText>
      </w:r>
      <w:r w:rsidR="008F7D90">
        <w:fldChar w:fldCharType="end"/>
      </w:r>
      <w:r w:rsidR="00AE3AF5">
        <w:t>b</w:t>
      </w:r>
      <w:r w:rsidR="008F7D90">
        <w:t xml:space="preserve"> illustrates that these sharply increased the social sector’s share of the budget, as well as spending on social benefits (which was nonexistent prior to 2020). </w:t>
      </w:r>
      <w:r w:rsidR="008F7D90">
        <w:fldChar w:fldCharType="begin"/>
      </w:r>
      <w:r w:rsidR="008F7D90">
        <w:instrText xml:space="preserve"> REF _Ref70977350 \h </w:instrText>
      </w:r>
      <w:r w:rsidR="008F7D90">
        <w:fldChar w:fldCharType="separate"/>
      </w:r>
      <w:r w:rsidR="00DF4140">
        <w:fldChar w:fldCharType="begin"/>
      </w:r>
      <w:r w:rsidR="00DF4140">
        <w:instrText xml:space="preserve"> REF _Ref70977350 \h </w:instrText>
      </w:r>
      <w:r w:rsidR="00DF4140">
        <w:fldChar w:fldCharType="separate"/>
      </w:r>
      <w:r w:rsidR="00DF4140">
        <w:t xml:space="preserve">Figure </w:t>
      </w:r>
      <w:r w:rsidR="00DF4140">
        <w:rPr>
          <w:noProof/>
        </w:rPr>
        <w:t>15</w:t>
      </w:r>
      <w:r w:rsidR="00DF4140">
        <w:fldChar w:fldCharType="end"/>
      </w:r>
      <w:r w:rsidR="008F7D90">
        <w:fldChar w:fldCharType="end"/>
      </w:r>
      <w:r w:rsidR="008F7D90">
        <w:t xml:space="preserve"> also shows the steady increase in FGS spending on grants to</w:t>
      </w:r>
      <w:r w:rsidR="00CC141F" w:rsidRPr="00CC141F">
        <w:t xml:space="preserve"> subnational governments. </w:t>
      </w:r>
      <w:r w:rsidR="008F7D90">
        <w:t xml:space="preserve"> </w:t>
      </w:r>
    </w:p>
    <w:p w14:paraId="0B4F832B" w14:textId="3B915A3A" w:rsidR="007C6872" w:rsidRPr="00ED44BF" w:rsidRDefault="007C6872" w:rsidP="007C6872">
      <w:r>
        <w:rPr>
          <w:b/>
          <w:bCs/>
        </w:rPr>
        <w:t xml:space="preserve">Nevertheless, security and administration continue to </w:t>
      </w:r>
      <w:r w:rsidR="00ED44BF">
        <w:rPr>
          <w:b/>
          <w:bCs/>
        </w:rPr>
        <w:t>be the</w:t>
      </w:r>
      <w:r>
        <w:rPr>
          <w:b/>
          <w:bCs/>
        </w:rPr>
        <w:t xml:space="preserve"> FGS</w:t>
      </w:r>
      <w:r w:rsidR="00ED44BF">
        <w:rPr>
          <w:b/>
          <w:bCs/>
        </w:rPr>
        <w:t>’s top</w:t>
      </w:r>
      <w:r>
        <w:rPr>
          <w:b/>
          <w:bCs/>
        </w:rPr>
        <w:t xml:space="preserve"> spending priorities.</w:t>
      </w:r>
      <w:r w:rsidR="00ED44BF">
        <w:rPr>
          <w:b/>
          <w:bCs/>
        </w:rPr>
        <w:t xml:space="preserve"> </w:t>
      </w:r>
      <w:r w:rsidR="00ED44BF" w:rsidRPr="00ED44BF">
        <w:t xml:space="preserve">Even </w:t>
      </w:r>
      <w:r w:rsidR="00ED44BF">
        <w:t xml:space="preserve">if one excludes intergovernmental grants from the administration sector, total spending by these two sectors increased in nominal terms by 26 percent and the share of spending by these two sectors fell only to 48 percent in 2020 from 52 percent in 2019. </w:t>
      </w:r>
    </w:p>
    <w:p w14:paraId="70058711" w14:textId="2B9F5F4A" w:rsidR="007C6872" w:rsidRDefault="007C6872" w:rsidP="007C6872">
      <w:pPr>
        <w:pStyle w:val="Caption"/>
      </w:pPr>
      <w:bookmarkStart w:id="68" w:name="_Ref70977350"/>
      <w:bookmarkStart w:id="69" w:name="_Toc71725934"/>
      <w:r>
        <w:t xml:space="preserve">Figure </w:t>
      </w:r>
      <w:fldSimple w:instr=" SEQ Figure \* ARABIC ">
        <w:r w:rsidR="005A19B4">
          <w:rPr>
            <w:noProof/>
          </w:rPr>
          <w:t>16</w:t>
        </w:r>
      </w:fldSimple>
      <w:bookmarkEnd w:id="68"/>
      <w:r>
        <w:t>: Composition of FGS spending, 2016–20</w:t>
      </w:r>
      <w:bookmarkEnd w:id="6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641"/>
      </w:tblGrid>
      <w:tr w:rsidR="007C6872" w14:paraId="5BC10543" w14:textId="77777777" w:rsidTr="008A6BF1">
        <w:trPr>
          <w:jc w:val="center"/>
        </w:trPr>
        <w:tc>
          <w:tcPr>
            <w:tcW w:w="4666" w:type="dxa"/>
          </w:tcPr>
          <w:p w14:paraId="3ADB3A61" w14:textId="184AA609" w:rsidR="007C6872" w:rsidRDefault="007C6872" w:rsidP="007C6872">
            <w:pPr>
              <w:pStyle w:val="Figure"/>
            </w:pPr>
            <w:r>
              <w:drawing>
                <wp:inline distT="0" distB="0" distL="0" distR="0" wp14:anchorId="02D05EA5" wp14:editId="68E176FE">
                  <wp:extent cx="2946400" cy="2011680"/>
                  <wp:effectExtent l="0" t="0" r="6350" b="7620"/>
                  <wp:docPr id="23" name="Chart 23">
                    <a:extLst xmlns:a="http://schemas.openxmlformats.org/drawingml/2006/main">
                      <a:ext uri="{FF2B5EF4-FFF2-40B4-BE49-F238E27FC236}">
                        <a16:creationId xmlns:a16="http://schemas.microsoft.com/office/drawing/2014/main" id="{79A8A15C-BE81-46D8-9089-90132FC8D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94" w:type="dxa"/>
          </w:tcPr>
          <w:p w14:paraId="075B7C6D" w14:textId="50E4903C" w:rsidR="007C6872" w:rsidRDefault="008A6BF1" w:rsidP="007C6872">
            <w:pPr>
              <w:pStyle w:val="Figure"/>
            </w:pPr>
            <w:r>
              <w:drawing>
                <wp:inline distT="0" distB="0" distL="0" distR="0" wp14:anchorId="0D8FF8FA" wp14:editId="732CD526">
                  <wp:extent cx="2901950" cy="2027583"/>
                  <wp:effectExtent l="0" t="0" r="0" b="0"/>
                  <wp:docPr id="6" name="Chart 6">
                    <a:extLst xmlns:a="http://schemas.openxmlformats.org/drawingml/2006/main">
                      <a:ext uri="{FF2B5EF4-FFF2-40B4-BE49-F238E27FC236}">
                        <a16:creationId xmlns:a16="http://schemas.microsoft.com/office/drawing/2014/main" id="{A0111322-4CC2-4E11-BAFC-306E1F694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6FA40332" w14:textId="63BCCBE6" w:rsidR="007C6872" w:rsidRPr="00F31F37" w:rsidRDefault="007C6872" w:rsidP="007C6872">
      <w:pPr>
        <w:pStyle w:val="Source"/>
      </w:pPr>
      <w:r>
        <w:t>Source: Staff calculations based on IMF, MOF and World Bank data</w:t>
      </w:r>
    </w:p>
    <w:p w14:paraId="22994A68" w14:textId="20B851D7" w:rsidR="00AB24D1" w:rsidRDefault="00AB24D1" w:rsidP="00AB24D1">
      <w:pPr>
        <w:jc w:val="both"/>
        <w:rPr>
          <w:bCs/>
        </w:rPr>
      </w:pPr>
      <w:r w:rsidRPr="007C6872">
        <w:rPr>
          <w:b/>
          <w:bCs/>
        </w:rPr>
        <w:t>The wage bill continue</w:t>
      </w:r>
      <w:r>
        <w:rPr>
          <w:b/>
          <w:bCs/>
        </w:rPr>
        <w:t>s</w:t>
      </w:r>
      <w:r w:rsidRPr="007C6872">
        <w:rPr>
          <w:b/>
          <w:bCs/>
        </w:rPr>
        <w:t xml:space="preserve"> to </w:t>
      </w:r>
      <w:r>
        <w:rPr>
          <w:b/>
          <w:bCs/>
        </w:rPr>
        <w:t>absorb</w:t>
      </w:r>
      <w:r w:rsidRPr="007C6872">
        <w:rPr>
          <w:b/>
          <w:bCs/>
        </w:rPr>
        <w:t xml:space="preserve"> the lion’s share of total expenditure</w:t>
      </w:r>
      <w:r>
        <w:t xml:space="preserve"> (</w:t>
      </w:r>
      <w:r w:rsidR="00BD290D">
        <w:fldChar w:fldCharType="begin"/>
      </w:r>
      <w:r w:rsidR="00BD290D">
        <w:instrText xml:space="preserve"> REF _Ref70977350 \h </w:instrText>
      </w:r>
      <w:r w:rsidR="00BD290D">
        <w:fldChar w:fldCharType="separate"/>
      </w:r>
      <w:r w:rsidR="005A19B4">
        <w:t xml:space="preserve">Figure </w:t>
      </w:r>
      <w:r w:rsidR="005A19B4">
        <w:rPr>
          <w:noProof/>
        </w:rPr>
        <w:t>16</w:t>
      </w:r>
      <w:r w:rsidR="00BD290D">
        <w:fldChar w:fldCharType="end"/>
      </w:r>
      <w:r>
        <w:t xml:space="preserve">a). </w:t>
      </w:r>
      <w:r w:rsidRPr="00261E85">
        <w:rPr>
          <w:bCs/>
        </w:rPr>
        <w:t xml:space="preserve">It </w:t>
      </w:r>
      <w:r w:rsidRPr="00E357E9">
        <w:rPr>
          <w:bCs/>
        </w:rPr>
        <w:t xml:space="preserve">increased by 39 percent in 2020 to 4.6 percent of GDP from 3.3 percent in 2019; accounting for almost half of total spending. This is </w:t>
      </w:r>
      <w:r>
        <w:rPr>
          <w:bCs/>
        </w:rPr>
        <w:t>attributed</w:t>
      </w:r>
      <w:r w:rsidRPr="00E357E9">
        <w:rPr>
          <w:bCs/>
        </w:rPr>
        <w:t xml:space="preserve"> mainly to the new and harmonized salary scales for both the Somalia National Army and the police force</w:t>
      </w:r>
      <w:r>
        <w:rPr>
          <w:bCs/>
        </w:rPr>
        <w:t>.</w:t>
      </w:r>
      <w:r>
        <w:rPr>
          <w:rStyle w:val="FootnoteReference"/>
          <w:rFonts w:ascii="Calibri" w:eastAsia="Times New Roman" w:hAnsi="Calibri" w:cs="Calibri"/>
          <w:bCs/>
        </w:rPr>
        <w:footnoteReference w:id="18"/>
      </w:r>
      <w:r w:rsidRPr="00E357E9">
        <w:rPr>
          <w:bCs/>
        </w:rPr>
        <w:t xml:space="preserve"> </w:t>
      </w:r>
      <w:r>
        <w:rPr>
          <w:bCs/>
        </w:rPr>
        <w:t xml:space="preserve">Administration sector wages increased by 14 percent, economic services by 25 percent, and social services by 13 percent. Both administration and security sectors account for over 80 percent of the total FGS wage bill. </w:t>
      </w:r>
    </w:p>
    <w:p w14:paraId="6DC830CD" w14:textId="2C4674E7" w:rsidR="00AB24D1" w:rsidRDefault="00AB24D1" w:rsidP="00AB24D1">
      <w:pPr>
        <w:jc w:val="both"/>
        <w:rPr>
          <w:bCs/>
        </w:rPr>
      </w:pPr>
      <w:r w:rsidRPr="009C5223">
        <w:rPr>
          <w:b/>
        </w:rPr>
        <w:t>Public investment spending remains low.</w:t>
      </w:r>
      <w:r>
        <w:rPr>
          <w:bCs/>
        </w:rPr>
        <w:t xml:space="preserve"> Despite increasing by 25 percent in nominal terms in 2020, capital spending’s share of spending fell slightly to 3.7 percent of total FGS spending in 2020 from 4.7 percent in 2019.</w:t>
      </w:r>
      <w:r w:rsidR="00F63C39">
        <w:rPr>
          <w:bCs/>
        </w:rPr>
        <w:t xml:space="preserve"> Under-execution is also a problem</w:t>
      </w:r>
      <w:r w:rsidR="00345EEA">
        <w:rPr>
          <w:bCs/>
        </w:rPr>
        <w:t>, in addition to low budget allocations</w:t>
      </w:r>
      <w:r w:rsidR="00F63C39">
        <w:rPr>
          <w:bCs/>
        </w:rPr>
        <w:t>.</w:t>
      </w:r>
      <w:r>
        <w:rPr>
          <w:bCs/>
        </w:rPr>
        <w:t xml:space="preserve"> Projects spent only 44 percent of the funds appropriated in the revised budget for capital investments. </w:t>
      </w:r>
    </w:p>
    <w:p w14:paraId="0E3C457D" w14:textId="62A7E40B" w:rsidR="007300FD" w:rsidRDefault="00345EEA" w:rsidP="007300FD">
      <w:pPr>
        <w:jc w:val="both"/>
        <w:rPr>
          <w:bCs/>
        </w:rPr>
      </w:pPr>
      <w:r>
        <w:rPr>
          <w:rFonts w:ascii="Calibri" w:eastAsia="Times New Roman" w:hAnsi="Calibri" w:cs="Calibri"/>
          <w:b/>
        </w:rPr>
        <w:t>Diversifying</w:t>
      </w:r>
      <w:r w:rsidR="00F63C39" w:rsidRPr="00F63C39">
        <w:rPr>
          <w:rFonts w:ascii="Calibri" w:eastAsia="Times New Roman" w:hAnsi="Calibri" w:cs="Calibri"/>
          <w:b/>
        </w:rPr>
        <w:t xml:space="preserve"> sources of revenue continues to be an urgent priority.</w:t>
      </w:r>
      <w:r w:rsidR="00F63C39">
        <w:rPr>
          <w:rFonts w:ascii="Calibri" w:eastAsia="Times New Roman" w:hAnsi="Calibri" w:cs="Calibri"/>
          <w:bCs/>
        </w:rPr>
        <w:t xml:space="preserve"> Since its establishment in 2012, the FGS has made great strides </w:t>
      </w:r>
      <w:r>
        <w:rPr>
          <w:rFonts w:ascii="Calibri" w:eastAsia="Times New Roman" w:hAnsi="Calibri" w:cs="Calibri"/>
          <w:bCs/>
        </w:rPr>
        <w:t>towards</w:t>
      </w:r>
      <w:r w:rsidR="00F63C39">
        <w:rPr>
          <w:rFonts w:ascii="Calibri" w:eastAsia="Times New Roman" w:hAnsi="Calibri" w:cs="Calibri"/>
          <w:bCs/>
        </w:rPr>
        <w:t xml:space="preserve"> rebuilding the legal and institutional framework for inland revenue administration.</w:t>
      </w:r>
      <w:r w:rsidR="00F63C39">
        <w:rPr>
          <w:rStyle w:val="FootnoteReference"/>
          <w:rFonts w:ascii="Calibri" w:eastAsia="Times New Roman" w:hAnsi="Calibri" w:cs="Calibri"/>
          <w:bCs/>
        </w:rPr>
        <w:footnoteReference w:id="19"/>
      </w:r>
      <w:r>
        <w:rPr>
          <w:rFonts w:ascii="Calibri" w:eastAsia="Times New Roman" w:hAnsi="Calibri" w:cs="Calibri"/>
          <w:bCs/>
        </w:rPr>
        <w:t xml:space="preserve"> The government is heavily dependent on revenue derived from international trade, transport</w:t>
      </w:r>
      <w:r w:rsidR="00F12FB3">
        <w:rPr>
          <w:rFonts w:ascii="Calibri" w:eastAsia="Times New Roman" w:hAnsi="Calibri" w:cs="Calibri"/>
          <w:bCs/>
        </w:rPr>
        <w:t>,</w:t>
      </w:r>
      <w:r>
        <w:rPr>
          <w:rFonts w:ascii="Calibri" w:eastAsia="Times New Roman" w:hAnsi="Calibri" w:cs="Calibri"/>
          <w:bCs/>
        </w:rPr>
        <w:t xml:space="preserve"> and travel</w:t>
      </w:r>
      <w:r w:rsidR="00F12FB3">
        <w:rPr>
          <w:rFonts w:ascii="Calibri" w:eastAsia="Times New Roman" w:hAnsi="Calibri" w:cs="Calibri"/>
          <w:bCs/>
        </w:rPr>
        <w:t xml:space="preserve">—which, as the current global crisis underscores, are extremely vulnerable to shocks. These revenue streams accounted for 72 percent of domestic revenue in 2020 (only a modest decline </w:t>
      </w:r>
      <w:r w:rsidR="00F12FB3">
        <w:rPr>
          <w:rFonts w:ascii="Calibri" w:eastAsia="Times New Roman" w:hAnsi="Calibri" w:cs="Calibri"/>
          <w:bCs/>
        </w:rPr>
        <w:lastRenderedPageBreak/>
        <w:t>from 76 percent in 2018).</w:t>
      </w:r>
      <w:r w:rsidR="00F12FB3">
        <w:rPr>
          <w:rStyle w:val="FootnoteReference"/>
          <w:rFonts w:ascii="Calibri" w:eastAsia="Times New Roman" w:hAnsi="Calibri" w:cs="Calibri"/>
          <w:bCs/>
        </w:rPr>
        <w:footnoteReference w:id="20"/>
      </w:r>
      <w:r w:rsidR="007300FD">
        <w:rPr>
          <w:rFonts w:ascii="Calibri" w:eastAsia="Times New Roman" w:hAnsi="Calibri" w:cs="Calibri"/>
          <w:bCs/>
        </w:rPr>
        <w:t xml:space="preserve"> Meanwhile, the FGS’s reliance on external grants increased sharply in 2020 as a result of both reengagement with IFIs and the onset of the triple crisis, rising to 58 percent of total revenue and grants from 33 percent in 2019. Such heavy reliance poses a </w:t>
      </w:r>
      <w:r w:rsidR="007300FD">
        <w:t>risk to fiscal operations</w:t>
      </w:r>
      <w:r w:rsidR="00FA5624">
        <w:t xml:space="preserve"> and undermine budget credibility</w:t>
      </w:r>
      <w:r w:rsidR="007300FD">
        <w:t xml:space="preserve"> when these funds are not realized and/or disbursements are low.</w:t>
      </w:r>
    </w:p>
    <w:p w14:paraId="55028786" w14:textId="5DFB0F59" w:rsidR="001F2277" w:rsidRPr="008E6ED9" w:rsidRDefault="001F2277" w:rsidP="00196909">
      <w:pPr>
        <w:pStyle w:val="Heading2"/>
      </w:pPr>
      <w:bookmarkStart w:id="70" w:name="_Toc71725892"/>
      <w:r w:rsidRPr="008E6ED9">
        <w:t xml:space="preserve">Intergovernmental grants eased fiscal stress at subnational level especially among </w:t>
      </w:r>
      <w:r w:rsidR="00196909">
        <w:t>s</w:t>
      </w:r>
      <w:r w:rsidRPr="008E6ED9">
        <w:t>tates with no ports</w:t>
      </w:r>
      <w:bookmarkEnd w:id="70"/>
    </w:p>
    <w:p w14:paraId="5D15F27A" w14:textId="7973E5C7" w:rsidR="001F2277" w:rsidRDefault="001F2277" w:rsidP="001F2277">
      <w:pPr>
        <w:spacing w:before="120" w:after="120" w:line="276" w:lineRule="auto"/>
        <w:jc w:val="both"/>
        <w:rPr>
          <w:rFonts w:ascii="Calibri" w:eastAsia="Times New Roman" w:hAnsi="Calibri" w:cs="Calibri"/>
          <w:bCs/>
        </w:rPr>
      </w:pPr>
      <w:r>
        <w:rPr>
          <w:rFonts w:ascii="Calibri" w:eastAsia="Times New Roman" w:hAnsi="Calibri" w:cs="Calibri"/>
          <w:b/>
        </w:rPr>
        <w:t>D</w:t>
      </w:r>
      <w:r w:rsidRPr="0007524C">
        <w:rPr>
          <w:rFonts w:ascii="Calibri" w:eastAsia="Times New Roman" w:hAnsi="Calibri" w:cs="Calibri"/>
          <w:b/>
        </w:rPr>
        <w:t xml:space="preserve">omestic revenue performance </w:t>
      </w:r>
      <w:r w:rsidR="001874CA">
        <w:rPr>
          <w:rFonts w:ascii="Calibri" w:eastAsia="Times New Roman" w:hAnsi="Calibri" w:cs="Calibri"/>
          <w:b/>
        </w:rPr>
        <w:t>was muted in almost all</w:t>
      </w:r>
      <w:r w:rsidR="001874CA" w:rsidRPr="0007524C">
        <w:rPr>
          <w:rFonts w:ascii="Calibri" w:eastAsia="Times New Roman" w:hAnsi="Calibri" w:cs="Calibri"/>
          <w:b/>
        </w:rPr>
        <w:t xml:space="preserve"> </w:t>
      </w:r>
      <w:r w:rsidRPr="0007524C">
        <w:rPr>
          <w:rFonts w:ascii="Calibri" w:eastAsia="Times New Roman" w:hAnsi="Calibri" w:cs="Calibri"/>
          <w:b/>
        </w:rPr>
        <w:t xml:space="preserve">the FMSs </w:t>
      </w:r>
      <w:r>
        <w:rPr>
          <w:rFonts w:ascii="Calibri" w:eastAsia="Times New Roman" w:hAnsi="Calibri" w:cs="Calibri"/>
          <w:b/>
        </w:rPr>
        <w:t>in 2020</w:t>
      </w:r>
      <w:r w:rsidR="00196909">
        <w:rPr>
          <w:rFonts w:ascii="Calibri" w:eastAsia="Times New Roman" w:hAnsi="Calibri" w:cs="Calibri"/>
          <w:b/>
        </w:rPr>
        <w:t>.</w:t>
      </w:r>
      <w:r w:rsidRPr="0007524C">
        <w:rPr>
          <w:rFonts w:ascii="Calibri" w:eastAsia="Times New Roman" w:hAnsi="Calibri" w:cs="Calibri"/>
          <w:b/>
        </w:rPr>
        <w:t xml:space="preserve">  </w:t>
      </w:r>
      <w:r>
        <w:rPr>
          <w:rFonts w:ascii="Calibri" w:eastAsia="Times New Roman" w:hAnsi="Calibri" w:cs="Calibri"/>
          <w:bCs/>
        </w:rPr>
        <w:t>Tax revenue in Puntland increased by 15 percent</w:t>
      </w:r>
      <w:r w:rsidR="00AA1608">
        <w:rPr>
          <w:rFonts w:ascii="Calibri" w:eastAsia="Times New Roman" w:hAnsi="Calibri" w:cs="Calibri"/>
          <w:bCs/>
        </w:rPr>
        <w:t xml:space="preserve"> over 2020,</w:t>
      </w:r>
      <w:r>
        <w:rPr>
          <w:rFonts w:ascii="Calibri" w:eastAsia="Times New Roman" w:hAnsi="Calibri" w:cs="Calibri"/>
          <w:bCs/>
        </w:rPr>
        <w:t xml:space="preserve"> driven by taxes on goods and services and a strong rebound on trade taxes</w:t>
      </w:r>
      <w:r w:rsidR="005D12C1">
        <w:rPr>
          <w:rFonts w:ascii="Calibri" w:eastAsia="Times New Roman" w:hAnsi="Calibri" w:cs="Calibri"/>
          <w:bCs/>
        </w:rPr>
        <w:t xml:space="preserve"> (</w:t>
      </w:r>
      <w:r w:rsidR="00654F72" w:rsidRPr="00654F72">
        <w:rPr>
          <w:rFonts w:ascii="Calibri" w:eastAsia="Times New Roman" w:hAnsi="Calibri" w:cs="Calibri"/>
          <w:bCs/>
        </w:rPr>
        <w:fldChar w:fldCharType="begin"/>
      </w:r>
      <w:r w:rsidR="00654F72" w:rsidRPr="00654F72">
        <w:rPr>
          <w:rFonts w:ascii="Calibri" w:eastAsia="Times New Roman" w:hAnsi="Calibri" w:cs="Calibri"/>
          <w:bCs/>
        </w:rPr>
        <w:instrText xml:space="preserve"> REF _Ref70983399 \h  \* MERGEFORMAT </w:instrText>
      </w:r>
      <w:r w:rsidR="00654F72" w:rsidRPr="00654F72">
        <w:rPr>
          <w:rFonts w:ascii="Calibri" w:eastAsia="Times New Roman" w:hAnsi="Calibri" w:cs="Calibri"/>
          <w:bCs/>
        </w:rPr>
      </w:r>
      <w:r w:rsidR="00654F72" w:rsidRPr="00654F72">
        <w:rPr>
          <w:rFonts w:ascii="Calibri" w:eastAsia="Times New Roman" w:hAnsi="Calibri" w:cs="Calibri"/>
          <w:bCs/>
        </w:rPr>
        <w:fldChar w:fldCharType="separate"/>
      </w:r>
      <w:r w:rsidR="005A19B4" w:rsidRPr="005A19B4">
        <w:rPr>
          <w:bCs/>
        </w:rPr>
        <w:t xml:space="preserve">Figure </w:t>
      </w:r>
      <w:r w:rsidR="005A19B4" w:rsidRPr="005A19B4">
        <w:rPr>
          <w:bCs/>
          <w:noProof/>
        </w:rPr>
        <w:t>17</w:t>
      </w:r>
      <w:r w:rsidR="00654F72" w:rsidRPr="00654F72">
        <w:rPr>
          <w:rFonts w:ascii="Calibri" w:eastAsia="Times New Roman" w:hAnsi="Calibri" w:cs="Calibri"/>
          <w:bCs/>
        </w:rPr>
        <w:fldChar w:fldCharType="end"/>
      </w:r>
      <w:r w:rsidR="005D12C1" w:rsidRPr="00654F72">
        <w:rPr>
          <w:rFonts w:ascii="Calibri" w:eastAsia="Times New Roman" w:hAnsi="Calibri" w:cs="Calibri"/>
          <w:bCs/>
        </w:rPr>
        <w:t>a</w:t>
      </w:r>
      <w:r w:rsidR="005D12C1">
        <w:rPr>
          <w:rFonts w:ascii="Calibri" w:eastAsia="Times New Roman" w:hAnsi="Calibri" w:cs="Calibri"/>
          <w:bCs/>
        </w:rPr>
        <w:t>)</w:t>
      </w:r>
      <w:r>
        <w:rPr>
          <w:rFonts w:ascii="Calibri" w:eastAsia="Times New Roman" w:hAnsi="Calibri" w:cs="Calibri"/>
          <w:bCs/>
        </w:rPr>
        <w:t>. However, grants offset underperformance in other revenue stream</w:t>
      </w:r>
      <w:r w:rsidR="005D12C1">
        <w:rPr>
          <w:rFonts w:ascii="Calibri" w:eastAsia="Times New Roman" w:hAnsi="Calibri" w:cs="Calibri"/>
          <w:bCs/>
        </w:rPr>
        <w:t>s</w:t>
      </w:r>
      <w:r>
        <w:rPr>
          <w:rFonts w:ascii="Calibri" w:eastAsia="Times New Roman" w:hAnsi="Calibri" w:cs="Calibri"/>
          <w:bCs/>
        </w:rPr>
        <w:t xml:space="preserve">. </w:t>
      </w:r>
      <w:r w:rsidR="005D12C1">
        <w:rPr>
          <w:rFonts w:ascii="Calibri" w:eastAsia="Times New Roman" w:hAnsi="Calibri" w:cs="Calibri"/>
          <w:bCs/>
        </w:rPr>
        <w:t>In contrast</w:t>
      </w:r>
      <w:r>
        <w:rPr>
          <w:rFonts w:ascii="Calibri" w:eastAsia="Times New Roman" w:hAnsi="Calibri" w:cs="Calibri"/>
          <w:bCs/>
        </w:rPr>
        <w:t xml:space="preserve">, </w:t>
      </w:r>
      <w:proofErr w:type="spellStart"/>
      <w:r>
        <w:rPr>
          <w:rFonts w:ascii="Calibri" w:eastAsia="Times New Roman" w:hAnsi="Calibri" w:cs="Calibri"/>
          <w:bCs/>
        </w:rPr>
        <w:t>Jubbaland</w:t>
      </w:r>
      <w:proofErr w:type="spellEnd"/>
      <w:r>
        <w:rPr>
          <w:rFonts w:ascii="Calibri" w:eastAsia="Times New Roman" w:hAnsi="Calibri" w:cs="Calibri"/>
          <w:bCs/>
        </w:rPr>
        <w:t xml:space="preserve"> experienced 22 percent tax revenue shortfall with taxes of goods and services dragging performance by 50 percent compared to 2019 outturn. However, strong collection in trade taxes (17 percent higher than 2019) and grants eased the contraction. </w:t>
      </w:r>
      <w:r w:rsidRPr="00A9053F">
        <w:rPr>
          <w:rFonts w:ascii="Calibri" w:eastAsia="Times New Roman" w:hAnsi="Calibri" w:cs="Calibri"/>
          <w:bCs/>
        </w:rPr>
        <w:t xml:space="preserve">The newer states (SWS, GSS and HSS) benefited from increased grant financing </w:t>
      </w:r>
      <w:r>
        <w:rPr>
          <w:rFonts w:ascii="Calibri" w:eastAsia="Times New Roman" w:hAnsi="Calibri" w:cs="Calibri"/>
          <w:bCs/>
        </w:rPr>
        <w:t>as domestic revenue in these states remains very small.</w:t>
      </w:r>
    </w:p>
    <w:p w14:paraId="2E041826" w14:textId="6322DAE2" w:rsidR="001F2277" w:rsidRDefault="001F2277" w:rsidP="001F2277">
      <w:pPr>
        <w:spacing w:before="120" w:after="240" w:line="276" w:lineRule="auto"/>
        <w:jc w:val="both"/>
        <w:rPr>
          <w:rFonts w:ascii="Calibri" w:eastAsia="Times New Roman" w:hAnsi="Calibri" w:cs="Calibri"/>
          <w:bCs/>
        </w:rPr>
      </w:pPr>
      <w:r w:rsidRPr="008157DD">
        <w:rPr>
          <w:rFonts w:ascii="Calibri" w:eastAsia="Times New Roman" w:hAnsi="Calibri" w:cs="Calibri"/>
          <w:b/>
        </w:rPr>
        <w:t>Expenditure pressure across all the FMSs increased in 2020 as COVID-19 global pandemic ravaged the country</w:t>
      </w:r>
      <w:r w:rsidR="005D12C1">
        <w:rPr>
          <w:rFonts w:ascii="Calibri" w:eastAsia="Times New Roman" w:hAnsi="Calibri" w:cs="Calibri"/>
          <w:b/>
        </w:rPr>
        <w:t xml:space="preserve"> </w:t>
      </w:r>
      <w:r w:rsidR="005D12C1" w:rsidRPr="005D12C1">
        <w:rPr>
          <w:rFonts w:ascii="Calibri" w:eastAsia="Times New Roman" w:hAnsi="Calibri" w:cs="Calibri"/>
          <w:bCs/>
        </w:rPr>
        <w:t>(</w:t>
      </w:r>
      <w:r w:rsidR="00654F72" w:rsidRPr="00654F72">
        <w:rPr>
          <w:rFonts w:ascii="Calibri" w:eastAsia="Times New Roman" w:hAnsi="Calibri" w:cs="Calibri"/>
          <w:bCs/>
        </w:rPr>
        <w:fldChar w:fldCharType="begin"/>
      </w:r>
      <w:r w:rsidR="00654F72" w:rsidRPr="00654F72">
        <w:rPr>
          <w:rFonts w:ascii="Calibri" w:eastAsia="Times New Roman" w:hAnsi="Calibri" w:cs="Calibri"/>
          <w:bCs/>
        </w:rPr>
        <w:instrText xml:space="preserve"> REF _Ref70983399 \h  \* MERGEFORMAT </w:instrText>
      </w:r>
      <w:r w:rsidR="00654F72" w:rsidRPr="00654F72">
        <w:rPr>
          <w:rFonts w:ascii="Calibri" w:eastAsia="Times New Roman" w:hAnsi="Calibri" w:cs="Calibri"/>
          <w:bCs/>
        </w:rPr>
      </w:r>
      <w:r w:rsidR="00654F72" w:rsidRPr="00654F72">
        <w:rPr>
          <w:rFonts w:ascii="Calibri" w:eastAsia="Times New Roman" w:hAnsi="Calibri" w:cs="Calibri"/>
          <w:bCs/>
        </w:rPr>
        <w:fldChar w:fldCharType="separate"/>
      </w:r>
      <w:r w:rsidR="005A19B4" w:rsidRPr="005A19B4">
        <w:rPr>
          <w:bCs/>
        </w:rPr>
        <w:t xml:space="preserve">Figure </w:t>
      </w:r>
      <w:r w:rsidR="005A19B4" w:rsidRPr="005A19B4">
        <w:rPr>
          <w:bCs/>
          <w:noProof/>
        </w:rPr>
        <w:t>17</w:t>
      </w:r>
      <w:r w:rsidR="00654F72" w:rsidRPr="00654F72">
        <w:rPr>
          <w:rFonts w:ascii="Calibri" w:eastAsia="Times New Roman" w:hAnsi="Calibri" w:cs="Calibri"/>
          <w:bCs/>
        </w:rPr>
        <w:fldChar w:fldCharType="end"/>
      </w:r>
      <w:r w:rsidR="005D12C1" w:rsidRPr="00654F72">
        <w:rPr>
          <w:rFonts w:ascii="Calibri" w:eastAsia="Times New Roman" w:hAnsi="Calibri" w:cs="Calibri"/>
          <w:bCs/>
        </w:rPr>
        <w:t>b)</w:t>
      </w:r>
      <w:r w:rsidRPr="005D12C1">
        <w:rPr>
          <w:rFonts w:ascii="Calibri" w:eastAsia="Times New Roman" w:hAnsi="Calibri" w:cs="Calibri"/>
          <w:bCs/>
        </w:rPr>
        <w:t>.</w:t>
      </w:r>
      <w:r>
        <w:rPr>
          <w:rFonts w:ascii="Calibri" w:eastAsia="Times New Roman" w:hAnsi="Calibri" w:cs="Calibri"/>
          <w:bCs/>
        </w:rPr>
        <w:t xml:space="preserve"> Like the FGS, </w:t>
      </w:r>
      <w:r w:rsidR="005D12C1">
        <w:rPr>
          <w:rFonts w:ascii="Calibri" w:eastAsia="Times New Roman" w:hAnsi="Calibri" w:cs="Calibri"/>
          <w:bCs/>
        </w:rPr>
        <w:t>budgets in the</w:t>
      </w:r>
      <w:r>
        <w:rPr>
          <w:rFonts w:ascii="Calibri" w:eastAsia="Times New Roman" w:hAnsi="Calibri" w:cs="Calibri"/>
          <w:bCs/>
        </w:rPr>
        <w:t xml:space="preserve"> FMSs are largely</w:t>
      </w:r>
      <w:r w:rsidRPr="008B0C27">
        <w:rPr>
          <w:rFonts w:ascii="Calibri" w:eastAsia="Times New Roman" w:hAnsi="Calibri" w:cs="Calibri"/>
          <w:bCs/>
        </w:rPr>
        <w:t xml:space="preserve"> </w:t>
      </w:r>
      <w:r w:rsidR="005D12C1">
        <w:rPr>
          <w:rFonts w:ascii="Calibri" w:eastAsia="Times New Roman" w:hAnsi="Calibri" w:cs="Calibri"/>
          <w:bCs/>
        </w:rPr>
        <w:t xml:space="preserve">allocated </w:t>
      </w:r>
      <w:r w:rsidRPr="008B0C27">
        <w:rPr>
          <w:rFonts w:ascii="Calibri" w:eastAsia="Times New Roman" w:hAnsi="Calibri" w:cs="Calibri"/>
          <w:bCs/>
        </w:rPr>
        <w:t xml:space="preserve">the </w:t>
      </w:r>
      <w:r w:rsidR="005D12C1">
        <w:rPr>
          <w:rFonts w:ascii="Calibri" w:eastAsia="Times New Roman" w:hAnsi="Calibri" w:cs="Calibri"/>
          <w:bCs/>
        </w:rPr>
        <w:t xml:space="preserve">spending </w:t>
      </w:r>
      <w:r w:rsidRPr="008B0C27">
        <w:rPr>
          <w:rFonts w:ascii="Calibri" w:eastAsia="Times New Roman" w:hAnsi="Calibri" w:cs="Calibri"/>
          <w:bCs/>
        </w:rPr>
        <w:t>compensation of employees</w:t>
      </w:r>
      <w:r>
        <w:rPr>
          <w:rFonts w:ascii="Calibri" w:eastAsia="Times New Roman" w:hAnsi="Calibri" w:cs="Calibri"/>
          <w:bCs/>
        </w:rPr>
        <w:t xml:space="preserve"> and use of goods and services, leaving no fiscal space for investment</w:t>
      </w:r>
      <w:r w:rsidR="005D12C1">
        <w:rPr>
          <w:rFonts w:ascii="Calibri" w:eastAsia="Times New Roman" w:hAnsi="Calibri" w:cs="Calibri"/>
          <w:bCs/>
        </w:rPr>
        <w:t>s</w:t>
      </w:r>
      <w:r>
        <w:rPr>
          <w:rFonts w:ascii="Calibri" w:eastAsia="Times New Roman" w:hAnsi="Calibri" w:cs="Calibri"/>
          <w:bCs/>
        </w:rPr>
        <w:t xml:space="preserve"> </w:t>
      </w:r>
      <w:r w:rsidR="005D12C1">
        <w:rPr>
          <w:rFonts w:ascii="Calibri" w:eastAsia="Times New Roman" w:hAnsi="Calibri" w:cs="Calibri"/>
          <w:bCs/>
        </w:rPr>
        <w:t>or</w:t>
      </w:r>
      <w:r>
        <w:rPr>
          <w:rFonts w:ascii="Calibri" w:eastAsia="Times New Roman" w:hAnsi="Calibri" w:cs="Calibri"/>
          <w:bCs/>
        </w:rPr>
        <w:t xml:space="preserve"> service delivery.</w:t>
      </w:r>
    </w:p>
    <w:p w14:paraId="5D2B4164" w14:textId="77777777" w:rsidR="00CC38C5" w:rsidRDefault="00EB540B" w:rsidP="0059119E">
      <w:pPr>
        <w:spacing w:before="120" w:after="240" w:line="276" w:lineRule="auto"/>
        <w:jc w:val="both"/>
        <w:rPr>
          <w:rFonts w:ascii="Calibri" w:eastAsia="Times New Roman" w:hAnsi="Calibri" w:cs="Calibri"/>
          <w:bCs/>
        </w:rPr>
      </w:pPr>
      <w:r w:rsidRPr="005E6AD3">
        <w:rPr>
          <w:rFonts w:ascii="Calibri" w:eastAsia="Times New Roman" w:hAnsi="Calibri" w:cs="Calibri"/>
          <w:b/>
        </w:rPr>
        <w:t>The COVID-19 crisis</w:t>
      </w:r>
      <w:r>
        <w:rPr>
          <w:rFonts w:ascii="Calibri" w:eastAsia="Times New Roman" w:hAnsi="Calibri" w:cs="Calibri"/>
          <w:b/>
        </w:rPr>
        <w:t xml:space="preserve"> has enhanced i</w:t>
      </w:r>
      <w:r w:rsidRPr="00711153">
        <w:rPr>
          <w:rFonts w:ascii="Calibri" w:eastAsia="Times New Roman" w:hAnsi="Calibri" w:cs="Calibri"/>
          <w:b/>
        </w:rPr>
        <w:t>ntergovernmental cooperation</w:t>
      </w:r>
      <w:r>
        <w:rPr>
          <w:rFonts w:ascii="Calibri" w:eastAsia="Times New Roman" w:hAnsi="Calibri" w:cs="Calibri"/>
          <w:b/>
        </w:rPr>
        <w:t xml:space="preserve">. </w:t>
      </w:r>
      <w:r w:rsidRPr="00711153">
        <w:rPr>
          <w:rFonts w:ascii="Calibri" w:eastAsia="Times New Roman" w:hAnsi="Calibri" w:cs="Calibri"/>
          <w:bCs/>
        </w:rPr>
        <w:t xml:space="preserve">Federal and subnational governments </w:t>
      </w:r>
      <w:r w:rsidRPr="00856F22">
        <w:rPr>
          <w:rFonts w:ascii="Calibri" w:eastAsia="Times New Roman" w:hAnsi="Calibri" w:cs="Calibri"/>
          <w:bCs/>
        </w:rPr>
        <w:t xml:space="preserve">engaged in a </w:t>
      </w:r>
      <w:r w:rsidRPr="00711153">
        <w:rPr>
          <w:rFonts w:ascii="Calibri" w:eastAsia="Times New Roman" w:hAnsi="Calibri" w:cs="Calibri"/>
          <w:bCs/>
        </w:rPr>
        <w:t>coordinated national response at the onset of the COVID-19 pandemic</w:t>
      </w:r>
      <w:r w:rsidRPr="00856F22">
        <w:rPr>
          <w:rFonts w:ascii="Calibri" w:eastAsia="Times New Roman" w:hAnsi="Calibri" w:cs="Calibri"/>
          <w:bCs/>
        </w:rPr>
        <w:t xml:space="preserve"> in Somalia</w:t>
      </w:r>
      <w:r>
        <w:rPr>
          <w:rFonts w:ascii="Calibri" w:eastAsia="Times New Roman" w:hAnsi="Calibri" w:cs="Calibri"/>
          <w:bCs/>
        </w:rPr>
        <w:t xml:space="preserve"> which saw increased </w:t>
      </w:r>
      <w:r w:rsidRPr="00711153">
        <w:rPr>
          <w:rFonts w:ascii="Calibri" w:eastAsia="Times New Roman" w:hAnsi="Calibri" w:cs="Calibri"/>
          <w:bCs/>
        </w:rPr>
        <w:t xml:space="preserve">mobilization of </w:t>
      </w:r>
      <w:r>
        <w:rPr>
          <w:rFonts w:ascii="Calibri" w:eastAsia="Times New Roman" w:hAnsi="Calibri" w:cs="Calibri"/>
          <w:bCs/>
        </w:rPr>
        <w:t xml:space="preserve">external </w:t>
      </w:r>
      <w:r w:rsidRPr="00856F22">
        <w:rPr>
          <w:rFonts w:ascii="Calibri" w:eastAsia="Times New Roman" w:hAnsi="Calibri" w:cs="Calibri"/>
          <w:bCs/>
        </w:rPr>
        <w:t>assistance</w:t>
      </w:r>
      <w:r>
        <w:rPr>
          <w:rFonts w:ascii="Calibri" w:eastAsia="Times New Roman" w:hAnsi="Calibri" w:cs="Calibri"/>
          <w:bCs/>
        </w:rPr>
        <w:t xml:space="preserve"> easing fiscal stress across jurisdictions. This continued coordinated effort </w:t>
      </w:r>
      <w:r w:rsidR="003001E8">
        <w:rPr>
          <w:rFonts w:ascii="Calibri" w:eastAsia="Times New Roman" w:hAnsi="Calibri" w:cs="Calibri"/>
          <w:bCs/>
        </w:rPr>
        <w:t>is</w:t>
      </w:r>
      <w:r w:rsidRPr="0078432C">
        <w:rPr>
          <w:rFonts w:ascii="Calibri" w:eastAsia="Times New Roman" w:hAnsi="Calibri" w:cs="Calibri"/>
          <w:bCs/>
        </w:rPr>
        <w:t xml:space="preserve"> </w:t>
      </w:r>
      <w:r>
        <w:rPr>
          <w:rFonts w:ascii="Calibri" w:eastAsia="Times New Roman" w:hAnsi="Calibri" w:cs="Calibri"/>
          <w:bCs/>
        </w:rPr>
        <w:t xml:space="preserve">also </w:t>
      </w:r>
      <w:r w:rsidR="003001E8">
        <w:rPr>
          <w:rFonts w:ascii="Calibri" w:eastAsia="Times New Roman" w:hAnsi="Calibri" w:cs="Calibri"/>
          <w:bCs/>
        </w:rPr>
        <w:t>evident</w:t>
      </w:r>
      <w:r w:rsidRPr="0078432C">
        <w:rPr>
          <w:rFonts w:ascii="Calibri" w:eastAsia="Times New Roman" w:hAnsi="Calibri" w:cs="Calibri"/>
          <w:bCs/>
        </w:rPr>
        <w:t xml:space="preserve"> in areas of budget planning, data sharing, and reporting. Federal and state ministers of finance stepped up their engagement in 2020 t</w:t>
      </w:r>
      <w:r w:rsidRPr="00E56CD7">
        <w:rPr>
          <w:rFonts w:ascii="Calibri" w:eastAsia="Times New Roman" w:hAnsi="Calibri" w:cs="Calibri"/>
          <w:bCs/>
        </w:rPr>
        <w:t>o plan a coordinated fiscal response to the crisis.</w:t>
      </w:r>
      <w:r>
        <w:rPr>
          <w:rFonts w:ascii="Calibri" w:eastAsia="Times New Roman" w:hAnsi="Calibri" w:cs="Calibri"/>
          <w:bCs/>
        </w:rPr>
        <w:t xml:space="preserve"> </w:t>
      </w:r>
      <w:r w:rsidRPr="00E56CD7">
        <w:rPr>
          <w:rFonts w:ascii="Calibri" w:eastAsia="Times New Roman" w:hAnsi="Calibri" w:cs="Calibri"/>
          <w:bCs/>
        </w:rPr>
        <w:t>They increased the frequency and improved the quality of data sharing</w:t>
      </w:r>
      <w:r>
        <w:rPr>
          <w:rFonts w:ascii="Calibri" w:eastAsia="Times New Roman" w:hAnsi="Calibri" w:cs="Calibri"/>
          <w:bCs/>
        </w:rPr>
        <w:t xml:space="preserve"> – a much </w:t>
      </w:r>
      <w:r w:rsidRPr="00E56CD7">
        <w:rPr>
          <w:rFonts w:ascii="Calibri" w:eastAsia="Times New Roman" w:hAnsi="Calibri" w:cs="Calibri"/>
          <w:bCs/>
        </w:rPr>
        <w:t xml:space="preserve">needed </w:t>
      </w:r>
      <w:r>
        <w:rPr>
          <w:rFonts w:ascii="Calibri" w:eastAsia="Times New Roman" w:hAnsi="Calibri" w:cs="Calibri"/>
          <w:bCs/>
        </w:rPr>
        <w:t xml:space="preserve">basis </w:t>
      </w:r>
      <w:r w:rsidRPr="00E56CD7">
        <w:rPr>
          <w:rFonts w:ascii="Calibri" w:eastAsia="Times New Roman" w:hAnsi="Calibri" w:cs="Calibri"/>
          <w:bCs/>
        </w:rPr>
        <w:t xml:space="preserve">to support the coordinated response as well as </w:t>
      </w:r>
      <w:r>
        <w:rPr>
          <w:rFonts w:ascii="Calibri" w:eastAsia="Times New Roman" w:hAnsi="Calibri" w:cs="Calibri"/>
          <w:bCs/>
        </w:rPr>
        <w:t xml:space="preserve">to </w:t>
      </w:r>
      <w:r w:rsidRPr="00E56CD7">
        <w:rPr>
          <w:rFonts w:ascii="Calibri" w:eastAsia="Times New Roman" w:hAnsi="Calibri" w:cs="Calibri"/>
          <w:bCs/>
        </w:rPr>
        <w:t>monitor results</w:t>
      </w:r>
      <w:r>
        <w:rPr>
          <w:rFonts w:ascii="Calibri" w:eastAsia="Times New Roman" w:hAnsi="Calibri" w:cs="Calibri"/>
          <w:bCs/>
        </w:rPr>
        <w:t>. Similarly, the federal ministry of finance h</w:t>
      </w:r>
      <w:r w:rsidRPr="00E56CD7">
        <w:rPr>
          <w:rFonts w:ascii="Calibri" w:eastAsia="Times New Roman" w:hAnsi="Calibri" w:cs="Calibri"/>
          <w:bCs/>
        </w:rPr>
        <w:t xml:space="preserve">as begun publishing a </w:t>
      </w:r>
      <w:r>
        <w:rPr>
          <w:rFonts w:ascii="Calibri" w:eastAsia="Times New Roman" w:hAnsi="Calibri" w:cs="Calibri"/>
          <w:bCs/>
        </w:rPr>
        <w:t xml:space="preserve">monthly </w:t>
      </w:r>
      <w:r w:rsidRPr="00E56CD7">
        <w:rPr>
          <w:rFonts w:ascii="Calibri" w:eastAsia="Times New Roman" w:hAnsi="Calibri" w:cs="Calibri"/>
          <w:bCs/>
        </w:rPr>
        <w:t>consolidated</w:t>
      </w:r>
      <w:r>
        <w:rPr>
          <w:rFonts w:ascii="Calibri" w:eastAsia="Times New Roman" w:hAnsi="Calibri" w:cs="Calibri"/>
          <w:bCs/>
        </w:rPr>
        <w:t xml:space="preserve"> (</w:t>
      </w:r>
      <w:r w:rsidRPr="00E56CD7">
        <w:rPr>
          <w:rFonts w:ascii="Calibri" w:eastAsia="Times New Roman" w:hAnsi="Calibri" w:cs="Calibri"/>
          <w:bCs/>
        </w:rPr>
        <w:t>FGS</w:t>
      </w:r>
      <w:r>
        <w:rPr>
          <w:rFonts w:ascii="Calibri" w:eastAsia="Times New Roman" w:hAnsi="Calibri" w:cs="Calibri"/>
          <w:bCs/>
        </w:rPr>
        <w:t xml:space="preserve"> and </w:t>
      </w:r>
      <w:r w:rsidRPr="00E56CD7">
        <w:rPr>
          <w:rFonts w:ascii="Calibri" w:eastAsia="Times New Roman" w:hAnsi="Calibri" w:cs="Calibri"/>
          <w:bCs/>
        </w:rPr>
        <w:t>FMS</w:t>
      </w:r>
      <w:r>
        <w:rPr>
          <w:rFonts w:ascii="Calibri" w:eastAsia="Times New Roman" w:hAnsi="Calibri" w:cs="Calibri"/>
          <w:bCs/>
        </w:rPr>
        <w:t>)</w:t>
      </w:r>
      <w:r w:rsidRPr="00E56CD7">
        <w:rPr>
          <w:rFonts w:ascii="Calibri" w:eastAsia="Times New Roman" w:hAnsi="Calibri" w:cs="Calibri"/>
          <w:bCs/>
        </w:rPr>
        <w:t xml:space="preserve"> fiscal operations report on </w:t>
      </w:r>
      <w:r>
        <w:rPr>
          <w:rFonts w:ascii="Calibri" w:eastAsia="Times New Roman" w:hAnsi="Calibri" w:cs="Calibri"/>
          <w:bCs/>
        </w:rPr>
        <w:t>its</w:t>
      </w:r>
      <w:r w:rsidRPr="00E56CD7">
        <w:rPr>
          <w:rFonts w:ascii="Calibri" w:eastAsia="Times New Roman" w:hAnsi="Calibri" w:cs="Calibri"/>
          <w:bCs/>
        </w:rPr>
        <w:t xml:space="preserve"> website.</w:t>
      </w:r>
      <w:r w:rsidRPr="000A4648">
        <w:rPr>
          <w:rFonts w:ascii="Calibri" w:eastAsia="Times New Roman" w:hAnsi="Calibri" w:cs="Calibri"/>
          <w:bCs/>
        </w:rPr>
        <w:t xml:space="preserve"> </w:t>
      </w:r>
      <w:r>
        <w:rPr>
          <w:rFonts w:ascii="Calibri" w:eastAsia="Times New Roman" w:hAnsi="Calibri" w:cs="Calibri"/>
          <w:bCs/>
        </w:rPr>
        <w:t>With the country still battling the COVID-19 crisis including new waves, continued cooperation will be instrumental  in (i)</w:t>
      </w:r>
      <w:r w:rsidR="0059119E" w:rsidRPr="0059119E">
        <w:t xml:space="preserve"> </w:t>
      </w:r>
      <w:r w:rsidR="0059119E" w:rsidRPr="0059119E">
        <w:rPr>
          <w:rFonts w:ascii="Calibri" w:eastAsia="Times New Roman" w:hAnsi="Calibri" w:cs="Calibri"/>
          <w:bCs/>
        </w:rPr>
        <w:t>enhancing support for public health measures around prevention, early detection and treatment of COVID-19 cases, and; (ii) rapid deployment of the COVID-19 vaccine.</w:t>
      </w:r>
    </w:p>
    <w:p w14:paraId="77F3CECF" w14:textId="77777777" w:rsidR="00E77132" w:rsidRDefault="00E77132" w:rsidP="001E09E9">
      <w:pPr>
        <w:spacing w:before="120" w:after="0" w:line="276" w:lineRule="auto"/>
        <w:jc w:val="both"/>
        <w:rPr>
          <w:b/>
        </w:rPr>
      </w:pPr>
      <w:bookmarkStart w:id="71" w:name="_Ref70983399"/>
      <w:bookmarkStart w:id="72" w:name="_Toc71725935"/>
    </w:p>
    <w:p w14:paraId="620D3394" w14:textId="77777777" w:rsidR="00E77132" w:rsidRDefault="00E77132" w:rsidP="001E09E9">
      <w:pPr>
        <w:spacing w:before="120" w:after="0" w:line="276" w:lineRule="auto"/>
        <w:jc w:val="both"/>
        <w:rPr>
          <w:b/>
        </w:rPr>
      </w:pPr>
    </w:p>
    <w:p w14:paraId="77078722" w14:textId="77777777" w:rsidR="00E77132" w:rsidRDefault="00E77132" w:rsidP="001E09E9">
      <w:pPr>
        <w:spacing w:before="120" w:after="0" w:line="276" w:lineRule="auto"/>
        <w:jc w:val="both"/>
        <w:rPr>
          <w:b/>
        </w:rPr>
      </w:pPr>
    </w:p>
    <w:p w14:paraId="5D7CA8E2" w14:textId="77777777" w:rsidR="00E77132" w:rsidRDefault="00E77132" w:rsidP="001E09E9">
      <w:pPr>
        <w:spacing w:before="120" w:after="0" w:line="276" w:lineRule="auto"/>
        <w:jc w:val="both"/>
        <w:rPr>
          <w:b/>
        </w:rPr>
      </w:pPr>
    </w:p>
    <w:p w14:paraId="363798CE" w14:textId="77777777" w:rsidR="00E77132" w:rsidRDefault="00E77132" w:rsidP="001E09E9">
      <w:pPr>
        <w:spacing w:before="120" w:after="0" w:line="276" w:lineRule="auto"/>
        <w:jc w:val="both"/>
        <w:rPr>
          <w:b/>
        </w:rPr>
      </w:pPr>
    </w:p>
    <w:p w14:paraId="78265D55" w14:textId="77777777" w:rsidR="00E77132" w:rsidRDefault="00E77132" w:rsidP="001E09E9">
      <w:pPr>
        <w:spacing w:before="120" w:after="0" w:line="276" w:lineRule="auto"/>
        <w:jc w:val="both"/>
        <w:rPr>
          <w:b/>
        </w:rPr>
      </w:pPr>
    </w:p>
    <w:p w14:paraId="5087ADA7" w14:textId="77777777" w:rsidR="00E77132" w:rsidRDefault="00E77132" w:rsidP="001E09E9">
      <w:pPr>
        <w:spacing w:before="120" w:after="0" w:line="276" w:lineRule="auto"/>
        <w:jc w:val="both"/>
        <w:rPr>
          <w:b/>
        </w:rPr>
      </w:pPr>
    </w:p>
    <w:p w14:paraId="6B84ACBF" w14:textId="72D78148" w:rsidR="00196909" w:rsidRPr="00CC38C5" w:rsidRDefault="00196909" w:rsidP="001E09E9">
      <w:pPr>
        <w:spacing w:before="120" w:after="0" w:line="276" w:lineRule="auto"/>
        <w:jc w:val="both"/>
      </w:pPr>
      <w:r w:rsidRPr="00CC38C5">
        <w:rPr>
          <w:b/>
        </w:rPr>
        <w:lastRenderedPageBreak/>
        <w:t xml:space="preserve">Figure </w:t>
      </w:r>
      <w:r w:rsidR="00E24D33">
        <w:rPr>
          <w:b/>
        </w:rPr>
        <w:fldChar w:fldCharType="begin"/>
      </w:r>
      <w:r w:rsidR="00E24D33">
        <w:rPr>
          <w:b/>
        </w:rPr>
        <w:instrText xml:space="preserve"> SEQ Figure \* ARABIC </w:instrText>
      </w:r>
      <w:r w:rsidR="00E24D33">
        <w:rPr>
          <w:b/>
        </w:rPr>
        <w:fldChar w:fldCharType="separate"/>
      </w:r>
      <w:r w:rsidR="005A19B4">
        <w:rPr>
          <w:b/>
          <w:noProof/>
        </w:rPr>
        <w:t>17</w:t>
      </w:r>
      <w:r w:rsidR="00E24D33">
        <w:rPr>
          <w:b/>
        </w:rPr>
        <w:fldChar w:fldCharType="end"/>
      </w:r>
      <w:bookmarkEnd w:id="71"/>
      <w:r w:rsidRPr="00CC38C5">
        <w:rPr>
          <w:b/>
        </w:rPr>
        <w:t>: Expenditure pressure increased across the FMSs in 2020</w:t>
      </w:r>
      <w:bookmarkEnd w:id="7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800"/>
      </w:tblGrid>
      <w:tr w:rsidR="0046430F" w14:paraId="7835F86A" w14:textId="77777777" w:rsidTr="0046430F">
        <w:trPr>
          <w:jc w:val="center"/>
        </w:trPr>
        <w:tc>
          <w:tcPr>
            <w:tcW w:w="4690" w:type="dxa"/>
          </w:tcPr>
          <w:p w14:paraId="146A7215" w14:textId="04CC448F" w:rsidR="004504FE" w:rsidRDefault="004504FE" w:rsidP="0042795F">
            <w:pPr>
              <w:pStyle w:val="Figure"/>
              <w:jc w:val="center"/>
            </w:pPr>
            <w:r>
              <w:drawing>
                <wp:inline distT="0" distB="0" distL="0" distR="0" wp14:anchorId="4987EE59" wp14:editId="3A5938CE">
                  <wp:extent cx="2759102" cy="2468880"/>
                  <wp:effectExtent l="0" t="0" r="3175" b="7620"/>
                  <wp:docPr id="47" name="Chart 47">
                    <a:extLst xmlns:a="http://schemas.openxmlformats.org/drawingml/2006/main">
                      <a:ext uri="{FF2B5EF4-FFF2-40B4-BE49-F238E27FC236}">
                        <a16:creationId xmlns:a16="http://schemas.microsoft.com/office/drawing/2014/main" id="{34B1C188-FC60-468E-8342-09D98E420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70" w:type="dxa"/>
          </w:tcPr>
          <w:p w14:paraId="52A7535D" w14:textId="6D48B41B" w:rsidR="004504FE" w:rsidRPr="00711153" w:rsidRDefault="0046430F" w:rsidP="0042795F">
            <w:pPr>
              <w:pStyle w:val="Figure"/>
              <w:rPr>
                <w:sz w:val="16"/>
                <w:szCs w:val="16"/>
              </w:rPr>
            </w:pPr>
            <w:r>
              <w:drawing>
                <wp:inline distT="0" distB="0" distL="0" distR="0" wp14:anchorId="19325D22" wp14:editId="4001A7ED">
                  <wp:extent cx="2909570" cy="2468880"/>
                  <wp:effectExtent l="0" t="0" r="5080" b="7620"/>
                  <wp:docPr id="37" name="Chart 37">
                    <a:extLst xmlns:a="http://schemas.openxmlformats.org/drawingml/2006/main">
                      <a:ext uri="{FF2B5EF4-FFF2-40B4-BE49-F238E27FC236}">
                        <a16:creationId xmlns:a16="http://schemas.microsoft.com/office/drawing/2014/main" id="{CB4E8367-A249-4EA6-B199-3DD22061B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F958C92" w14:textId="18F74165" w:rsidR="001F2277" w:rsidRPr="002D3DD6" w:rsidRDefault="001F2277" w:rsidP="00196909">
      <w:pPr>
        <w:pStyle w:val="Source"/>
      </w:pPr>
      <w:r w:rsidRPr="002D3DD6">
        <w:t xml:space="preserve">Source: </w:t>
      </w:r>
      <w:r w:rsidR="00196909">
        <w:t>Staff calculations ba</w:t>
      </w:r>
      <w:r w:rsidRPr="002D3DD6">
        <w:t>sed on data</w:t>
      </w:r>
      <w:r w:rsidR="00196909">
        <w:t xml:space="preserve"> reported by FMS finance ministries.</w:t>
      </w:r>
    </w:p>
    <w:p w14:paraId="673EA0EB" w14:textId="7FC35080" w:rsidR="001F2277" w:rsidRPr="00FA6626" w:rsidRDefault="001F2277" w:rsidP="008E6ED9">
      <w:pPr>
        <w:pStyle w:val="Heading2"/>
        <w:spacing w:before="120" w:after="120"/>
      </w:pPr>
      <w:bookmarkStart w:id="73" w:name="_Toc71725893"/>
      <w:r w:rsidRPr="00FA6626">
        <w:t>FGS 2021 budget</w:t>
      </w:r>
      <w:r>
        <w:t>: Rising fiscal challenges as the country faces multiple shocks and political uncertainty</w:t>
      </w:r>
      <w:bookmarkEnd w:id="73"/>
      <w:r w:rsidR="003E75D5">
        <w:t xml:space="preserve"> </w:t>
      </w:r>
    </w:p>
    <w:p w14:paraId="68B03614" w14:textId="5EDBB717" w:rsidR="001F2277" w:rsidRDefault="001F2277" w:rsidP="001F2277">
      <w:pPr>
        <w:spacing w:before="120" w:after="120" w:line="276" w:lineRule="auto"/>
        <w:jc w:val="both"/>
        <w:rPr>
          <w:rFonts w:ascii="Calibri" w:eastAsia="Times New Roman" w:hAnsi="Calibri" w:cs="Calibri"/>
          <w:bCs/>
        </w:rPr>
      </w:pPr>
      <w:r w:rsidRPr="00C42D25">
        <w:rPr>
          <w:rFonts w:ascii="Calibri" w:eastAsia="Times New Roman" w:hAnsi="Calibri" w:cs="Calibri"/>
          <w:b/>
        </w:rPr>
        <w:t xml:space="preserve">The FGS 2021 budget was approved by parliament </w:t>
      </w:r>
      <w:r w:rsidR="00C977D8">
        <w:rPr>
          <w:rFonts w:ascii="Calibri" w:eastAsia="Times New Roman" w:hAnsi="Calibri" w:cs="Calibri"/>
          <w:b/>
        </w:rPr>
        <w:t>on December 29,</w:t>
      </w:r>
      <w:r w:rsidRPr="00C42D25">
        <w:rPr>
          <w:rFonts w:ascii="Calibri" w:eastAsia="Times New Roman" w:hAnsi="Calibri" w:cs="Calibri"/>
          <w:b/>
        </w:rPr>
        <w:t xml:space="preserve"> 202</w:t>
      </w:r>
      <w:r w:rsidR="00C977D8">
        <w:rPr>
          <w:rFonts w:ascii="Calibri" w:eastAsia="Times New Roman" w:hAnsi="Calibri" w:cs="Calibri"/>
          <w:b/>
        </w:rPr>
        <w:t>0</w:t>
      </w:r>
      <w:r w:rsidRPr="00161B16">
        <w:rPr>
          <w:rFonts w:ascii="Calibri" w:eastAsia="Times New Roman" w:hAnsi="Calibri" w:cs="Calibri"/>
          <w:b/>
        </w:rPr>
        <w:t>.</w:t>
      </w:r>
      <w:r w:rsidRPr="00161B16">
        <w:rPr>
          <w:rFonts w:ascii="Calibri" w:eastAsia="Times New Roman" w:hAnsi="Calibri" w:cs="Calibri"/>
          <w:bCs/>
        </w:rPr>
        <w:t xml:space="preserve"> It envisaged continued efforts to increase domestic revenue mobilization with the assumption that the COVID-19 crisis abates starting the</w:t>
      </w:r>
      <w:r w:rsidR="005D12C1">
        <w:rPr>
          <w:rFonts w:ascii="Calibri" w:eastAsia="Times New Roman" w:hAnsi="Calibri" w:cs="Calibri"/>
          <w:bCs/>
        </w:rPr>
        <w:t xml:space="preserve"> fou</w:t>
      </w:r>
      <w:r w:rsidR="00A84B8C">
        <w:rPr>
          <w:rFonts w:ascii="Calibri" w:eastAsia="Times New Roman" w:hAnsi="Calibri" w:cs="Calibri"/>
          <w:bCs/>
        </w:rPr>
        <w:t>r</w:t>
      </w:r>
      <w:r w:rsidR="005D12C1">
        <w:rPr>
          <w:rFonts w:ascii="Calibri" w:eastAsia="Times New Roman" w:hAnsi="Calibri" w:cs="Calibri"/>
          <w:bCs/>
        </w:rPr>
        <w:t xml:space="preserve">th </w:t>
      </w:r>
      <w:r w:rsidRPr="00161B16">
        <w:rPr>
          <w:rFonts w:ascii="Calibri" w:eastAsia="Times New Roman" w:hAnsi="Calibri" w:cs="Calibri"/>
          <w:bCs/>
        </w:rPr>
        <w:t>quarter of 2020 and the economy begins to rebound as well. While this assumption may hold to some extent, Somalia, like other countries continue to battle the COVID-19 crisis, resurgence of new a wave in March 2021. This is worsened by projected weather-related shocks (continued locust infestation and suppressed GU rain season) and lingering political uncertainty related to the next general elections</w:t>
      </w:r>
      <w:r>
        <w:rPr>
          <w:rFonts w:ascii="Calibri" w:eastAsia="Times New Roman" w:hAnsi="Calibri" w:cs="Calibri"/>
          <w:bCs/>
        </w:rPr>
        <w:t xml:space="preserve"> which could combine to slowdown recovery momentum.</w:t>
      </w:r>
      <w:r w:rsidR="003E75D5">
        <w:rPr>
          <w:rFonts w:ascii="Calibri" w:eastAsia="Times New Roman" w:hAnsi="Calibri" w:cs="Calibri"/>
          <w:bCs/>
        </w:rPr>
        <w:t xml:space="preserve"> </w:t>
      </w:r>
    </w:p>
    <w:p w14:paraId="22DEA02A" w14:textId="77777777" w:rsidR="00705AEB" w:rsidRPr="005F1975" w:rsidRDefault="00705AEB" w:rsidP="005F1975">
      <w:pPr>
        <w:pStyle w:val="Heading3"/>
        <w:spacing w:before="120" w:after="120"/>
      </w:pPr>
      <w:bookmarkStart w:id="74" w:name="_Toc71574634"/>
      <w:bookmarkStart w:id="75" w:name="_Toc71574809"/>
      <w:bookmarkStart w:id="76" w:name="_Toc71617933"/>
      <w:bookmarkStart w:id="77" w:name="_Toc71618668"/>
      <w:bookmarkStart w:id="78" w:name="_Toc71725894"/>
      <w:r w:rsidRPr="005F1975">
        <w:t>Increased expenditure needs amid slow revenue recovery</w:t>
      </w:r>
      <w:bookmarkEnd w:id="74"/>
      <w:bookmarkEnd w:id="75"/>
      <w:bookmarkEnd w:id="76"/>
      <w:bookmarkEnd w:id="77"/>
      <w:bookmarkEnd w:id="78"/>
    </w:p>
    <w:p w14:paraId="61AAF12A" w14:textId="2F83D3BA" w:rsidR="001F2277" w:rsidRDefault="001F2277" w:rsidP="001F2277">
      <w:pPr>
        <w:spacing w:before="120" w:after="120" w:line="276" w:lineRule="auto"/>
        <w:jc w:val="both"/>
        <w:rPr>
          <w:rFonts w:ascii="Calibri" w:eastAsia="Times New Roman" w:hAnsi="Calibri" w:cs="Calibri"/>
          <w:bCs/>
        </w:rPr>
      </w:pPr>
      <w:r w:rsidRPr="00D6263E">
        <w:rPr>
          <w:rFonts w:ascii="Calibri" w:eastAsia="Times New Roman" w:hAnsi="Calibri" w:cs="Calibri"/>
          <w:b/>
        </w:rPr>
        <w:t>Domestic revenue is projected to increase by 28 percent to US$270 million</w:t>
      </w:r>
      <w:r w:rsidR="0001449C">
        <w:rPr>
          <w:rFonts w:ascii="Calibri" w:eastAsia="Times New Roman" w:hAnsi="Calibri" w:cs="Calibri"/>
          <w:b/>
        </w:rPr>
        <w:t>,</w:t>
      </w:r>
      <w:r w:rsidRPr="00D6263E">
        <w:rPr>
          <w:rFonts w:ascii="Calibri" w:eastAsia="Times New Roman" w:hAnsi="Calibri" w:cs="Calibri"/>
          <w:b/>
        </w:rPr>
        <w:t xml:space="preserve"> equivalent to 5 percent of GDP</w:t>
      </w:r>
      <w:r w:rsidR="0001449C" w:rsidRPr="0001449C">
        <w:rPr>
          <w:rFonts w:ascii="Calibri" w:eastAsia="Times New Roman" w:hAnsi="Calibri" w:cs="Calibri"/>
          <w:bCs/>
        </w:rPr>
        <w:t xml:space="preserve"> (</w:t>
      </w:r>
      <w:r w:rsidR="003C22DB">
        <w:rPr>
          <w:rFonts w:ascii="Calibri" w:eastAsia="Times New Roman" w:hAnsi="Calibri" w:cs="Calibri"/>
          <w:bCs/>
        </w:rPr>
        <w:fldChar w:fldCharType="begin"/>
      </w:r>
      <w:r w:rsidR="003C22DB">
        <w:rPr>
          <w:rFonts w:ascii="Calibri" w:eastAsia="Times New Roman" w:hAnsi="Calibri" w:cs="Calibri"/>
          <w:bCs/>
        </w:rPr>
        <w:instrText xml:space="preserve"> REF _Ref70951929 \h </w:instrText>
      </w:r>
      <w:r w:rsidR="003C22DB">
        <w:rPr>
          <w:rFonts w:ascii="Calibri" w:eastAsia="Times New Roman" w:hAnsi="Calibri" w:cs="Calibri"/>
          <w:bCs/>
        </w:rPr>
      </w:r>
      <w:r w:rsidR="003C22DB">
        <w:rPr>
          <w:rFonts w:ascii="Calibri" w:eastAsia="Times New Roman" w:hAnsi="Calibri" w:cs="Calibri"/>
          <w:bCs/>
        </w:rPr>
        <w:fldChar w:fldCharType="separate"/>
      </w:r>
      <w:r w:rsidR="003C22DB">
        <w:t xml:space="preserve">Table </w:t>
      </w:r>
      <w:r w:rsidR="003C22DB">
        <w:rPr>
          <w:noProof/>
        </w:rPr>
        <w:t>5</w:t>
      </w:r>
      <w:r w:rsidR="003C22DB">
        <w:rPr>
          <w:rFonts w:ascii="Calibri" w:eastAsia="Times New Roman" w:hAnsi="Calibri" w:cs="Calibri"/>
          <w:bCs/>
        </w:rPr>
        <w:fldChar w:fldCharType="end"/>
      </w:r>
      <w:r w:rsidR="0001449C" w:rsidRPr="0001449C">
        <w:rPr>
          <w:rFonts w:ascii="Calibri" w:eastAsia="Times New Roman" w:hAnsi="Calibri" w:cs="Calibri"/>
          <w:bCs/>
        </w:rPr>
        <w:t>)</w:t>
      </w:r>
      <w:r w:rsidRPr="0001449C">
        <w:rPr>
          <w:rFonts w:ascii="Calibri" w:eastAsia="Times New Roman" w:hAnsi="Calibri" w:cs="Calibri"/>
          <w:bCs/>
        </w:rPr>
        <w:t>.</w:t>
      </w:r>
      <w:r w:rsidR="003E75D5">
        <w:rPr>
          <w:rFonts w:ascii="Calibri" w:eastAsia="Times New Roman" w:hAnsi="Calibri" w:cs="Calibri"/>
          <w:bCs/>
        </w:rPr>
        <w:t xml:space="preserve"> </w:t>
      </w:r>
      <w:r>
        <w:rPr>
          <w:rFonts w:ascii="Calibri" w:eastAsia="Times New Roman" w:hAnsi="Calibri" w:cs="Calibri"/>
          <w:bCs/>
        </w:rPr>
        <w:t xml:space="preserve">This is </w:t>
      </w:r>
      <w:r w:rsidR="0001449C">
        <w:rPr>
          <w:rFonts w:ascii="Calibri" w:eastAsia="Times New Roman" w:hAnsi="Calibri" w:cs="Calibri"/>
          <w:bCs/>
        </w:rPr>
        <w:t xml:space="preserve">predicated </w:t>
      </w:r>
      <w:r>
        <w:rPr>
          <w:rFonts w:ascii="Calibri" w:eastAsia="Times New Roman" w:hAnsi="Calibri" w:cs="Calibri"/>
          <w:bCs/>
        </w:rPr>
        <w:t xml:space="preserve">on the </w:t>
      </w:r>
      <w:r w:rsidR="0001449C">
        <w:rPr>
          <w:rFonts w:ascii="Calibri" w:eastAsia="Times New Roman" w:hAnsi="Calibri" w:cs="Calibri"/>
          <w:bCs/>
        </w:rPr>
        <w:t>outlook</w:t>
      </w:r>
      <w:r>
        <w:rPr>
          <w:rFonts w:ascii="Calibri" w:eastAsia="Times New Roman" w:hAnsi="Calibri" w:cs="Calibri"/>
          <w:bCs/>
        </w:rPr>
        <w:t xml:space="preserve"> that revenue collection across all streams will rebound to 2019 levels with easing of COVID-19 containment measures and new proposed tax measures will boost collection </w:t>
      </w:r>
      <w:r w:rsidR="0001449C">
        <w:rPr>
          <w:rFonts w:ascii="Calibri" w:eastAsia="Times New Roman" w:hAnsi="Calibri" w:cs="Calibri"/>
          <w:bCs/>
        </w:rPr>
        <w:t>by a projected</w:t>
      </w:r>
      <w:r>
        <w:rPr>
          <w:rFonts w:ascii="Calibri" w:eastAsia="Times New Roman" w:hAnsi="Calibri" w:cs="Calibri"/>
          <w:bCs/>
        </w:rPr>
        <w:t xml:space="preserve"> US$30 million </w:t>
      </w:r>
      <w:r w:rsidRPr="0061158F">
        <w:rPr>
          <w:rFonts w:ascii="Calibri" w:eastAsia="Times New Roman" w:hAnsi="Calibri" w:cs="Calibri"/>
          <w:bCs/>
        </w:rPr>
        <w:t>(</w:t>
      </w:r>
      <w:r w:rsidR="0061158F" w:rsidRPr="0061158F">
        <w:rPr>
          <w:rFonts w:ascii="Calibri" w:eastAsia="Times New Roman" w:hAnsi="Calibri" w:cs="Calibri"/>
          <w:bCs/>
        </w:rPr>
        <w:fldChar w:fldCharType="begin"/>
      </w:r>
      <w:r w:rsidR="0061158F" w:rsidRPr="0061158F">
        <w:rPr>
          <w:rFonts w:ascii="Calibri" w:eastAsia="Times New Roman" w:hAnsi="Calibri" w:cs="Calibri"/>
          <w:bCs/>
        </w:rPr>
        <w:instrText xml:space="preserve"> REF _Ref71568249 \h  \* MERGEFORMAT </w:instrText>
      </w:r>
      <w:r w:rsidR="0061158F" w:rsidRPr="0061158F">
        <w:rPr>
          <w:rFonts w:ascii="Calibri" w:eastAsia="Times New Roman" w:hAnsi="Calibri" w:cs="Calibri"/>
          <w:bCs/>
        </w:rPr>
      </w:r>
      <w:r w:rsidR="0061158F" w:rsidRPr="0061158F">
        <w:rPr>
          <w:rFonts w:ascii="Calibri" w:eastAsia="Times New Roman" w:hAnsi="Calibri" w:cs="Calibri"/>
          <w:bCs/>
        </w:rPr>
        <w:fldChar w:fldCharType="separate"/>
      </w:r>
      <w:r w:rsidR="0061158F" w:rsidRPr="0061158F">
        <w:rPr>
          <w:bCs/>
        </w:rPr>
        <w:t xml:space="preserve">Box </w:t>
      </w:r>
      <w:r w:rsidR="0061158F" w:rsidRPr="0061158F">
        <w:rPr>
          <w:bCs/>
          <w:noProof/>
        </w:rPr>
        <w:t>1</w:t>
      </w:r>
      <w:r w:rsidR="0061158F" w:rsidRPr="0061158F">
        <w:rPr>
          <w:rFonts w:ascii="Calibri" w:eastAsia="Times New Roman" w:hAnsi="Calibri" w:cs="Calibri"/>
          <w:bCs/>
        </w:rPr>
        <w:fldChar w:fldCharType="end"/>
      </w:r>
      <w:r>
        <w:rPr>
          <w:rFonts w:ascii="Calibri" w:eastAsia="Times New Roman" w:hAnsi="Calibri" w:cs="Calibri"/>
          <w:bCs/>
        </w:rPr>
        <w:t xml:space="preserve">). Trade taxes are expected to grow by 41 </w:t>
      </w:r>
      <w:r w:rsidRPr="007A4D5C">
        <w:rPr>
          <w:rFonts w:ascii="Calibri" w:eastAsia="Times New Roman" w:hAnsi="Calibri" w:cs="Calibri"/>
          <w:bCs/>
        </w:rPr>
        <w:t>percent in 2021with</w:t>
      </w:r>
      <w:r>
        <w:rPr>
          <w:rFonts w:ascii="Calibri" w:eastAsia="Times New Roman" w:hAnsi="Calibri" w:cs="Calibri"/>
          <w:bCs/>
        </w:rPr>
        <w:t xml:space="preserve"> anticipated rise in imports as economic activities pick-up in the post-COVID-19 recovery period. Similarly, importation of </w:t>
      </w:r>
      <w:r w:rsidR="0001449C">
        <w:rPr>
          <w:rFonts w:ascii="Calibri" w:eastAsia="Times New Roman" w:hAnsi="Calibri" w:cs="Calibri"/>
          <w:bCs/>
        </w:rPr>
        <w:t>k</w:t>
      </w:r>
      <w:r>
        <w:rPr>
          <w:rFonts w:ascii="Calibri" w:eastAsia="Times New Roman" w:hAnsi="Calibri" w:cs="Calibri"/>
          <w:bCs/>
        </w:rPr>
        <w:t xml:space="preserve">hat will resume as suspension of international flights has been lifted. However, supply </w:t>
      </w:r>
      <w:r w:rsidRPr="00161B16">
        <w:rPr>
          <w:rFonts w:ascii="Calibri" w:eastAsia="Times New Roman" w:hAnsi="Calibri" w:cs="Calibri"/>
          <w:bCs/>
        </w:rPr>
        <w:t>chain constraints mai</w:t>
      </w:r>
      <w:r>
        <w:rPr>
          <w:rFonts w:ascii="Calibri" w:eastAsia="Times New Roman" w:hAnsi="Calibri" w:cs="Calibri"/>
          <w:bCs/>
        </w:rPr>
        <w:t>nly with Kenya remain unsolved and threatens rebound in revenue collection under this stream. Taxes on goods and services is estimated to grow at the same rate, 41 percent as hotels, telecommunication, and electricity companies resume tax payments after previous suspension due COVID-19 crisis. Tax revenue on imported goods is expected to remain strong hence sustaining overall performance under this revenue stream. Furthermore, nontax revenue will grow by 21 percent pegged on sustained growth in harbor fees, resumption of airports and overflight fees collection, and rebound in telecommunication spectrum fees and administrative charges.</w:t>
      </w:r>
      <w:r w:rsidR="003E75D5">
        <w:rPr>
          <w:rFonts w:ascii="Calibri" w:eastAsia="Times New Roman" w:hAnsi="Calibri" w:cs="Calibri"/>
          <w:bCs/>
        </w:rPr>
        <w:t xml:space="preserve"> </w:t>
      </w:r>
    </w:p>
    <w:tbl>
      <w:tblPr>
        <w:tblStyle w:val="PlainTable2"/>
        <w:tblW w:w="7895" w:type="dxa"/>
        <w:shd w:val="clear" w:color="auto" w:fill="BDD6EE" w:themeFill="accent5" w:themeFillTint="66"/>
        <w:tblLook w:val="04A0" w:firstRow="1" w:lastRow="0" w:firstColumn="1" w:lastColumn="0" w:noHBand="0" w:noVBand="1"/>
      </w:tblPr>
      <w:tblGrid>
        <w:gridCol w:w="7895"/>
      </w:tblGrid>
      <w:tr w:rsidR="001F2277" w:rsidRPr="006B37BB" w14:paraId="58582CC1" w14:textId="77777777" w:rsidTr="00017647">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895" w:type="dxa"/>
            <w:shd w:val="clear" w:color="auto" w:fill="BDD6EE" w:themeFill="accent5" w:themeFillTint="66"/>
          </w:tcPr>
          <w:p w14:paraId="75F2BED5" w14:textId="1EA3E1D8" w:rsidR="001F2277" w:rsidRPr="0061158F" w:rsidRDefault="00654F72" w:rsidP="0061158F">
            <w:pPr>
              <w:pStyle w:val="Caption"/>
              <w:spacing w:before="0"/>
              <w:jc w:val="left"/>
              <w:rPr>
                <w:b/>
                <w:bCs w:val="0"/>
                <w:sz w:val="20"/>
                <w:szCs w:val="20"/>
              </w:rPr>
            </w:pPr>
            <w:bookmarkStart w:id="79" w:name="_Ref71568249"/>
            <w:bookmarkStart w:id="80" w:name="_Toc71725965"/>
            <w:r w:rsidRPr="0061158F">
              <w:rPr>
                <w:b/>
                <w:bCs w:val="0"/>
              </w:rPr>
              <w:lastRenderedPageBreak/>
              <w:t xml:space="preserve">Box </w:t>
            </w:r>
            <w:r w:rsidRPr="0061158F">
              <w:fldChar w:fldCharType="begin"/>
            </w:r>
            <w:r w:rsidRPr="0061158F">
              <w:rPr>
                <w:b/>
                <w:bCs w:val="0"/>
              </w:rPr>
              <w:instrText xml:space="preserve"> SEQ Box \* ARABIC </w:instrText>
            </w:r>
            <w:r w:rsidRPr="0061158F">
              <w:fldChar w:fldCharType="separate"/>
            </w:r>
            <w:r w:rsidRPr="0061158F">
              <w:rPr>
                <w:b/>
                <w:bCs w:val="0"/>
                <w:noProof/>
              </w:rPr>
              <w:t>1</w:t>
            </w:r>
            <w:r w:rsidRPr="0061158F">
              <w:fldChar w:fldCharType="end"/>
            </w:r>
            <w:bookmarkEnd w:id="79"/>
            <w:r w:rsidR="001F2277" w:rsidRPr="0061158F">
              <w:rPr>
                <w:b/>
                <w:bCs w:val="0"/>
                <w:sz w:val="20"/>
                <w:szCs w:val="20"/>
              </w:rPr>
              <w:t>: FGS proposed tax measures are expected to yield about US$30 million in 2021</w:t>
            </w:r>
            <w:bookmarkEnd w:id="80"/>
          </w:p>
          <w:p w14:paraId="7C8FE4C4" w14:textId="66A09E83" w:rsidR="001F2277" w:rsidRPr="006B37BB" w:rsidRDefault="001F2277" w:rsidP="00E1129B">
            <w:pPr>
              <w:pStyle w:val="ListParagraph"/>
              <w:keepNext/>
              <w:numPr>
                <w:ilvl w:val="0"/>
                <w:numId w:val="1"/>
              </w:numPr>
              <w:rPr>
                <w:b w:val="0"/>
                <w:bCs w:val="0"/>
                <w:sz w:val="20"/>
                <w:szCs w:val="20"/>
              </w:rPr>
            </w:pPr>
            <w:r w:rsidRPr="006B37BB">
              <w:rPr>
                <w:b w:val="0"/>
                <w:bCs w:val="0"/>
                <w:sz w:val="20"/>
                <w:szCs w:val="20"/>
              </w:rPr>
              <w:t xml:space="preserve">Increase khat tax rate per bundle from </w:t>
            </w:r>
            <w:r w:rsidR="0001449C">
              <w:rPr>
                <w:b w:val="0"/>
                <w:bCs w:val="0"/>
                <w:sz w:val="20"/>
                <w:szCs w:val="20"/>
              </w:rPr>
              <w:t>US</w:t>
            </w:r>
            <w:r w:rsidRPr="006B37BB">
              <w:rPr>
                <w:b w:val="0"/>
                <w:bCs w:val="0"/>
                <w:sz w:val="20"/>
                <w:szCs w:val="20"/>
              </w:rPr>
              <w:t xml:space="preserve">$2.5 to </w:t>
            </w:r>
            <w:r w:rsidR="0001449C">
              <w:rPr>
                <w:b w:val="0"/>
                <w:bCs w:val="0"/>
                <w:sz w:val="20"/>
                <w:szCs w:val="20"/>
              </w:rPr>
              <w:t>US</w:t>
            </w:r>
            <w:r w:rsidRPr="006B37BB">
              <w:rPr>
                <w:b w:val="0"/>
                <w:bCs w:val="0"/>
                <w:sz w:val="20"/>
                <w:szCs w:val="20"/>
              </w:rPr>
              <w:t>$4</w:t>
            </w:r>
          </w:p>
          <w:p w14:paraId="374828EB" w14:textId="55524F16" w:rsidR="001F2277" w:rsidRPr="006B37BB" w:rsidRDefault="001F2277" w:rsidP="00E1129B">
            <w:pPr>
              <w:pStyle w:val="ListParagraph"/>
              <w:keepNext/>
              <w:numPr>
                <w:ilvl w:val="0"/>
                <w:numId w:val="1"/>
              </w:numPr>
              <w:rPr>
                <w:b w:val="0"/>
                <w:bCs w:val="0"/>
                <w:sz w:val="20"/>
                <w:szCs w:val="20"/>
              </w:rPr>
            </w:pPr>
            <w:r w:rsidRPr="006B37BB">
              <w:rPr>
                <w:b w:val="0"/>
                <w:bCs w:val="0"/>
                <w:sz w:val="20"/>
                <w:szCs w:val="20"/>
              </w:rPr>
              <w:t xml:space="preserve">Additional charge on petroleum products (yielding additional </w:t>
            </w:r>
            <w:r w:rsidR="0001449C">
              <w:rPr>
                <w:b w:val="0"/>
                <w:bCs w:val="0"/>
                <w:sz w:val="20"/>
                <w:szCs w:val="20"/>
              </w:rPr>
              <w:t>US</w:t>
            </w:r>
            <w:r w:rsidRPr="006B37BB">
              <w:rPr>
                <w:b w:val="0"/>
                <w:bCs w:val="0"/>
                <w:sz w:val="20"/>
                <w:szCs w:val="20"/>
              </w:rPr>
              <w:t>$1.9M)</w:t>
            </w:r>
          </w:p>
          <w:p w14:paraId="665680A2" w14:textId="77777777" w:rsidR="001F2277" w:rsidRPr="006B37BB" w:rsidRDefault="001F2277" w:rsidP="00E1129B">
            <w:pPr>
              <w:pStyle w:val="ListParagraph"/>
              <w:keepNext/>
              <w:numPr>
                <w:ilvl w:val="0"/>
                <w:numId w:val="1"/>
              </w:numPr>
              <w:rPr>
                <w:b w:val="0"/>
                <w:bCs w:val="0"/>
                <w:sz w:val="20"/>
                <w:szCs w:val="20"/>
              </w:rPr>
            </w:pPr>
            <w:r w:rsidRPr="006B37BB">
              <w:rPr>
                <w:b w:val="0"/>
                <w:bCs w:val="0"/>
                <w:sz w:val="20"/>
                <w:szCs w:val="20"/>
              </w:rPr>
              <w:t>Temporary COVID-19 tax relief measures (lower rates on rice, dates &amp; flour) to be removed</w:t>
            </w:r>
          </w:p>
          <w:p w14:paraId="1F91A8B6" w14:textId="77777777" w:rsidR="001F2277" w:rsidRPr="006B37BB" w:rsidRDefault="001F2277" w:rsidP="00E1129B">
            <w:pPr>
              <w:pStyle w:val="ListParagraph"/>
              <w:keepNext/>
              <w:numPr>
                <w:ilvl w:val="0"/>
                <w:numId w:val="1"/>
              </w:numPr>
              <w:rPr>
                <w:b w:val="0"/>
                <w:bCs w:val="0"/>
                <w:sz w:val="20"/>
                <w:szCs w:val="20"/>
              </w:rPr>
            </w:pPr>
            <w:r w:rsidRPr="006B37BB">
              <w:rPr>
                <w:b w:val="0"/>
                <w:bCs w:val="0"/>
                <w:sz w:val="20"/>
                <w:szCs w:val="20"/>
              </w:rPr>
              <w:t>COVID-19 increased rates on tobacco, plastic bags &amp; cosmetics to continue</w:t>
            </w:r>
          </w:p>
          <w:p w14:paraId="32020A23" w14:textId="77777777" w:rsidR="001F2277" w:rsidRPr="006B37BB" w:rsidRDefault="001F2277" w:rsidP="00E1129B">
            <w:pPr>
              <w:pStyle w:val="ListParagraph"/>
              <w:keepNext/>
              <w:numPr>
                <w:ilvl w:val="0"/>
                <w:numId w:val="1"/>
              </w:numPr>
              <w:rPr>
                <w:b w:val="0"/>
                <w:bCs w:val="0"/>
                <w:sz w:val="20"/>
                <w:szCs w:val="20"/>
              </w:rPr>
            </w:pPr>
            <w:r w:rsidRPr="006B37BB">
              <w:rPr>
                <w:b w:val="0"/>
                <w:bCs w:val="0"/>
                <w:sz w:val="20"/>
                <w:szCs w:val="20"/>
              </w:rPr>
              <w:t>Resumption of full rate collection on electricity sales tax as at Jan. 1, 2021</w:t>
            </w:r>
          </w:p>
          <w:p w14:paraId="134BA727" w14:textId="77777777" w:rsidR="001F2277" w:rsidRPr="006B37BB" w:rsidRDefault="001F2277" w:rsidP="00E1129B">
            <w:pPr>
              <w:pStyle w:val="ListParagraph"/>
              <w:numPr>
                <w:ilvl w:val="0"/>
                <w:numId w:val="1"/>
              </w:numPr>
              <w:rPr>
                <w:b w:val="0"/>
                <w:bCs w:val="0"/>
                <w:sz w:val="20"/>
                <w:szCs w:val="20"/>
              </w:rPr>
            </w:pPr>
            <w:r w:rsidRPr="006B37BB">
              <w:rPr>
                <w:b w:val="0"/>
                <w:bCs w:val="0"/>
                <w:sz w:val="20"/>
                <w:szCs w:val="20"/>
              </w:rPr>
              <w:t>Rental collection expected to increase due to automation</w:t>
            </w:r>
          </w:p>
        </w:tc>
      </w:tr>
    </w:tbl>
    <w:p w14:paraId="52769882" w14:textId="6031AC7B" w:rsidR="0001449C" w:rsidRPr="0001449C" w:rsidRDefault="0001449C" w:rsidP="0001449C">
      <w:pPr>
        <w:pStyle w:val="basefont"/>
      </w:pPr>
      <w:bookmarkStart w:id="81" w:name="_Ref70983948"/>
    </w:p>
    <w:p w14:paraId="25D20DBA" w14:textId="122345F9" w:rsidR="0001449C" w:rsidRDefault="0001449C" w:rsidP="0001449C">
      <w:pPr>
        <w:pStyle w:val="Caption"/>
      </w:pPr>
      <w:bookmarkStart w:id="82" w:name="_Ref71568406"/>
      <w:bookmarkStart w:id="83" w:name="_Toc71725936"/>
      <w:r>
        <w:t xml:space="preserve">Figure </w:t>
      </w:r>
      <w:fldSimple w:instr=" SEQ Figure \* ARABIC ">
        <w:r w:rsidR="005A19B4">
          <w:rPr>
            <w:noProof/>
          </w:rPr>
          <w:t>18</w:t>
        </w:r>
      </w:fldSimple>
      <w:bookmarkEnd w:id="81"/>
      <w:bookmarkEnd w:id="82"/>
      <w:r>
        <w:t xml:space="preserve">: </w:t>
      </w:r>
      <w:r w:rsidRPr="00CD3C97">
        <w:t>FGS domestic resources are expected to recover; expenditure priorities remain the same</w:t>
      </w:r>
      <w:bookmarkEnd w:id="83"/>
    </w:p>
    <w:p w14:paraId="753BABDB" w14:textId="24365DDF" w:rsidR="001F2277" w:rsidRDefault="00FD11C3" w:rsidP="0001449C">
      <w:pPr>
        <w:pStyle w:val="Figure"/>
        <w:rPr>
          <w:rFonts w:ascii="Calibri" w:eastAsia="Times New Roman" w:hAnsi="Calibri" w:cs="Calibri"/>
          <w:bCs/>
        </w:rPr>
      </w:pPr>
      <w:r>
        <w:drawing>
          <wp:inline distT="0" distB="0" distL="0" distR="0" wp14:anchorId="01F020A6" wp14:editId="005F9CCB">
            <wp:extent cx="2981325" cy="2591546"/>
            <wp:effectExtent l="0" t="0" r="0" b="0"/>
            <wp:docPr id="53" name="Chart 53">
              <a:extLst xmlns:a="http://schemas.openxmlformats.org/drawingml/2006/main">
                <a:ext uri="{FF2B5EF4-FFF2-40B4-BE49-F238E27FC236}">
                  <a16:creationId xmlns:a16="http://schemas.microsoft.com/office/drawing/2014/main" id="{C7241869-18A2-426C-BE52-82BB4D123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1F2277">
        <w:drawing>
          <wp:inline distT="0" distB="0" distL="0" distR="0" wp14:anchorId="5E4C682B" wp14:editId="5D4C8740">
            <wp:extent cx="2926080" cy="2527300"/>
            <wp:effectExtent l="0" t="0" r="7620" b="6350"/>
            <wp:docPr id="25" name="Chart 25">
              <a:extLst xmlns:a="http://schemas.openxmlformats.org/drawingml/2006/main">
                <a:ext uri="{FF2B5EF4-FFF2-40B4-BE49-F238E27FC236}">
                  <a16:creationId xmlns:a16="http://schemas.microsoft.com/office/drawing/2014/main" id="{0F69C5DC-94A2-42BB-A41B-F85D87446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3CDA10" w14:textId="05186960" w:rsidR="001F2277" w:rsidRDefault="001F2277" w:rsidP="00E54BBD">
      <w:pPr>
        <w:pStyle w:val="Source"/>
        <w:spacing w:after="0"/>
      </w:pPr>
      <w:r w:rsidRPr="004D0613">
        <w:t>Source: FGS 2021 Fiscal Year Budget Act No.00017/2021</w:t>
      </w:r>
    </w:p>
    <w:p w14:paraId="148F27F3" w14:textId="4C160DAE" w:rsidR="00E54BBD" w:rsidRPr="004D0613" w:rsidRDefault="00E54BBD" w:rsidP="0001449C">
      <w:pPr>
        <w:pStyle w:val="Source"/>
      </w:pPr>
      <w:r>
        <w:t xml:space="preserve">Notes: Subsidies consist of financing provided by the </w:t>
      </w:r>
      <w:proofErr w:type="spellStart"/>
      <w:r>
        <w:t>Gargaara</w:t>
      </w:r>
      <w:proofErr w:type="spellEnd"/>
      <w:r>
        <w:t xml:space="preserve"> Facility to MSMEs.</w:t>
      </w:r>
    </w:p>
    <w:p w14:paraId="495C836D" w14:textId="77D625EB" w:rsidR="005D12C1" w:rsidRDefault="005D12C1" w:rsidP="005D12C1">
      <w:pPr>
        <w:spacing w:before="120" w:after="120" w:line="276" w:lineRule="auto"/>
        <w:jc w:val="both"/>
        <w:rPr>
          <w:rFonts w:ascii="Calibri" w:eastAsia="Times New Roman" w:hAnsi="Calibri" w:cs="Calibri"/>
          <w:bCs/>
        </w:rPr>
      </w:pPr>
      <w:r w:rsidRPr="002B4477">
        <w:rPr>
          <w:rFonts w:ascii="Calibri" w:eastAsia="Times New Roman" w:hAnsi="Calibri" w:cs="Calibri"/>
          <w:b/>
        </w:rPr>
        <w:t>The government proposes to spend US$666 million in 2021, about 12.3 percent of GDP and 35 percent higher than 2020 outturn</w:t>
      </w:r>
      <w:r w:rsidR="0001449C" w:rsidRPr="0001449C">
        <w:rPr>
          <w:rFonts w:ascii="Calibri" w:eastAsia="Times New Roman" w:hAnsi="Calibri" w:cs="Calibri"/>
          <w:bCs/>
        </w:rPr>
        <w:t xml:space="preserve"> (</w:t>
      </w:r>
      <w:r w:rsidR="0061158F">
        <w:rPr>
          <w:rFonts w:ascii="Calibri" w:eastAsia="Times New Roman" w:hAnsi="Calibri" w:cs="Calibri"/>
          <w:bCs/>
        </w:rPr>
        <w:fldChar w:fldCharType="begin"/>
      </w:r>
      <w:r w:rsidR="0061158F">
        <w:rPr>
          <w:rFonts w:ascii="Calibri" w:eastAsia="Times New Roman" w:hAnsi="Calibri" w:cs="Calibri"/>
          <w:bCs/>
        </w:rPr>
        <w:instrText xml:space="preserve"> REF _Ref70951929 \h </w:instrText>
      </w:r>
      <w:r w:rsidR="0061158F">
        <w:rPr>
          <w:rFonts w:ascii="Calibri" w:eastAsia="Times New Roman" w:hAnsi="Calibri" w:cs="Calibri"/>
          <w:bCs/>
        </w:rPr>
      </w:r>
      <w:r w:rsidR="0061158F">
        <w:rPr>
          <w:rFonts w:ascii="Calibri" w:eastAsia="Times New Roman" w:hAnsi="Calibri" w:cs="Calibri"/>
          <w:bCs/>
        </w:rPr>
        <w:fldChar w:fldCharType="separate"/>
      </w:r>
      <w:r w:rsidR="0061158F">
        <w:t xml:space="preserve">Table </w:t>
      </w:r>
      <w:r w:rsidR="0061158F">
        <w:rPr>
          <w:noProof/>
        </w:rPr>
        <w:t>5</w:t>
      </w:r>
      <w:r w:rsidR="0061158F">
        <w:rPr>
          <w:rFonts w:ascii="Calibri" w:eastAsia="Times New Roman" w:hAnsi="Calibri" w:cs="Calibri"/>
          <w:bCs/>
        </w:rPr>
        <w:fldChar w:fldCharType="end"/>
      </w:r>
      <w:r w:rsidR="0001449C" w:rsidRPr="0001449C">
        <w:rPr>
          <w:rFonts w:ascii="Calibri" w:eastAsia="Times New Roman" w:hAnsi="Calibri" w:cs="Calibri"/>
          <w:bCs/>
        </w:rPr>
        <w:t>).</w:t>
      </w:r>
      <w:r>
        <w:rPr>
          <w:rFonts w:ascii="Calibri" w:eastAsia="Times New Roman" w:hAnsi="Calibri" w:cs="Calibri"/>
          <w:bCs/>
        </w:rPr>
        <w:t xml:space="preserve"> The expenditure is expected to be d</w:t>
      </w:r>
      <w:r w:rsidRPr="00A7739B">
        <w:rPr>
          <w:rFonts w:ascii="Calibri" w:eastAsia="Times New Roman" w:hAnsi="Calibri" w:cs="Calibri"/>
          <w:bCs/>
        </w:rPr>
        <w:t>riven by year-on-year revenue growth</w:t>
      </w:r>
      <w:r>
        <w:rPr>
          <w:rFonts w:ascii="Calibri" w:eastAsia="Times New Roman" w:hAnsi="Calibri" w:cs="Calibri"/>
          <w:bCs/>
        </w:rPr>
        <w:t xml:space="preserve"> estimated to reach 12.6 percent of GDP, 2.4 percentage points higher than 2019</w:t>
      </w:r>
      <w:r w:rsidR="003907D9">
        <w:rPr>
          <w:rFonts w:ascii="Calibri" w:eastAsia="Times New Roman" w:hAnsi="Calibri" w:cs="Calibri"/>
          <w:bCs/>
        </w:rPr>
        <w:t xml:space="preserve"> </w:t>
      </w:r>
      <w:r w:rsidR="003907D9" w:rsidRPr="003907D9">
        <w:rPr>
          <w:rFonts w:ascii="Calibri" w:eastAsia="Times New Roman" w:hAnsi="Calibri" w:cs="Calibri"/>
          <w:bCs/>
        </w:rPr>
        <w:t>(</w:t>
      </w:r>
      <w:r w:rsidR="003C22DB">
        <w:rPr>
          <w:rFonts w:ascii="Calibri" w:eastAsia="Times New Roman" w:hAnsi="Calibri" w:cs="Calibri"/>
          <w:bCs/>
        </w:rPr>
        <w:fldChar w:fldCharType="begin"/>
      </w:r>
      <w:r w:rsidR="003C22DB">
        <w:rPr>
          <w:rFonts w:ascii="Calibri" w:eastAsia="Times New Roman" w:hAnsi="Calibri" w:cs="Calibri"/>
          <w:bCs/>
        </w:rPr>
        <w:instrText xml:space="preserve"> REF _Ref71568406 \h </w:instrText>
      </w:r>
      <w:r w:rsidR="003C22DB">
        <w:rPr>
          <w:rFonts w:ascii="Calibri" w:eastAsia="Times New Roman" w:hAnsi="Calibri" w:cs="Calibri"/>
          <w:bCs/>
        </w:rPr>
      </w:r>
      <w:r w:rsidR="003C22DB">
        <w:rPr>
          <w:rFonts w:ascii="Calibri" w:eastAsia="Times New Roman" w:hAnsi="Calibri" w:cs="Calibri"/>
          <w:bCs/>
        </w:rPr>
        <w:fldChar w:fldCharType="separate"/>
      </w:r>
      <w:r w:rsidR="005A19B4">
        <w:t xml:space="preserve">Figure </w:t>
      </w:r>
      <w:r w:rsidR="005A19B4">
        <w:rPr>
          <w:noProof/>
        </w:rPr>
        <w:t>18</w:t>
      </w:r>
      <w:r w:rsidR="003C22DB">
        <w:rPr>
          <w:rFonts w:ascii="Calibri" w:eastAsia="Times New Roman" w:hAnsi="Calibri" w:cs="Calibri"/>
          <w:bCs/>
        </w:rPr>
        <w:fldChar w:fldCharType="end"/>
      </w:r>
      <w:r w:rsidR="003907D9" w:rsidRPr="003907D9">
        <w:rPr>
          <w:rFonts w:ascii="Calibri" w:eastAsia="Times New Roman" w:hAnsi="Calibri" w:cs="Calibri"/>
          <w:bCs/>
        </w:rPr>
        <w:t>a)</w:t>
      </w:r>
      <w:r>
        <w:rPr>
          <w:rFonts w:ascii="Calibri" w:eastAsia="Times New Roman" w:hAnsi="Calibri" w:cs="Calibri"/>
          <w:bCs/>
        </w:rPr>
        <w:t xml:space="preserve">. The budget </w:t>
      </w:r>
      <w:r w:rsidR="00E54BBD">
        <w:rPr>
          <w:rFonts w:ascii="Calibri" w:eastAsia="Times New Roman" w:hAnsi="Calibri" w:cs="Calibri"/>
          <w:bCs/>
        </w:rPr>
        <w:t>anticipates a</w:t>
      </w:r>
      <w:r>
        <w:rPr>
          <w:rFonts w:ascii="Calibri" w:eastAsia="Times New Roman" w:hAnsi="Calibri" w:cs="Calibri"/>
          <w:bCs/>
        </w:rPr>
        <w:t xml:space="preserve"> 39 percent increase in donor grants, which could finance up to 60 percent of the total expenditure</w:t>
      </w:r>
      <w:r w:rsidR="00BD337B">
        <w:rPr>
          <w:rFonts w:ascii="Calibri" w:eastAsia="Times New Roman" w:hAnsi="Calibri" w:cs="Calibri"/>
          <w:bCs/>
        </w:rPr>
        <w:t>,</w:t>
      </w:r>
      <w:r w:rsidR="00BD337B" w:rsidRPr="00BD337B">
        <w:t xml:space="preserve"> </w:t>
      </w:r>
      <w:r w:rsidR="00BD337B" w:rsidRPr="00BD337B">
        <w:rPr>
          <w:rFonts w:ascii="Calibri" w:eastAsia="Times New Roman" w:hAnsi="Calibri" w:cs="Calibri"/>
          <w:bCs/>
        </w:rPr>
        <w:t>mainly dominated by projects grants at 41 percent and budget support at 19 percent</w:t>
      </w:r>
      <w:r>
        <w:rPr>
          <w:rFonts w:ascii="Calibri" w:eastAsia="Times New Roman" w:hAnsi="Calibri" w:cs="Calibri"/>
          <w:bCs/>
        </w:rPr>
        <w:t xml:space="preserve">. </w:t>
      </w:r>
      <w:r w:rsidR="00E54BBD">
        <w:rPr>
          <w:rFonts w:ascii="Calibri" w:eastAsia="Times New Roman" w:hAnsi="Calibri" w:cs="Calibri"/>
          <w:bCs/>
        </w:rPr>
        <w:t>O</w:t>
      </w:r>
      <w:r>
        <w:rPr>
          <w:rFonts w:ascii="Calibri" w:eastAsia="Times New Roman" w:hAnsi="Calibri" w:cs="Calibri"/>
          <w:bCs/>
        </w:rPr>
        <w:t>ver</w:t>
      </w:r>
      <w:r w:rsidR="00E54BBD">
        <w:rPr>
          <w:rFonts w:ascii="Calibri" w:eastAsia="Times New Roman" w:hAnsi="Calibri" w:cs="Calibri"/>
          <w:bCs/>
        </w:rPr>
        <w:t>-</w:t>
      </w:r>
      <w:r>
        <w:rPr>
          <w:rFonts w:ascii="Calibri" w:eastAsia="Times New Roman" w:hAnsi="Calibri" w:cs="Calibri"/>
          <w:bCs/>
        </w:rPr>
        <w:t>reliance on donor grants, particularly budget support, to finance operations could prove risky in 2021 due to the prevailing political environment.</w:t>
      </w:r>
      <w:r>
        <w:rPr>
          <w:rStyle w:val="FootnoteReference"/>
          <w:rFonts w:ascii="Calibri" w:eastAsia="Times New Roman" w:hAnsi="Calibri" w:cs="Calibri"/>
          <w:bCs/>
        </w:rPr>
        <w:footnoteReference w:id="21"/>
      </w:r>
    </w:p>
    <w:p w14:paraId="2393381C" w14:textId="0921F9EF" w:rsidR="001F2277" w:rsidRDefault="00F453BB" w:rsidP="001F2277">
      <w:pPr>
        <w:spacing w:before="120" w:after="120"/>
        <w:jc w:val="both"/>
      </w:pPr>
      <w:r>
        <w:rPr>
          <w:b/>
          <w:bCs/>
        </w:rPr>
        <w:t>W</w:t>
      </w:r>
      <w:r w:rsidR="001F2277">
        <w:rPr>
          <w:b/>
          <w:bCs/>
        </w:rPr>
        <w:t>age bill and use of goods and services</w:t>
      </w:r>
      <w:r>
        <w:rPr>
          <w:b/>
          <w:bCs/>
        </w:rPr>
        <w:t xml:space="preserve"> still dominate FGS spending</w:t>
      </w:r>
      <w:r w:rsidR="001F2277">
        <w:rPr>
          <w:b/>
          <w:bCs/>
        </w:rPr>
        <w:t xml:space="preserve">. </w:t>
      </w:r>
      <w:r w:rsidR="001F2277">
        <w:t>These two categories will account for 38 percent and 27.5 percent of the total budget respectively in 2021 (</w:t>
      </w:r>
      <w:r w:rsidR="003C22DB">
        <w:fldChar w:fldCharType="begin"/>
      </w:r>
      <w:r w:rsidR="003C22DB">
        <w:instrText xml:space="preserve"> REF _Ref71568406 \h </w:instrText>
      </w:r>
      <w:r w:rsidR="003C22DB">
        <w:fldChar w:fldCharType="separate"/>
      </w:r>
      <w:r w:rsidR="005A19B4">
        <w:t xml:space="preserve">Figure </w:t>
      </w:r>
      <w:r w:rsidR="005A19B4">
        <w:rPr>
          <w:noProof/>
        </w:rPr>
        <w:t>18</w:t>
      </w:r>
      <w:r w:rsidR="003C22DB">
        <w:fldChar w:fldCharType="end"/>
      </w:r>
      <w:r w:rsidR="001F2277">
        <w:t xml:space="preserve">b). The wage bill is expected to increase by 10 percent compared to 2020 outturn, owed mainly to wage adjustments in the security sector (SNA and police force, among other MDAs). Use of goods and services is estimated to more than double its level in 2020, reflecting anticipated donor projects expenditure under this category.  </w:t>
      </w:r>
      <w:r w:rsidR="00C962AE">
        <w:t>Grants</w:t>
      </w:r>
      <w:r w:rsidR="001F2277">
        <w:t xml:space="preserve"> to subnational governments are expected to return to their 2019 levels</w:t>
      </w:r>
      <w:r w:rsidR="00C962AE">
        <w:t xml:space="preserve"> in 2021—</w:t>
      </w:r>
      <w:r w:rsidR="001F2277">
        <w:t xml:space="preserve">US$41.3 million, </w:t>
      </w:r>
      <w:r w:rsidR="001F2277">
        <w:lastRenderedPageBreak/>
        <w:t>representing 6.2 percent of the budget. Project grants</w:t>
      </w:r>
      <w:r w:rsidR="00C953C4" w:rsidRPr="00C953C4">
        <w:t>, mainly</w:t>
      </w:r>
      <w:r w:rsidR="000D0BBB">
        <w:t xml:space="preserve"> for </w:t>
      </w:r>
      <w:r w:rsidR="00C953C4" w:rsidRPr="00C953C4">
        <w:t xml:space="preserve">public works, water, and crisis response programs, </w:t>
      </w:r>
      <w:r w:rsidR="001F2277">
        <w:t xml:space="preserve">account for 4.4 percent of the total budget, bringing total transfers to 10.6 percent of the total budget. Social benefits introduced in 2020 is projected to relatively remain at the same level, 1.1 percent of GDP. Capital spending is expected to quadruple to 1.5 percent of GDP from 0.4 percent in 2020. </w:t>
      </w:r>
    </w:p>
    <w:p w14:paraId="61DC5A1E" w14:textId="5E70FDFD" w:rsidR="001F2277" w:rsidRDefault="001F2277" w:rsidP="001F2277">
      <w:pPr>
        <w:spacing w:before="120" w:after="120"/>
        <w:jc w:val="both"/>
      </w:pPr>
      <w:r w:rsidRPr="00734EDD">
        <w:rPr>
          <w:b/>
          <w:bCs/>
        </w:rPr>
        <w:t xml:space="preserve">Security and administrative services are the biggest gainers in the 2021 budget </w:t>
      </w:r>
      <w:r w:rsidR="00C962AE">
        <w:rPr>
          <w:b/>
          <w:bCs/>
        </w:rPr>
        <w:t>and</w:t>
      </w:r>
      <w:r w:rsidRPr="00734EDD">
        <w:rPr>
          <w:b/>
          <w:bCs/>
        </w:rPr>
        <w:t xml:space="preserve"> </w:t>
      </w:r>
      <w:r w:rsidR="00C962AE">
        <w:rPr>
          <w:b/>
          <w:bCs/>
        </w:rPr>
        <w:t>will continue to</w:t>
      </w:r>
      <w:r w:rsidRPr="00734EDD">
        <w:rPr>
          <w:b/>
          <w:bCs/>
        </w:rPr>
        <w:t xml:space="preserve"> constitute the largest share of the budget.</w:t>
      </w:r>
      <w:r>
        <w:t xml:space="preserve"> </w:t>
      </w:r>
      <w:r w:rsidR="00C962AE">
        <w:t>Spending in a</w:t>
      </w:r>
      <w:r>
        <w:t xml:space="preserve">dministration sector is set to increase by 21 percent and </w:t>
      </w:r>
      <w:r w:rsidR="00C962AE">
        <w:t xml:space="preserve">in </w:t>
      </w:r>
      <w:r>
        <w:t>security by 13 percent (</w:t>
      </w:r>
      <w:r w:rsidR="003C22DB">
        <w:fldChar w:fldCharType="begin"/>
      </w:r>
      <w:r w:rsidR="003C22DB">
        <w:instrText xml:space="preserve"> REF _Ref70986236 \h </w:instrText>
      </w:r>
      <w:r w:rsidR="003C22DB">
        <w:fldChar w:fldCharType="separate"/>
      </w:r>
      <w:r w:rsidR="005A19B4">
        <w:t xml:space="preserve">Figure </w:t>
      </w:r>
      <w:r w:rsidR="005A19B4">
        <w:rPr>
          <w:noProof/>
        </w:rPr>
        <w:t>19</w:t>
      </w:r>
      <w:r w:rsidR="003C22DB">
        <w:fldChar w:fldCharType="end"/>
      </w:r>
      <w:r>
        <w:t>). Economic sector spending will more than double its level in 2020, an increase of 95 percent. This will be driven by increased spending spread across water, energy, urban development, and road infrastructure. Donor projects are increasingly playing a critical role in enhancing public service delivery and strengthening government institutions. Overall donor projects’ commitments now account for 36 percent of the total budget, mainly in administration, economic and social sectors.</w:t>
      </w:r>
      <w:r w:rsidR="003E75D5">
        <w:t xml:space="preserve"> </w:t>
      </w:r>
    </w:p>
    <w:p w14:paraId="5D7A29D5" w14:textId="20F78040" w:rsidR="001F2277" w:rsidRDefault="001F2277" w:rsidP="001F2277">
      <w:pPr>
        <w:spacing w:before="120" w:after="120"/>
        <w:jc w:val="both"/>
        <w:rPr>
          <w:rFonts w:ascii="Calibri" w:eastAsia="Times New Roman" w:hAnsi="Calibri" w:cs="Calibri"/>
          <w:bCs/>
        </w:rPr>
      </w:pPr>
      <w:r>
        <w:rPr>
          <w:rFonts w:ascii="Calibri" w:eastAsia="Times New Roman" w:hAnsi="Calibri" w:cs="Calibri"/>
          <w:b/>
        </w:rPr>
        <w:t xml:space="preserve">The budget proposes to sustain increased </w:t>
      </w:r>
      <w:r w:rsidRPr="002B0821">
        <w:rPr>
          <w:rFonts w:ascii="Calibri" w:eastAsia="Times New Roman" w:hAnsi="Calibri" w:cs="Calibri"/>
          <w:b/>
        </w:rPr>
        <w:t>pro-poor spending</w:t>
      </w:r>
      <w:r>
        <w:rPr>
          <w:rFonts w:ascii="Calibri" w:eastAsia="Times New Roman" w:hAnsi="Calibri" w:cs="Calibri"/>
          <w:b/>
        </w:rPr>
        <w:t xml:space="preserve"> </w:t>
      </w:r>
      <w:r w:rsidRPr="002B0821">
        <w:rPr>
          <w:rFonts w:ascii="Calibri" w:eastAsia="Times New Roman" w:hAnsi="Calibri" w:cs="Calibri"/>
          <w:b/>
        </w:rPr>
        <w:t>in social protection, health, and education</w:t>
      </w:r>
      <w:r>
        <w:rPr>
          <w:rFonts w:ascii="Calibri" w:eastAsia="Times New Roman" w:hAnsi="Calibri" w:cs="Calibri"/>
          <w:b/>
        </w:rPr>
        <w:t>, mainly through d</w:t>
      </w:r>
      <w:r w:rsidRPr="002B0821">
        <w:rPr>
          <w:rFonts w:ascii="Calibri" w:eastAsia="Times New Roman" w:hAnsi="Calibri" w:cs="Calibri"/>
          <w:b/>
        </w:rPr>
        <w:t xml:space="preserve">onor </w:t>
      </w:r>
      <w:r>
        <w:rPr>
          <w:rFonts w:ascii="Calibri" w:eastAsia="Times New Roman" w:hAnsi="Calibri" w:cs="Calibri"/>
          <w:b/>
        </w:rPr>
        <w:t xml:space="preserve">funded </w:t>
      </w:r>
      <w:r w:rsidRPr="002B0821">
        <w:rPr>
          <w:rFonts w:ascii="Calibri" w:eastAsia="Times New Roman" w:hAnsi="Calibri" w:cs="Calibri"/>
          <w:b/>
        </w:rPr>
        <w:t>programs</w:t>
      </w:r>
      <w:r w:rsidRPr="00512361">
        <w:rPr>
          <w:rFonts w:ascii="Calibri" w:eastAsia="Times New Roman" w:hAnsi="Calibri" w:cs="Calibri"/>
          <w:bCs/>
        </w:rPr>
        <w:t xml:space="preserve"> (</w:t>
      </w:r>
      <w:r w:rsidR="00512361" w:rsidRPr="00512361">
        <w:rPr>
          <w:rFonts w:ascii="Calibri" w:eastAsia="Times New Roman" w:hAnsi="Calibri" w:cs="Calibri"/>
          <w:bCs/>
        </w:rPr>
        <w:fldChar w:fldCharType="begin"/>
      </w:r>
      <w:r w:rsidR="00512361" w:rsidRPr="00512361">
        <w:rPr>
          <w:rFonts w:ascii="Calibri" w:eastAsia="Times New Roman" w:hAnsi="Calibri" w:cs="Calibri"/>
          <w:bCs/>
        </w:rPr>
        <w:instrText xml:space="preserve"> REF _Ref70986236 \h  \* MERGEFORMAT </w:instrText>
      </w:r>
      <w:r w:rsidR="00512361" w:rsidRPr="00512361">
        <w:rPr>
          <w:rFonts w:ascii="Calibri" w:eastAsia="Times New Roman" w:hAnsi="Calibri" w:cs="Calibri"/>
          <w:bCs/>
        </w:rPr>
      </w:r>
      <w:r w:rsidR="00512361" w:rsidRPr="00512361">
        <w:rPr>
          <w:rFonts w:ascii="Calibri" w:eastAsia="Times New Roman" w:hAnsi="Calibri" w:cs="Calibri"/>
          <w:bCs/>
        </w:rPr>
        <w:fldChar w:fldCharType="separate"/>
      </w:r>
      <w:r w:rsidR="005A19B4" w:rsidRPr="005A19B4">
        <w:rPr>
          <w:bCs/>
        </w:rPr>
        <w:t xml:space="preserve">Figure </w:t>
      </w:r>
      <w:r w:rsidR="005A19B4" w:rsidRPr="005A19B4">
        <w:rPr>
          <w:bCs/>
          <w:noProof/>
        </w:rPr>
        <w:t>19</w:t>
      </w:r>
      <w:r w:rsidR="00512361" w:rsidRPr="00512361">
        <w:rPr>
          <w:rFonts w:ascii="Calibri" w:eastAsia="Times New Roman" w:hAnsi="Calibri" w:cs="Calibri"/>
          <w:bCs/>
        </w:rPr>
        <w:fldChar w:fldCharType="end"/>
      </w:r>
      <w:r w:rsidRPr="00512361">
        <w:rPr>
          <w:rFonts w:ascii="Calibri" w:eastAsia="Times New Roman" w:hAnsi="Calibri" w:cs="Calibri"/>
          <w:bCs/>
        </w:rPr>
        <w:t xml:space="preserve">). </w:t>
      </w:r>
      <w:r w:rsidRPr="00701508">
        <w:rPr>
          <w:rFonts w:ascii="Calibri" w:eastAsia="Times New Roman" w:hAnsi="Calibri" w:cs="Calibri"/>
          <w:bCs/>
        </w:rPr>
        <w:t>Social</w:t>
      </w:r>
      <w:r>
        <w:rPr>
          <w:rFonts w:ascii="Calibri" w:eastAsia="Times New Roman" w:hAnsi="Calibri" w:cs="Calibri"/>
          <w:bCs/>
        </w:rPr>
        <w:t xml:space="preserve"> sector spending will increase by 34 percent comprising largely of continued support to </w:t>
      </w:r>
      <w:r w:rsidRPr="00A36470">
        <w:rPr>
          <w:rFonts w:ascii="Calibri" w:eastAsia="Times New Roman" w:hAnsi="Calibri" w:cs="Calibri"/>
          <w:bCs/>
        </w:rPr>
        <w:t>poor and vulnerable households</w:t>
      </w:r>
      <w:r>
        <w:rPr>
          <w:rFonts w:ascii="Calibri" w:eastAsia="Times New Roman" w:hAnsi="Calibri" w:cs="Calibri"/>
          <w:bCs/>
        </w:rPr>
        <w:t xml:space="preserve"> through (i) the </w:t>
      </w:r>
      <w:proofErr w:type="spellStart"/>
      <w:r w:rsidRPr="00A36470">
        <w:rPr>
          <w:rFonts w:ascii="Calibri" w:eastAsia="Times New Roman" w:hAnsi="Calibri" w:cs="Calibri"/>
          <w:bCs/>
        </w:rPr>
        <w:t>Baxnaano</w:t>
      </w:r>
      <w:proofErr w:type="spellEnd"/>
      <w:r w:rsidRPr="00A36470">
        <w:rPr>
          <w:rFonts w:ascii="Calibri" w:eastAsia="Times New Roman" w:hAnsi="Calibri" w:cs="Calibri"/>
          <w:bCs/>
        </w:rPr>
        <w:t xml:space="preserve"> </w:t>
      </w:r>
      <w:r w:rsidR="00512361">
        <w:rPr>
          <w:rFonts w:ascii="Calibri" w:eastAsia="Times New Roman" w:hAnsi="Calibri" w:cs="Calibri"/>
          <w:bCs/>
        </w:rPr>
        <w:t>P</w:t>
      </w:r>
      <w:r w:rsidRPr="00A36470">
        <w:rPr>
          <w:rFonts w:ascii="Calibri" w:eastAsia="Times New Roman" w:hAnsi="Calibri" w:cs="Calibri"/>
          <w:bCs/>
        </w:rPr>
        <w:t>rogram</w:t>
      </w:r>
      <w:r>
        <w:rPr>
          <w:rFonts w:ascii="Calibri" w:eastAsia="Times New Roman" w:hAnsi="Calibri" w:cs="Calibri"/>
          <w:bCs/>
        </w:rPr>
        <w:t xml:space="preserve">, cash transfers in response to the locusts threat, (ii) </w:t>
      </w:r>
      <w:r w:rsidR="00512361">
        <w:rPr>
          <w:rFonts w:ascii="Calibri" w:eastAsia="Times New Roman" w:hAnsi="Calibri" w:cs="Calibri"/>
          <w:bCs/>
        </w:rPr>
        <w:t>Somalia C</w:t>
      </w:r>
      <w:r>
        <w:rPr>
          <w:rFonts w:ascii="Calibri" w:eastAsia="Times New Roman" w:hAnsi="Calibri" w:cs="Calibri"/>
          <w:bCs/>
        </w:rPr>
        <w:t xml:space="preserve">risis </w:t>
      </w:r>
      <w:r w:rsidR="00512361">
        <w:rPr>
          <w:rFonts w:ascii="Calibri" w:eastAsia="Times New Roman" w:hAnsi="Calibri" w:cs="Calibri"/>
          <w:bCs/>
        </w:rPr>
        <w:t>Recovery</w:t>
      </w:r>
      <w:r>
        <w:rPr>
          <w:rFonts w:ascii="Calibri" w:eastAsia="Times New Roman" w:hAnsi="Calibri" w:cs="Calibri"/>
          <w:bCs/>
        </w:rPr>
        <w:t xml:space="preserve"> </w:t>
      </w:r>
      <w:r w:rsidR="00512361">
        <w:rPr>
          <w:rFonts w:ascii="Calibri" w:eastAsia="Times New Roman" w:hAnsi="Calibri" w:cs="Calibri"/>
          <w:bCs/>
        </w:rPr>
        <w:t>P</w:t>
      </w:r>
      <w:r>
        <w:rPr>
          <w:rFonts w:ascii="Calibri" w:eastAsia="Times New Roman" w:hAnsi="Calibri" w:cs="Calibri"/>
          <w:bCs/>
        </w:rPr>
        <w:t xml:space="preserve">roject, and (iii) health </w:t>
      </w:r>
      <w:r w:rsidR="00512361">
        <w:rPr>
          <w:rFonts w:ascii="Calibri" w:eastAsia="Times New Roman" w:hAnsi="Calibri" w:cs="Calibri"/>
          <w:bCs/>
        </w:rPr>
        <w:t>and</w:t>
      </w:r>
      <w:r>
        <w:rPr>
          <w:rFonts w:ascii="Calibri" w:eastAsia="Times New Roman" w:hAnsi="Calibri" w:cs="Calibri"/>
          <w:bCs/>
        </w:rPr>
        <w:t xml:space="preserve"> education support through the </w:t>
      </w:r>
      <w:r w:rsidRPr="00A36470">
        <w:rPr>
          <w:rFonts w:ascii="Calibri" w:eastAsia="Times New Roman" w:hAnsi="Calibri" w:cs="Calibri"/>
          <w:bCs/>
        </w:rPr>
        <w:t>Recurrent Cost and Reform Financing Facility</w:t>
      </w:r>
      <w:r>
        <w:rPr>
          <w:rFonts w:ascii="Calibri" w:eastAsia="Times New Roman" w:hAnsi="Calibri" w:cs="Calibri"/>
          <w:bCs/>
        </w:rPr>
        <w:t xml:space="preserve">. As the country continues to battle the COVID-19 crisis, health sector spending is estimated to reach 5 percent of </w:t>
      </w:r>
      <w:r w:rsidR="00066A96">
        <w:rPr>
          <w:rFonts w:ascii="Calibri" w:eastAsia="Times New Roman" w:hAnsi="Calibri" w:cs="Calibri"/>
          <w:bCs/>
        </w:rPr>
        <w:t xml:space="preserve">FGS </w:t>
      </w:r>
      <w:r>
        <w:rPr>
          <w:rFonts w:ascii="Calibri" w:eastAsia="Times New Roman" w:hAnsi="Calibri" w:cs="Calibri"/>
          <w:bCs/>
        </w:rPr>
        <w:t xml:space="preserve">total expenditure, increasing over 5 times though from a small share of 1.3 percent in 2020. Resourcing the sector will remain critical in the medium term with uncertainty surrounding the end of the COVID-19 crisis as well as rebuilding and strengthening the weak healthcare system. Education sector expenditure is expected to almost triple to US$40 million </w:t>
      </w:r>
      <w:r w:rsidR="00066A96">
        <w:rPr>
          <w:rFonts w:ascii="Calibri" w:eastAsia="Times New Roman" w:hAnsi="Calibri" w:cs="Calibri"/>
          <w:bCs/>
        </w:rPr>
        <w:t>(</w:t>
      </w:r>
      <w:r>
        <w:rPr>
          <w:rFonts w:ascii="Calibri" w:eastAsia="Times New Roman" w:hAnsi="Calibri" w:cs="Calibri"/>
          <w:bCs/>
        </w:rPr>
        <w:t>equivalent 6 percent of the total budget</w:t>
      </w:r>
      <w:r w:rsidR="00066A96">
        <w:rPr>
          <w:rFonts w:ascii="Calibri" w:eastAsia="Times New Roman" w:hAnsi="Calibri" w:cs="Calibri"/>
          <w:bCs/>
        </w:rPr>
        <w:t>) from US$14.3 million in 2020</w:t>
      </w:r>
      <w:r>
        <w:rPr>
          <w:rFonts w:ascii="Calibri" w:eastAsia="Times New Roman" w:hAnsi="Calibri" w:cs="Calibri"/>
          <w:bCs/>
        </w:rPr>
        <w:t>.</w:t>
      </w:r>
    </w:p>
    <w:p w14:paraId="085D0D6C" w14:textId="3513FFC1" w:rsidR="00C962AE" w:rsidRDefault="00C962AE" w:rsidP="00C962AE">
      <w:pPr>
        <w:pStyle w:val="Caption"/>
        <w:jc w:val="left"/>
      </w:pPr>
      <w:bookmarkStart w:id="84" w:name="_Ref70986236"/>
      <w:bookmarkStart w:id="85" w:name="_Toc71725937"/>
      <w:r>
        <w:t xml:space="preserve">Figure </w:t>
      </w:r>
      <w:fldSimple w:instr=" SEQ Figure \* ARABIC ">
        <w:r w:rsidR="005A19B4">
          <w:rPr>
            <w:noProof/>
          </w:rPr>
          <w:t>19</w:t>
        </w:r>
      </w:fldSimple>
      <w:bookmarkEnd w:id="84"/>
      <w:r>
        <w:t xml:space="preserve">: </w:t>
      </w:r>
      <w:r w:rsidRPr="002462C9">
        <w:t>FGS expenditure is set to increase across all sectors in 2021</w:t>
      </w:r>
      <w:bookmarkEnd w:id="85"/>
    </w:p>
    <w:p w14:paraId="4CBD2CE5" w14:textId="6A919E16" w:rsidR="001F2277" w:rsidRDefault="00DD587C" w:rsidP="00C962AE">
      <w:pPr>
        <w:pStyle w:val="Figure"/>
      </w:pPr>
      <w:r>
        <w:drawing>
          <wp:inline distT="0" distB="0" distL="0" distR="0" wp14:anchorId="1682A530" wp14:editId="3CCBB46D">
            <wp:extent cx="5112689" cy="3252083"/>
            <wp:effectExtent l="0" t="0" r="0" b="5715"/>
            <wp:docPr id="46" name="Chart 46">
              <a:extLst xmlns:a="http://schemas.openxmlformats.org/drawingml/2006/main">
                <a:ext uri="{FF2B5EF4-FFF2-40B4-BE49-F238E27FC236}">
                  <a16:creationId xmlns:a16="http://schemas.microsoft.com/office/drawing/2014/main" id="{F1132AE1-89A1-4A77-9023-00E3761E4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0701D71" w14:textId="6F6AB06E" w:rsidR="001F2277" w:rsidRPr="00C2797F" w:rsidRDefault="001F2277" w:rsidP="00C962AE">
      <w:pPr>
        <w:pStyle w:val="Source"/>
      </w:pPr>
      <w:r w:rsidRPr="00C2797F">
        <w:t xml:space="preserve">Source: </w:t>
      </w:r>
      <w:r w:rsidR="00C962AE">
        <w:t>Staff calculations using data from the</w:t>
      </w:r>
      <w:r w:rsidRPr="00C2797F">
        <w:t xml:space="preserve"> FGS Appropriation Act, 2021</w:t>
      </w:r>
    </w:p>
    <w:p w14:paraId="38264022" w14:textId="63FF37C4" w:rsidR="001F2277" w:rsidRPr="005F1975" w:rsidRDefault="001F2277" w:rsidP="001F2277">
      <w:pPr>
        <w:pStyle w:val="Heading2"/>
        <w:rPr>
          <w:i/>
          <w:iCs/>
          <w:color w:val="1F3763" w:themeColor="accent1" w:themeShade="7F"/>
          <w:sz w:val="22"/>
          <w:szCs w:val="22"/>
        </w:rPr>
      </w:pPr>
      <w:bookmarkStart w:id="86" w:name="_Toc71574635"/>
      <w:bookmarkStart w:id="87" w:name="_Toc71574810"/>
      <w:bookmarkStart w:id="88" w:name="_Toc71617934"/>
      <w:bookmarkStart w:id="89" w:name="_Toc71618669"/>
      <w:bookmarkStart w:id="90" w:name="_Toc71725895"/>
      <w:r w:rsidRPr="005F1975">
        <w:rPr>
          <w:i/>
          <w:iCs/>
          <w:color w:val="1F3763" w:themeColor="accent1" w:themeShade="7F"/>
          <w:sz w:val="22"/>
          <w:szCs w:val="22"/>
        </w:rPr>
        <w:lastRenderedPageBreak/>
        <w:t>Challenging times ahead: Quarter one performance is characterized by domestic revenue shortfall unlike previous years as donor environment becomes unpredictable</w:t>
      </w:r>
      <w:bookmarkEnd w:id="86"/>
      <w:bookmarkEnd w:id="87"/>
      <w:bookmarkEnd w:id="88"/>
      <w:bookmarkEnd w:id="89"/>
      <w:bookmarkEnd w:id="90"/>
    </w:p>
    <w:p w14:paraId="2E772827" w14:textId="386E1DC3" w:rsidR="001F2277" w:rsidRDefault="001F2277" w:rsidP="001F2277">
      <w:pPr>
        <w:spacing w:before="120" w:after="120"/>
        <w:jc w:val="both"/>
        <w:rPr>
          <w:rFonts w:ascii="Calibri" w:eastAsia="Times New Roman" w:hAnsi="Calibri" w:cs="Calibri"/>
          <w:bCs/>
        </w:rPr>
      </w:pPr>
      <w:r w:rsidRPr="00B63AAA">
        <w:rPr>
          <w:rFonts w:ascii="Calibri" w:eastAsia="Times New Roman" w:hAnsi="Calibri" w:cs="Calibri"/>
          <w:b/>
        </w:rPr>
        <w:t>Implementation of the 2021 FGS budget is</w:t>
      </w:r>
      <w:r w:rsidR="00066A96">
        <w:rPr>
          <w:rFonts w:ascii="Calibri" w:eastAsia="Times New Roman" w:hAnsi="Calibri" w:cs="Calibri"/>
          <w:b/>
        </w:rPr>
        <w:t xml:space="preserve"> facing pressures </w:t>
      </w:r>
      <w:r w:rsidRPr="00B63AAA">
        <w:rPr>
          <w:rFonts w:ascii="Calibri" w:eastAsia="Times New Roman" w:hAnsi="Calibri" w:cs="Calibri"/>
          <w:b/>
        </w:rPr>
        <w:t xml:space="preserve">associated with lingering political </w:t>
      </w:r>
      <w:r w:rsidR="00066A96">
        <w:rPr>
          <w:rFonts w:ascii="Calibri" w:eastAsia="Times New Roman" w:hAnsi="Calibri" w:cs="Calibri"/>
          <w:b/>
        </w:rPr>
        <w:t>uncertainty</w:t>
      </w:r>
      <w:r w:rsidRPr="00B63AAA">
        <w:rPr>
          <w:rFonts w:ascii="Calibri" w:eastAsia="Times New Roman" w:hAnsi="Calibri" w:cs="Calibri"/>
          <w:b/>
        </w:rPr>
        <w:t xml:space="preserve"> and </w:t>
      </w:r>
      <w:r w:rsidR="00066A96">
        <w:rPr>
          <w:rFonts w:ascii="Calibri" w:eastAsia="Times New Roman" w:hAnsi="Calibri" w:cs="Calibri"/>
          <w:b/>
        </w:rPr>
        <w:t>the second wave of</w:t>
      </w:r>
      <w:r w:rsidRPr="00B63AAA">
        <w:rPr>
          <w:rFonts w:ascii="Calibri" w:eastAsia="Times New Roman" w:hAnsi="Calibri" w:cs="Calibri"/>
          <w:b/>
        </w:rPr>
        <w:t xml:space="preserve"> COVID-19 </w:t>
      </w:r>
      <w:r w:rsidR="00066A96">
        <w:rPr>
          <w:rFonts w:ascii="Calibri" w:eastAsia="Times New Roman" w:hAnsi="Calibri" w:cs="Calibri"/>
          <w:b/>
        </w:rPr>
        <w:t>infections</w:t>
      </w:r>
      <w:r w:rsidRPr="00B63AAA">
        <w:rPr>
          <w:rFonts w:ascii="Calibri" w:eastAsia="Times New Roman" w:hAnsi="Calibri" w:cs="Calibri"/>
          <w:b/>
        </w:rPr>
        <w:t>.</w:t>
      </w:r>
      <w:r>
        <w:rPr>
          <w:rFonts w:ascii="Calibri" w:eastAsia="Times New Roman" w:hAnsi="Calibri" w:cs="Calibri"/>
          <w:bCs/>
        </w:rPr>
        <w:t xml:space="preserve"> Domestic revenue collection has declined substantially in the first quarter, </w:t>
      </w:r>
      <w:r w:rsidR="00F05997">
        <w:rPr>
          <w:rFonts w:ascii="Calibri" w:eastAsia="Times New Roman" w:hAnsi="Calibri" w:cs="Calibri"/>
          <w:bCs/>
        </w:rPr>
        <w:t xml:space="preserve">13 </w:t>
      </w:r>
      <w:r>
        <w:rPr>
          <w:rFonts w:ascii="Calibri" w:eastAsia="Times New Roman" w:hAnsi="Calibri" w:cs="Calibri"/>
          <w:bCs/>
        </w:rPr>
        <w:t>percent compared to similar period in 2020 (</w:t>
      </w:r>
      <w:r w:rsidR="00FD064A">
        <w:rPr>
          <w:rFonts w:ascii="Calibri" w:eastAsia="Times New Roman" w:hAnsi="Calibri" w:cs="Calibri"/>
          <w:bCs/>
        </w:rPr>
        <w:fldChar w:fldCharType="begin"/>
      </w:r>
      <w:r w:rsidR="00FD064A">
        <w:rPr>
          <w:rFonts w:ascii="Calibri" w:eastAsia="Times New Roman" w:hAnsi="Calibri" w:cs="Calibri"/>
          <w:bCs/>
        </w:rPr>
        <w:instrText xml:space="preserve"> REF _Ref70951929 \h </w:instrText>
      </w:r>
      <w:r w:rsidR="00FD064A">
        <w:rPr>
          <w:rFonts w:ascii="Calibri" w:eastAsia="Times New Roman" w:hAnsi="Calibri" w:cs="Calibri"/>
          <w:bCs/>
        </w:rPr>
      </w:r>
      <w:r w:rsidR="00FD064A">
        <w:rPr>
          <w:rFonts w:ascii="Calibri" w:eastAsia="Times New Roman" w:hAnsi="Calibri" w:cs="Calibri"/>
          <w:bCs/>
        </w:rPr>
        <w:fldChar w:fldCharType="separate"/>
      </w:r>
      <w:r w:rsidR="00FD064A">
        <w:t xml:space="preserve">Table </w:t>
      </w:r>
      <w:r w:rsidR="00FD064A">
        <w:rPr>
          <w:noProof/>
        </w:rPr>
        <w:t>5</w:t>
      </w:r>
      <w:r w:rsidR="00FD064A">
        <w:rPr>
          <w:rFonts w:ascii="Calibri" w:eastAsia="Times New Roman" w:hAnsi="Calibri" w:cs="Calibri"/>
          <w:bCs/>
        </w:rPr>
        <w:fldChar w:fldCharType="end"/>
      </w:r>
      <w:r>
        <w:rPr>
          <w:rFonts w:ascii="Calibri" w:eastAsia="Times New Roman" w:hAnsi="Calibri" w:cs="Calibri"/>
          <w:bCs/>
        </w:rPr>
        <w:t xml:space="preserve">). Nontax revenue contributed to the major decline, by 45 percent during this period, driven by </w:t>
      </w:r>
      <w:r w:rsidR="000E1348">
        <w:rPr>
          <w:rFonts w:ascii="Calibri" w:eastAsia="Times New Roman" w:hAnsi="Calibri" w:cs="Calibri"/>
          <w:bCs/>
        </w:rPr>
        <w:t xml:space="preserve">dismal to </w:t>
      </w:r>
      <w:r>
        <w:rPr>
          <w:rFonts w:ascii="Calibri" w:eastAsia="Times New Roman" w:hAnsi="Calibri" w:cs="Calibri"/>
          <w:bCs/>
        </w:rPr>
        <w:t xml:space="preserve">virtually no collection in overflight, passport, and telecommunication spectrum fees depicting slow-pick up in activities in the aviation sector, continued COVID-19 surge, and protracted political climate . Rebound across all other revenue streams cushioned the shortfall. </w:t>
      </w:r>
      <w:proofErr w:type="gramStart"/>
      <w:r>
        <w:rPr>
          <w:rFonts w:ascii="Calibri" w:eastAsia="Times New Roman" w:hAnsi="Calibri" w:cs="Calibri"/>
          <w:bCs/>
        </w:rPr>
        <w:t>In particular, trade</w:t>
      </w:r>
      <w:proofErr w:type="gramEnd"/>
      <w:r>
        <w:rPr>
          <w:rFonts w:ascii="Calibri" w:eastAsia="Times New Roman" w:hAnsi="Calibri" w:cs="Calibri"/>
          <w:bCs/>
        </w:rPr>
        <w:t xml:space="preserve"> taxes have picked up to record a positive growth of </w:t>
      </w:r>
      <w:r w:rsidR="003356A2">
        <w:rPr>
          <w:rFonts w:ascii="Calibri" w:eastAsia="Times New Roman" w:hAnsi="Calibri" w:cs="Calibri"/>
          <w:bCs/>
        </w:rPr>
        <w:t xml:space="preserve">2 </w:t>
      </w:r>
      <w:r>
        <w:rPr>
          <w:rFonts w:ascii="Calibri" w:eastAsia="Times New Roman" w:hAnsi="Calibri" w:cs="Calibri"/>
          <w:bCs/>
        </w:rPr>
        <w:t>percent compared to the same period in 2020. This is attributed to rising demand for imports with gradual rebound of economic activities</w:t>
      </w:r>
      <w:r w:rsidRPr="001E09E9">
        <w:rPr>
          <w:rFonts w:ascii="Calibri" w:eastAsia="Times New Roman" w:hAnsi="Calibri" w:cs="Calibri"/>
          <w:bCs/>
          <w:color w:val="000000" w:themeColor="text1"/>
        </w:rPr>
        <w:t>. However, tax revenue from importation of Khat remained subdued as supply chain constraints persist. Ov</w:t>
      </w:r>
      <w:r>
        <w:rPr>
          <w:rFonts w:ascii="Calibri" w:eastAsia="Times New Roman" w:hAnsi="Calibri" w:cs="Calibri"/>
          <w:bCs/>
        </w:rPr>
        <w:t>erall, the preliminary data shows that if monthly collection is sustained, annual outturn will reach the 2020 level, just over US$200 million hence, the projected growth of 28 percent unlikely to be achieved</w:t>
      </w:r>
      <w:r w:rsidRPr="00B63AAA">
        <w:rPr>
          <w:rFonts w:ascii="Calibri" w:eastAsia="Times New Roman" w:hAnsi="Calibri" w:cs="Calibri"/>
          <w:bCs/>
        </w:rPr>
        <w:t>.</w:t>
      </w:r>
      <w:r>
        <w:rPr>
          <w:rFonts w:ascii="Calibri" w:eastAsia="Times New Roman" w:hAnsi="Calibri" w:cs="Calibri"/>
          <w:bCs/>
        </w:rPr>
        <w:t xml:space="preserve"> The challenging fiscal situation is exacerbated by lower donor grants, </w:t>
      </w:r>
      <w:r w:rsidRPr="005A4A04">
        <w:rPr>
          <w:rFonts w:ascii="Calibri" w:eastAsia="Times New Roman" w:hAnsi="Calibri" w:cs="Calibri"/>
          <w:bCs/>
        </w:rPr>
        <w:t xml:space="preserve">particularly </w:t>
      </w:r>
      <w:r w:rsidRPr="001E09E9">
        <w:rPr>
          <w:rFonts w:ascii="Calibri" w:eastAsia="Times New Roman" w:hAnsi="Calibri" w:cs="Calibri"/>
          <w:bCs/>
          <w:color w:val="000000" w:themeColor="text1"/>
        </w:rPr>
        <w:t xml:space="preserve">expected multilateral budget support which did not materialize in quarter one, leaving </w:t>
      </w:r>
      <w:r w:rsidRPr="005A4A04">
        <w:rPr>
          <w:rFonts w:ascii="Calibri" w:eastAsia="Times New Roman" w:hAnsi="Calibri" w:cs="Calibri"/>
          <w:bCs/>
        </w:rPr>
        <w:t>only earmarked projects grants and small share of bilateral assistance to supplement</w:t>
      </w:r>
      <w:r w:rsidRPr="001E09E9">
        <w:rPr>
          <w:rFonts w:ascii="Calibri" w:eastAsia="Times New Roman" w:hAnsi="Calibri" w:cs="Calibri"/>
          <w:bCs/>
        </w:rPr>
        <w:t xml:space="preserve"> fiscal operations.</w:t>
      </w:r>
      <w:r>
        <w:rPr>
          <w:rFonts w:ascii="Calibri" w:eastAsia="Times New Roman" w:hAnsi="Calibri" w:cs="Calibri"/>
          <w:bCs/>
        </w:rPr>
        <w:t xml:space="preserve"> </w:t>
      </w:r>
    </w:p>
    <w:p w14:paraId="2C4C24CE" w14:textId="644C96D8" w:rsidR="001F2277" w:rsidRDefault="001F2277" w:rsidP="001F2277">
      <w:pPr>
        <w:spacing w:before="120" w:after="120"/>
        <w:jc w:val="both"/>
        <w:rPr>
          <w:rFonts w:ascii="Calibri" w:eastAsia="Times New Roman" w:hAnsi="Calibri" w:cs="Calibri"/>
          <w:bCs/>
        </w:rPr>
      </w:pPr>
      <w:r w:rsidRPr="009974D2">
        <w:rPr>
          <w:rFonts w:ascii="Calibri" w:eastAsia="Times New Roman" w:hAnsi="Calibri" w:cs="Calibri"/>
          <w:b/>
        </w:rPr>
        <w:t xml:space="preserve">Expenditure was </w:t>
      </w:r>
      <w:r>
        <w:rPr>
          <w:rFonts w:ascii="Calibri" w:eastAsia="Times New Roman" w:hAnsi="Calibri" w:cs="Calibri"/>
          <w:b/>
        </w:rPr>
        <w:t>higher</w:t>
      </w:r>
      <w:r w:rsidRPr="009974D2">
        <w:rPr>
          <w:rFonts w:ascii="Calibri" w:eastAsia="Times New Roman" w:hAnsi="Calibri" w:cs="Calibri"/>
          <w:b/>
        </w:rPr>
        <w:t xml:space="preserve"> in quarter</w:t>
      </w:r>
      <w:r>
        <w:rPr>
          <w:rFonts w:ascii="Calibri" w:eastAsia="Times New Roman" w:hAnsi="Calibri" w:cs="Calibri"/>
          <w:b/>
        </w:rPr>
        <w:t>1</w:t>
      </w:r>
      <w:r w:rsidRPr="009974D2">
        <w:rPr>
          <w:rFonts w:ascii="Calibri" w:eastAsia="Times New Roman" w:hAnsi="Calibri" w:cs="Calibri"/>
          <w:b/>
        </w:rPr>
        <w:t xml:space="preserve"> compared to similar period in 2020</w:t>
      </w:r>
      <w:r>
        <w:rPr>
          <w:rFonts w:ascii="Calibri" w:eastAsia="Times New Roman" w:hAnsi="Calibri" w:cs="Calibri"/>
          <w:b/>
        </w:rPr>
        <w:t>,</w:t>
      </w:r>
      <w:r w:rsidRPr="00443B96">
        <w:t xml:space="preserve"> </w:t>
      </w:r>
      <w:r>
        <w:rPr>
          <w:rFonts w:ascii="Calibri" w:eastAsia="Times New Roman" w:hAnsi="Calibri" w:cs="Calibri"/>
          <w:b/>
        </w:rPr>
        <w:t xml:space="preserve">driven by compensation of </w:t>
      </w:r>
      <w:r w:rsidRPr="00443B96">
        <w:rPr>
          <w:rFonts w:ascii="Calibri" w:eastAsia="Times New Roman" w:hAnsi="Calibri" w:cs="Calibri"/>
          <w:b/>
        </w:rPr>
        <w:t>employee</w:t>
      </w:r>
      <w:r>
        <w:rPr>
          <w:rFonts w:ascii="Calibri" w:eastAsia="Times New Roman" w:hAnsi="Calibri" w:cs="Calibri"/>
          <w:b/>
        </w:rPr>
        <w:t>s (</w:t>
      </w:r>
      <w:r w:rsidR="00FD064A">
        <w:rPr>
          <w:rFonts w:ascii="Calibri" w:eastAsia="Times New Roman" w:hAnsi="Calibri" w:cs="Calibri"/>
          <w:b/>
        </w:rPr>
        <w:fldChar w:fldCharType="begin"/>
      </w:r>
      <w:r w:rsidR="00FD064A">
        <w:rPr>
          <w:rFonts w:ascii="Calibri" w:eastAsia="Times New Roman" w:hAnsi="Calibri" w:cs="Calibri"/>
          <w:b/>
        </w:rPr>
        <w:instrText xml:space="preserve"> REF _Ref71568551 \h </w:instrText>
      </w:r>
      <w:r w:rsidR="00FD064A">
        <w:rPr>
          <w:rFonts w:ascii="Calibri" w:eastAsia="Times New Roman" w:hAnsi="Calibri" w:cs="Calibri"/>
          <w:b/>
        </w:rPr>
      </w:r>
      <w:r w:rsidR="00FD064A">
        <w:rPr>
          <w:rFonts w:ascii="Calibri" w:eastAsia="Times New Roman" w:hAnsi="Calibri" w:cs="Calibri"/>
          <w:b/>
        </w:rPr>
        <w:fldChar w:fldCharType="separate"/>
      </w:r>
      <w:r w:rsidR="00FD064A">
        <w:t xml:space="preserve">Table </w:t>
      </w:r>
      <w:r w:rsidR="00FD064A">
        <w:rPr>
          <w:noProof/>
        </w:rPr>
        <w:t>6</w:t>
      </w:r>
      <w:r w:rsidR="00FD064A">
        <w:rPr>
          <w:rFonts w:ascii="Calibri" w:eastAsia="Times New Roman" w:hAnsi="Calibri" w:cs="Calibri"/>
          <w:b/>
        </w:rPr>
        <w:fldChar w:fldCharType="end"/>
      </w:r>
      <w:r>
        <w:rPr>
          <w:rFonts w:ascii="Calibri" w:eastAsia="Times New Roman" w:hAnsi="Calibri" w:cs="Calibri"/>
          <w:b/>
        </w:rPr>
        <w:t>)</w:t>
      </w:r>
      <w:r w:rsidRPr="009974D2">
        <w:rPr>
          <w:rFonts w:ascii="Calibri" w:eastAsia="Times New Roman" w:hAnsi="Calibri" w:cs="Calibri"/>
          <w:b/>
        </w:rPr>
        <w:t>.</w:t>
      </w:r>
      <w:r>
        <w:rPr>
          <w:rFonts w:ascii="Calibri" w:eastAsia="Times New Roman" w:hAnsi="Calibri" w:cs="Calibri"/>
          <w:bCs/>
        </w:rPr>
        <w:t xml:space="preserve"> Actual expenditure reached 12</w:t>
      </w:r>
      <w:r w:rsidR="00834DAC">
        <w:rPr>
          <w:rFonts w:ascii="Calibri" w:eastAsia="Times New Roman" w:hAnsi="Calibri" w:cs="Calibri"/>
          <w:bCs/>
        </w:rPr>
        <w:t>.8</w:t>
      </w:r>
      <w:r>
        <w:rPr>
          <w:rFonts w:ascii="Calibri" w:eastAsia="Times New Roman" w:hAnsi="Calibri" w:cs="Calibri"/>
          <w:bCs/>
        </w:rPr>
        <w:t xml:space="preserve"> percent of the total approved budget. Wages and salaries accounted </w:t>
      </w:r>
      <w:r w:rsidR="007E7584">
        <w:rPr>
          <w:rFonts w:ascii="Calibri" w:eastAsia="Times New Roman" w:hAnsi="Calibri" w:cs="Calibri"/>
          <w:bCs/>
        </w:rPr>
        <w:t>8.4</w:t>
      </w:r>
      <w:r>
        <w:rPr>
          <w:rFonts w:ascii="Calibri" w:eastAsia="Times New Roman" w:hAnsi="Calibri" w:cs="Calibri"/>
          <w:bCs/>
        </w:rPr>
        <w:t xml:space="preserve"> percent</w:t>
      </w:r>
      <w:r w:rsidR="008D1F8B">
        <w:rPr>
          <w:rFonts w:ascii="Calibri" w:eastAsia="Times New Roman" w:hAnsi="Calibri" w:cs="Calibri"/>
          <w:bCs/>
        </w:rPr>
        <w:t xml:space="preserve"> </w:t>
      </w:r>
      <w:r w:rsidR="008D1F8B" w:rsidRPr="007E7584">
        <w:rPr>
          <w:rFonts w:ascii="Calibri" w:eastAsia="Times New Roman" w:hAnsi="Calibri" w:cs="Calibri"/>
          <w:bCs/>
        </w:rPr>
        <w:t>– 31 percent higher compared to similar period in 2020</w:t>
      </w:r>
      <w:r w:rsidR="008D1F8B">
        <w:rPr>
          <w:rFonts w:ascii="Calibri" w:eastAsia="Times New Roman" w:hAnsi="Calibri" w:cs="Calibri"/>
          <w:bCs/>
        </w:rPr>
        <w:t xml:space="preserve">, </w:t>
      </w:r>
      <w:r>
        <w:rPr>
          <w:rFonts w:ascii="Calibri" w:eastAsia="Times New Roman" w:hAnsi="Calibri" w:cs="Calibri"/>
          <w:bCs/>
        </w:rPr>
        <w:t xml:space="preserve">good and services </w:t>
      </w:r>
      <w:r w:rsidR="007128F9">
        <w:rPr>
          <w:rFonts w:ascii="Calibri" w:eastAsia="Times New Roman" w:hAnsi="Calibri" w:cs="Calibri"/>
          <w:bCs/>
        </w:rPr>
        <w:t>2</w:t>
      </w:r>
      <w:r>
        <w:rPr>
          <w:rFonts w:ascii="Calibri" w:eastAsia="Times New Roman" w:hAnsi="Calibri" w:cs="Calibri"/>
          <w:bCs/>
        </w:rPr>
        <w:t xml:space="preserve"> percent</w:t>
      </w:r>
      <w:r w:rsidR="008D1F8B">
        <w:rPr>
          <w:rFonts w:ascii="Calibri" w:eastAsia="Times New Roman" w:hAnsi="Calibri" w:cs="Calibri"/>
          <w:bCs/>
        </w:rPr>
        <w:t>,</w:t>
      </w:r>
      <w:r w:rsidR="007E7584">
        <w:rPr>
          <w:rFonts w:ascii="Calibri" w:eastAsia="Times New Roman" w:hAnsi="Calibri" w:cs="Calibri"/>
          <w:bCs/>
        </w:rPr>
        <w:t xml:space="preserve"> </w:t>
      </w:r>
      <w:r>
        <w:rPr>
          <w:rFonts w:ascii="Calibri" w:eastAsia="Times New Roman" w:hAnsi="Calibri" w:cs="Calibri"/>
          <w:bCs/>
        </w:rPr>
        <w:t xml:space="preserve">and intergovernmental transfers </w:t>
      </w:r>
      <w:r w:rsidR="007128F9">
        <w:rPr>
          <w:rFonts w:ascii="Calibri" w:eastAsia="Times New Roman" w:hAnsi="Calibri" w:cs="Calibri"/>
          <w:bCs/>
        </w:rPr>
        <w:t>1.</w:t>
      </w:r>
      <w:r w:rsidR="00834DAC">
        <w:rPr>
          <w:rFonts w:ascii="Calibri" w:eastAsia="Times New Roman" w:hAnsi="Calibri" w:cs="Calibri"/>
          <w:bCs/>
        </w:rPr>
        <w:t>4</w:t>
      </w:r>
      <w:r>
        <w:rPr>
          <w:rFonts w:ascii="Calibri" w:eastAsia="Times New Roman" w:hAnsi="Calibri" w:cs="Calibri"/>
          <w:bCs/>
        </w:rPr>
        <w:t xml:space="preserve"> percent, but has fallen during this period in line with lower allocated amounts in the overall budget. </w:t>
      </w:r>
    </w:p>
    <w:p w14:paraId="2B931145" w14:textId="1DCB198B" w:rsidR="00066A96" w:rsidRDefault="00066A96" w:rsidP="00066A96">
      <w:pPr>
        <w:pStyle w:val="Caption"/>
        <w:rPr>
          <w:rFonts w:ascii="Calibri" w:eastAsia="Times New Roman" w:hAnsi="Calibri" w:cs="Calibri"/>
          <w:b w:val="0"/>
          <w:i/>
          <w:iCs/>
          <w:color w:val="FF0000"/>
          <w:sz w:val="20"/>
          <w:szCs w:val="20"/>
        </w:rPr>
      </w:pPr>
      <w:bookmarkStart w:id="91" w:name="_Ref71568551"/>
      <w:bookmarkStart w:id="92" w:name="_Toc71725963"/>
      <w:r>
        <w:t xml:space="preserve">Table </w:t>
      </w:r>
      <w:fldSimple w:instr=" SEQ Table \* ARABIC ">
        <w:r w:rsidR="00EF1142">
          <w:rPr>
            <w:noProof/>
          </w:rPr>
          <w:t>6</w:t>
        </w:r>
      </w:fldSimple>
      <w:bookmarkEnd w:id="91"/>
      <w:r>
        <w:t xml:space="preserve">: </w:t>
      </w:r>
      <w:r w:rsidRPr="00AC2CB1">
        <w:t>FGS Revenue and Expenditure Outturn, first quarter 2020 and 2021</w:t>
      </w:r>
      <w:bookmarkEnd w:id="92"/>
    </w:p>
    <w:tbl>
      <w:tblPr>
        <w:tblStyle w:val="GridTable2-Accent5"/>
        <w:tblW w:w="9360" w:type="dxa"/>
        <w:tblLook w:val="04A0" w:firstRow="1" w:lastRow="0" w:firstColumn="1" w:lastColumn="0" w:noHBand="0" w:noVBand="1"/>
      </w:tblPr>
      <w:tblGrid>
        <w:gridCol w:w="4035"/>
        <w:gridCol w:w="1725"/>
        <w:gridCol w:w="1710"/>
        <w:gridCol w:w="1890"/>
      </w:tblGrid>
      <w:tr w:rsidR="00037EE9" w:rsidRPr="001E09E9" w14:paraId="4AD8869D" w14:textId="77777777" w:rsidTr="001E09E9">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vMerge w:val="restart"/>
            <w:tcBorders>
              <w:top w:val="single" w:sz="12" w:space="0" w:color="5B9BD5"/>
            </w:tcBorders>
            <w:noWrap/>
            <w:hideMark/>
          </w:tcPr>
          <w:p w14:paraId="4B3217A4" w14:textId="3245834A" w:rsidR="00037EE9" w:rsidRPr="001E09E9" w:rsidRDefault="00037EE9" w:rsidP="005A4A04">
            <w:pPr>
              <w:rPr>
                <w:rFonts w:eastAsia="Times New Roman" w:cstheme="minorHAnsi"/>
                <w:color w:val="000000"/>
                <w:sz w:val="20"/>
                <w:szCs w:val="20"/>
              </w:rPr>
            </w:pPr>
            <w:r w:rsidRPr="001E09E9">
              <w:rPr>
                <w:rFonts w:eastAsia="Times New Roman" w:cstheme="minorHAnsi"/>
                <w:color w:val="000000"/>
                <w:sz w:val="20"/>
                <w:szCs w:val="20"/>
              </w:rPr>
              <w:t>Item</w:t>
            </w:r>
          </w:p>
        </w:tc>
        <w:tc>
          <w:tcPr>
            <w:tcW w:w="1725" w:type="dxa"/>
            <w:tcBorders>
              <w:top w:val="single" w:sz="12" w:space="0" w:color="5B9BD5"/>
              <w:bottom w:val="nil"/>
            </w:tcBorders>
            <w:noWrap/>
            <w:hideMark/>
          </w:tcPr>
          <w:p w14:paraId="5BC1CBB6" w14:textId="77777777" w:rsidR="00037EE9" w:rsidRPr="001E09E9" w:rsidRDefault="00037EE9" w:rsidP="001E09E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2020 Q1</w:t>
            </w:r>
          </w:p>
        </w:tc>
        <w:tc>
          <w:tcPr>
            <w:tcW w:w="1710" w:type="dxa"/>
            <w:tcBorders>
              <w:top w:val="single" w:sz="12" w:space="0" w:color="5B9BD5"/>
              <w:bottom w:val="nil"/>
            </w:tcBorders>
            <w:noWrap/>
            <w:hideMark/>
          </w:tcPr>
          <w:p w14:paraId="34B0FCDB" w14:textId="77777777" w:rsidR="00037EE9" w:rsidRPr="001E09E9" w:rsidRDefault="00037EE9" w:rsidP="001E09E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2021 Q1</w:t>
            </w:r>
          </w:p>
        </w:tc>
        <w:tc>
          <w:tcPr>
            <w:tcW w:w="1890" w:type="dxa"/>
            <w:tcBorders>
              <w:top w:val="single" w:sz="12" w:space="0" w:color="5B9BD5"/>
              <w:bottom w:val="nil"/>
            </w:tcBorders>
            <w:noWrap/>
            <w:hideMark/>
          </w:tcPr>
          <w:p w14:paraId="04E11B14" w14:textId="77777777" w:rsidR="00037EE9" w:rsidRPr="001E09E9" w:rsidRDefault="00037EE9" w:rsidP="001E09E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Percentage change</w:t>
            </w:r>
          </w:p>
        </w:tc>
      </w:tr>
      <w:tr w:rsidR="00037EE9" w:rsidRPr="001E09E9" w14:paraId="52BE4A79" w14:textId="77777777" w:rsidTr="001E09E9">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035" w:type="dxa"/>
            <w:vMerge/>
            <w:tcBorders>
              <w:bottom w:val="single" w:sz="12" w:space="0" w:color="5B9BD5"/>
              <w:right w:val="nil"/>
            </w:tcBorders>
            <w:hideMark/>
          </w:tcPr>
          <w:p w14:paraId="6FB0FF49" w14:textId="77777777" w:rsidR="00037EE9" w:rsidRPr="001E09E9" w:rsidRDefault="00037EE9" w:rsidP="00037EE9">
            <w:pPr>
              <w:rPr>
                <w:rFonts w:eastAsia="Times New Roman" w:cstheme="minorHAnsi"/>
                <w:color w:val="000000"/>
                <w:sz w:val="20"/>
                <w:szCs w:val="20"/>
              </w:rPr>
            </w:pPr>
          </w:p>
        </w:tc>
        <w:tc>
          <w:tcPr>
            <w:tcW w:w="1725" w:type="dxa"/>
            <w:tcBorders>
              <w:top w:val="nil"/>
              <w:left w:val="nil"/>
              <w:bottom w:val="single" w:sz="12" w:space="0" w:color="5B9BD5"/>
              <w:right w:val="nil"/>
            </w:tcBorders>
            <w:shd w:val="clear" w:color="auto" w:fill="FFFFFF" w:themeFill="background1"/>
            <w:noWrap/>
            <w:hideMark/>
          </w:tcPr>
          <w:p w14:paraId="743E93F2"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(millions of US$)</w:t>
            </w:r>
          </w:p>
        </w:tc>
        <w:tc>
          <w:tcPr>
            <w:tcW w:w="1710" w:type="dxa"/>
            <w:tcBorders>
              <w:top w:val="nil"/>
              <w:left w:val="nil"/>
              <w:bottom w:val="single" w:sz="12" w:space="0" w:color="5B9BD5"/>
              <w:right w:val="nil"/>
            </w:tcBorders>
            <w:shd w:val="clear" w:color="auto" w:fill="FFFFFF" w:themeFill="background1"/>
            <w:noWrap/>
            <w:hideMark/>
          </w:tcPr>
          <w:p w14:paraId="1FBE91A5"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millions of US$)</w:t>
            </w:r>
          </w:p>
        </w:tc>
        <w:tc>
          <w:tcPr>
            <w:tcW w:w="1890" w:type="dxa"/>
            <w:tcBorders>
              <w:top w:val="nil"/>
              <w:left w:val="nil"/>
              <w:bottom w:val="single" w:sz="12" w:space="0" w:color="5B9BD5"/>
            </w:tcBorders>
            <w:shd w:val="clear" w:color="auto" w:fill="FFFFFF" w:themeFill="background1"/>
            <w:noWrap/>
            <w:hideMark/>
          </w:tcPr>
          <w:p w14:paraId="6CE61B9D" w14:textId="5DD1BCA9"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(year</w:t>
            </w:r>
            <w:r w:rsidR="00F05997">
              <w:rPr>
                <w:rFonts w:eastAsia="Times New Roman" w:cstheme="minorHAnsi"/>
                <w:b/>
                <w:bCs/>
                <w:color w:val="000000"/>
                <w:sz w:val="20"/>
                <w:szCs w:val="20"/>
              </w:rPr>
              <w:t>-</w:t>
            </w:r>
            <w:r w:rsidRPr="001E09E9">
              <w:rPr>
                <w:rFonts w:eastAsia="Times New Roman" w:cstheme="minorHAnsi"/>
                <w:b/>
                <w:bCs/>
                <w:color w:val="000000"/>
                <w:sz w:val="20"/>
                <w:szCs w:val="20"/>
              </w:rPr>
              <w:t>on</w:t>
            </w:r>
            <w:r w:rsidR="00F05997">
              <w:rPr>
                <w:rFonts w:eastAsia="Times New Roman" w:cstheme="minorHAnsi"/>
                <w:b/>
                <w:bCs/>
                <w:color w:val="000000"/>
                <w:sz w:val="20"/>
                <w:szCs w:val="20"/>
              </w:rPr>
              <w:t>-</w:t>
            </w:r>
            <w:r w:rsidRPr="001E09E9">
              <w:rPr>
                <w:rFonts w:eastAsia="Times New Roman" w:cstheme="minorHAnsi"/>
                <w:b/>
                <w:bCs/>
                <w:color w:val="000000"/>
                <w:sz w:val="20"/>
                <w:szCs w:val="20"/>
              </w:rPr>
              <w:t>year)</w:t>
            </w:r>
          </w:p>
        </w:tc>
      </w:tr>
      <w:tr w:rsidR="00F05997" w:rsidRPr="001E09E9" w14:paraId="7FE73DE7" w14:textId="77777777" w:rsidTr="001E09E9">
        <w:trPr>
          <w:trHeight w:val="230"/>
        </w:trPr>
        <w:tc>
          <w:tcPr>
            <w:cnfStyle w:val="001000000000" w:firstRow="0" w:lastRow="0" w:firstColumn="1" w:lastColumn="0" w:oddVBand="0" w:evenVBand="0" w:oddHBand="0" w:evenHBand="0" w:firstRowFirstColumn="0" w:firstRowLastColumn="0" w:lastRowFirstColumn="0" w:lastRowLastColumn="0"/>
            <w:tcW w:w="4035" w:type="dxa"/>
            <w:tcBorders>
              <w:top w:val="single" w:sz="12" w:space="0" w:color="5B9BD5"/>
            </w:tcBorders>
            <w:noWrap/>
            <w:hideMark/>
          </w:tcPr>
          <w:p w14:paraId="693BE849" w14:textId="77777777" w:rsidR="00037EE9" w:rsidRPr="001E09E9" w:rsidRDefault="00037EE9" w:rsidP="00037EE9">
            <w:pPr>
              <w:rPr>
                <w:rFonts w:eastAsia="Times New Roman" w:cstheme="minorHAnsi"/>
                <w:color w:val="000000"/>
                <w:sz w:val="20"/>
                <w:szCs w:val="20"/>
              </w:rPr>
            </w:pPr>
            <w:r w:rsidRPr="001E09E9">
              <w:rPr>
                <w:rFonts w:eastAsia="Times New Roman" w:cstheme="minorHAnsi"/>
                <w:color w:val="000000"/>
                <w:sz w:val="20"/>
                <w:szCs w:val="20"/>
              </w:rPr>
              <w:t>Total revenue and grants</w:t>
            </w:r>
          </w:p>
        </w:tc>
        <w:tc>
          <w:tcPr>
            <w:tcW w:w="1725" w:type="dxa"/>
            <w:tcBorders>
              <w:top w:val="single" w:sz="12" w:space="0" w:color="5B9BD5"/>
            </w:tcBorders>
            <w:noWrap/>
            <w:hideMark/>
          </w:tcPr>
          <w:p w14:paraId="3A4B1AAD"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122.4</w:t>
            </w:r>
          </w:p>
        </w:tc>
        <w:tc>
          <w:tcPr>
            <w:tcW w:w="1710" w:type="dxa"/>
            <w:tcBorders>
              <w:top w:val="single" w:sz="12" w:space="0" w:color="5B9BD5"/>
            </w:tcBorders>
            <w:noWrap/>
            <w:hideMark/>
          </w:tcPr>
          <w:p w14:paraId="6E4B36BC"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76.9</w:t>
            </w:r>
          </w:p>
        </w:tc>
        <w:tc>
          <w:tcPr>
            <w:tcW w:w="1890" w:type="dxa"/>
            <w:tcBorders>
              <w:top w:val="single" w:sz="12" w:space="0" w:color="5B9BD5"/>
            </w:tcBorders>
            <w:noWrap/>
            <w:hideMark/>
          </w:tcPr>
          <w:p w14:paraId="567FCCF9"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-37</w:t>
            </w:r>
          </w:p>
        </w:tc>
      </w:tr>
      <w:tr w:rsidR="00037EE9" w:rsidRPr="001E09E9" w14:paraId="0B9B3440"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653EB1C4" w14:textId="77777777" w:rsidR="00037EE9" w:rsidRPr="001E09E9" w:rsidRDefault="00037EE9" w:rsidP="00037EE9">
            <w:pPr>
              <w:rPr>
                <w:rFonts w:eastAsia="Times New Roman" w:cstheme="minorHAnsi"/>
                <w:b w:val="0"/>
                <w:bCs w:val="0"/>
                <w:color w:val="000000"/>
                <w:sz w:val="20"/>
                <w:szCs w:val="20"/>
              </w:rPr>
            </w:pPr>
            <w:r w:rsidRPr="001E09E9">
              <w:rPr>
                <w:rFonts w:eastAsia="Times New Roman" w:cstheme="minorHAnsi"/>
                <w:b w:val="0"/>
                <w:bCs w:val="0"/>
                <w:color w:val="000000"/>
                <w:sz w:val="20"/>
                <w:szCs w:val="20"/>
              </w:rPr>
              <w:t>Domestic revenue</w:t>
            </w:r>
          </w:p>
        </w:tc>
        <w:tc>
          <w:tcPr>
            <w:tcW w:w="1725" w:type="dxa"/>
            <w:noWrap/>
            <w:hideMark/>
          </w:tcPr>
          <w:p w14:paraId="313686F1"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59.5</w:t>
            </w:r>
          </w:p>
        </w:tc>
        <w:tc>
          <w:tcPr>
            <w:tcW w:w="1710" w:type="dxa"/>
            <w:noWrap/>
            <w:hideMark/>
          </w:tcPr>
          <w:p w14:paraId="13E3A41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52.0</w:t>
            </w:r>
          </w:p>
        </w:tc>
        <w:tc>
          <w:tcPr>
            <w:tcW w:w="1890" w:type="dxa"/>
            <w:noWrap/>
            <w:hideMark/>
          </w:tcPr>
          <w:p w14:paraId="1F1BE133"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-13</w:t>
            </w:r>
          </w:p>
        </w:tc>
      </w:tr>
      <w:tr w:rsidR="00037EE9" w:rsidRPr="001E09E9" w14:paraId="759C1EEA"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5C30431B" w14:textId="77777777" w:rsidR="00037EE9" w:rsidRPr="001E09E9" w:rsidRDefault="00037EE9" w:rsidP="00037EE9">
            <w:pPr>
              <w:ind w:firstLineChars="100" w:firstLine="200"/>
              <w:rPr>
                <w:rFonts w:eastAsia="Times New Roman" w:cstheme="minorHAnsi"/>
                <w:b w:val="0"/>
                <w:bCs w:val="0"/>
                <w:color w:val="000000"/>
                <w:sz w:val="20"/>
                <w:szCs w:val="20"/>
              </w:rPr>
            </w:pPr>
            <w:r w:rsidRPr="001E09E9">
              <w:rPr>
                <w:rFonts w:eastAsia="Times New Roman" w:cstheme="minorHAnsi"/>
                <w:b w:val="0"/>
                <w:bCs w:val="0"/>
                <w:color w:val="000000"/>
                <w:sz w:val="20"/>
                <w:szCs w:val="20"/>
              </w:rPr>
              <w:t>Tax revenue</w:t>
            </w:r>
          </w:p>
        </w:tc>
        <w:tc>
          <w:tcPr>
            <w:tcW w:w="1725" w:type="dxa"/>
            <w:noWrap/>
            <w:hideMark/>
          </w:tcPr>
          <w:p w14:paraId="428B4411"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36.1</w:t>
            </w:r>
          </w:p>
        </w:tc>
        <w:tc>
          <w:tcPr>
            <w:tcW w:w="1710" w:type="dxa"/>
            <w:noWrap/>
            <w:hideMark/>
          </w:tcPr>
          <w:p w14:paraId="73BF112C"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39.1</w:t>
            </w:r>
          </w:p>
        </w:tc>
        <w:tc>
          <w:tcPr>
            <w:tcW w:w="1890" w:type="dxa"/>
            <w:noWrap/>
            <w:hideMark/>
          </w:tcPr>
          <w:p w14:paraId="0402AC64"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8</w:t>
            </w:r>
          </w:p>
        </w:tc>
      </w:tr>
      <w:tr w:rsidR="00037EE9" w:rsidRPr="001E09E9" w14:paraId="66BCB35C"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015AE5C2"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Taxes on incomes and profits</w:t>
            </w:r>
          </w:p>
        </w:tc>
        <w:tc>
          <w:tcPr>
            <w:tcW w:w="1725" w:type="dxa"/>
            <w:noWrap/>
            <w:hideMark/>
          </w:tcPr>
          <w:p w14:paraId="172CE293"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2.4</w:t>
            </w:r>
          </w:p>
        </w:tc>
        <w:tc>
          <w:tcPr>
            <w:tcW w:w="1710" w:type="dxa"/>
            <w:noWrap/>
            <w:hideMark/>
          </w:tcPr>
          <w:p w14:paraId="2FFCE37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3.0</w:t>
            </w:r>
          </w:p>
        </w:tc>
        <w:tc>
          <w:tcPr>
            <w:tcW w:w="1890" w:type="dxa"/>
            <w:noWrap/>
            <w:hideMark/>
          </w:tcPr>
          <w:p w14:paraId="13B01FB2"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26</w:t>
            </w:r>
          </w:p>
        </w:tc>
      </w:tr>
      <w:tr w:rsidR="00037EE9" w:rsidRPr="001E09E9" w14:paraId="60F6DE54"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7039C1C0"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Taxes on goods and services</w:t>
            </w:r>
          </w:p>
        </w:tc>
        <w:tc>
          <w:tcPr>
            <w:tcW w:w="1725" w:type="dxa"/>
            <w:noWrap/>
            <w:hideMark/>
          </w:tcPr>
          <w:p w14:paraId="72CAC581"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5.0</w:t>
            </w:r>
          </w:p>
        </w:tc>
        <w:tc>
          <w:tcPr>
            <w:tcW w:w="1710" w:type="dxa"/>
            <w:noWrap/>
            <w:hideMark/>
          </w:tcPr>
          <w:p w14:paraId="6807CF49"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5.8</w:t>
            </w:r>
          </w:p>
        </w:tc>
        <w:tc>
          <w:tcPr>
            <w:tcW w:w="1890" w:type="dxa"/>
            <w:noWrap/>
            <w:hideMark/>
          </w:tcPr>
          <w:p w14:paraId="0EA8133E"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16</w:t>
            </w:r>
          </w:p>
        </w:tc>
      </w:tr>
      <w:tr w:rsidR="00037EE9" w:rsidRPr="001E09E9" w14:paraId="6C8CB354"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79BC2E2E"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 xml:space="preserve">Taxes on international trade </w:t>
            </w:r>
          </w:p>
        </w:tc>
        <w:tc>
          <w:tcPr>
            <w:tcW w:w="1725" w:type="dxa"/>
            <w:noWrap/>
            <w:hideMark/>
          </w:tcPr>
          <w:p w14:paraId="4344899B"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26.1</w:t>
            </w:r>
          </w:p>
        </w:tc>
        <w:tc>
          <w:tcPr>
            <w:tcW w:w="1710" w:type="dxa"/>
            <w:noWrap/>
            <w:hideMark/>
          </w:tcPr>
          <w:p w14:paraId="375FD28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26.5</w:t>
            </w:r>
          </w:p>
        </w:tc>
        <w:tc>
          <w:tcPr>
            <w:tcW w:w="1890" w:type="dxa"/>
            <w:noWrap/>
            <w:hideMark/>
          </w:tcPr>
          <w:p w14:paraId="721D63DB"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w:t>
            </w:r>
          </w:p>
        </w:tc>
      </w:tr>
      <w:tr w:rsidR="00037EE9" w:rsidRPr="001E09E9" w14:paraId="4C9FD7C0"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6CC89792"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Other taxes</w:t>
            </w:r>
          </w:p>
        </w:tc>
        <w:tc>
          <w:tcPr>
            <w:tcW w:w="1725" w:type="dxa"/>
            <w:noWrap/>
            <w:hideMark/>
          </w:tcPr>
          <w:p w14:paraId="666BB831"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2.6</w:t>
            </w:r>
          </w:p>
        </w:tc>
        <w:tc>
          <w:tcPr>
            <w:tcW w:w="1710" w:type="dxa"/>
            <w:noWrap/>
            <w:hideMark/>
          </w:tcPr>
          <w:p w14:paraId="4D862F41"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3.8</w:t>
            </w:r>
          </w:p>
        </w:tc>
        <w:tc>
          <w:tcPr>
            <w:tcW w:w="1890" w:type="dxa"/>
            <w:noWrap/>
            <w:hideMark/>
          </w:tcPr>
          <w:p w14:paraId="2FCFA954"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45</w:t>
            </w:r>
          </w:p>
        </w:tc>
      </w:tr>
      <w:tr w:rsidR="00037EE9" w:rsidRPr="001E09E9" w14:paraId="59A5AB41"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2B24D198" w14:textId="77777777" w:rsidR="00037EE9" w:rsidRPr="001E09E9" w:rsidRDefault="00037EE9" w:rsidP="00037EE9">
            <w:pPr>
              <w:ind w:firstLineChars="100" w:firstLine="200"/>
              <w:rPr>
                <w:rFonts w:eastAsia="Times New Roman" w:cstheme="minorHAnsi"/>
                <w:b w:val="0"/>
                <w:bCs w:val="0"/>
                <w:color w:val="000000"/>
                <w:sz w:val="20"/>
                <w:szCs w:val="20"/>
              </w:rPr>
            </w:pPr>
            <w:r w:rsidRPr="001E09E9">
              <w:rPr>
                <w:rFonts w:eastAsia="Times New Roman" w:cstheme="minorHAnsi"/>
                <w:b w:val="0"/>
                <w:bCs w:val="0"/>
                <w:color w:val="000000"/>
                <w:sz w:val="20"/>
                <w:szCs w:val="20"/>
              </w:rPr>
              <w:t>Nontax revenue</w:t>
            </w:r>
          </w:p>
        </w:tc>
        <w:tc>
          <w:tcPr>
            <w:tcW w:w="1725" w:type="dxa"/>
            <w:noWrap/>
            <w:hideMark/>
          </w:tcPr>
          <w:p w14:paraId="3E897CD3"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23.4</w:t>
            </w:r>
          </w:p>
        </w:tc>
        <w:tc>
          <w:tcPr>
            <w:tcW w:w="1710" w:type="dxa"/>
            <w:noWrap/>
            <w:hideMark/>
          </w:tcPr>
          <w:p w14:paraId="3B8684D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12.8</w:t>
            </w:r>
          </w:p>
        </w:tc>
        <w:tc>
          <w:tcPr>
            <w:tcW w:w="1890" w:type="dxa"/>
            <w:noWrap/>
            <w:hideMark/>
          </w:tcPr>
          <w:p w14:paraId="32A406CD"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-45</w:t>
            </w:r>
          </w:p>
        </w:tc>
      </w:tr>
      <w:tr w:rsidR="00037EE9" w:rsidRPr="001E09E9" w14:paraId="232A4E5C"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43A7D313" w14:textId="77777777" w:rsidR="00037EE9" w:rsidRPr="001E09E9" w:rsidRDefault="00037EE9" w:rsidP="00037EE9">
            <w:pPr>
              <w:rPr>
                <w:rFonts w:eastAsia="Times New Roman" w:cstheme="minorHAnsi"/>
                <w:b w:val="0"/>
                <w:bCs w:val="0"/>
                <w:color w:val="000000"/>
                <w:sz w:val="20"/>
                <w:szCs w:val="20"/>
              </w:rPr>
            </w:pPr>
            <w:r w:rsidRPr="001E09E9">
              <w:rPr>
                <w:rFonts w:eastAsia="Times New Roman" w:cstheme="minorHAnsi"/>
                <w:b w:val="0"/>
                <w:bCs w:val="0"/>
                <w:color w:val="000000"/>
                <w:sz w:val="20"/>
                <w:szCs w:val="20"/>
              </w:rPr>
              <w:t>Grants</w:t>
            </w:r>
          </w:p>
        </w:tc>
        <w:tc>
          <w:tcPr>
            <w:tcW w:w="1725" w:type="dxa"/>
            <w:noWrap/>
            <w:hideMark/>
          </w:tcPr>
          <w:p w14:paraId="1859606A"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62.9</w:t>
            </w:r>
          </w:p>
        </w:tc>
        <w:tc>
          <w:tcPr>
            <w:tcW w:w="1710" w:type="dxa"/>
            <w:noWrap/>
            <w:hideMark/>
          </w:tcPr>
          <w:p w14:paraId="37D47430"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25.0</w:t>
            </w:r>
          </w:p>
        </w:tc>
        <w:tc>
          <w:tcPr>
            <w:tcW w:w="1890" w:type="dxa"/>
            <w:noWrap/>
            <w:hideMark/>
          </w:tcPr>
          <w:p w14:paraId="6C7A1952"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-60</w:t>
            </w:r>
          </w:p>
        </w:tc>
      </w:tr>
      <w:tr w:rsidR="00037EE9" w:rsidRPr="001E09E9" w14:paraId="55F22029"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290CE4BB" w14:textId="77777777" w:rsidR="00037EE9" w:rsidRPr="001E09E9" w:rsidRDefault="00037EE9" w:rsidP="00037EE9">
            <w:pPr>
              <w:rPr>
                <w:rFonts w:eastAsia="Times New Roman" w:cstheme="minorHAnsi"/>
                <w:color w:val="000000"/>
                <w:sz w:val="20"/>
                <w:szCs w:val="20"/>
              </w:rPr>
            </w:pPr>
            <w:r w:rsidRPr="001E09E9">
              <w:rPr>
                <w:rFonts w:eastAsia="Times New Roman" w:cstheme="minorHAnsi"/>
                <w:color w:val="000000"/>
                <w:sz w:val="20"/>
                <w:szCs w:val="20"/>
              </w:rPr>
              <w:t>Total expenditure</w:t>
            </w:r>
          </w:p>
        </w:tc>
        <w:tc>
          <w:tcPr>
            <w:tcW w:w="1725" w:type="dxa"/>
            <w:noWrap/>
            <w:hideMark/>
          </w:tcPr>
          <w:p w14:paraId="6EAFB472"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67.4</w:t>
            </w:r>
          </w:p>
        </w:tc>
        <w:tc>
          <w:tcPr>
            <w:tcW w:w="1710" w:type="dxa"/>
            <w:noWrap/>
            <w:hideMark/>
          </w:tcPr>
          <w:p w14:paraId="65AA6370"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85.5</w:t>
            </w:r>
          </w:p>
        </w:tc>
        <w:tc>
          <w:tcPr>
            <w:tcW w:w="1890" w:type="dxa"/>
            <w:noWrap/>
            <w:hideMark/>
          </w:tcPr>
          <w:p w14:paraId="54B59A6D"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E09E9">
              <w:rPr>
                <w:rFonts w:eastAsia="Times New Roman" w:cstheme="minorHAnsi"/>
                <w:b/>
                <w:bCs/>
                <w:color w:val="000000"/>
                <w:sz w:val="20"/>
                <w:szCs w:val="20"/>
              </w:rPr>
              <w:t>27</w:t>
            </w:r>
          </w:p>
        </w:tc>
      </w:tr>
      <w:tr w:rsidR="00037EE9" w:rsidRPr="001E09E9" w14:paraId="1A68B849"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44C8B98F" w14:textId="77777777" w:rsidR="00037EE9" w:rsidRPr="001E09E9" w:rsidRDefault="00037EE9" w:rsidP="00037EE9">
            <w:pPr>
              <w:rPr>
                <w:rFonts w:eastAsia="Times New Roman" w:cstheme="minorHAnsi"/>
                <w:b w:val="0"/>
                <w:bCs w:val="0"/>
                <w:color w:val="000000"/>
                <w:sz w:val="20"/>
                <w:szCs w:val="20"/>
              </w:rPr>
            </w:pPr>
            <w:r w:rsidRPr="001E09E9">
              <w:rPr>
                <w:rFonts w:eastAsia="Times New Roman" w:cstheme="minorHAnsi"/>
                <w:b w:val="0"/>
                <w:bCs w:val="0"/>
                <w:color w:val="000000"/>
                <w:sz w:val="20"/>
                <w:szCs w:val="20"/>
              </w:rPr>
              <w:t>Recurrent</w:t>
            </w:r>
          </w:p>
        </w:tc>
        <w:tc>
          <w:tcPr>
            <w:tcW w:w="1725" w:type="dxa"/>
            <w:noWrap/>
            <w:hideMark/>
          </w:tcPr>
          <w:p w14:paraId="638375AB"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65.9</w:t>
            </w:r>
          </w:p>
        </w:tc>
        <w:tc>
          <w:tcPr>
            <w:tcW w:w="1710" w:type="dxa"/>
            <w:noWrap/>
            <w:hideMark/>
          </w:tcPr>
          <w:p w14:paraId="45460F57"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83.7</w:t>
            </w:r>
          </w:p>
        </w:tc>
        <w:tc>
          <w:tcPr>
            <w:tcW w:w="1890" w:type="dxa"/>
            <w:noWrap/>
            <w:hideMark/>
          </w:tcPr>
          <w:p w14:paraId="2BC75DDD"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27</w:t>
            </w:r>
          </w:p>
        </w:tc>
      </w:tr>
      <w:tr w:rsidR="00037EE9" w:rsidRPr="001E09E9" w14:paraId="42C768AB"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3E72898F"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Compensation of employees</w:t>
            </w:r>
          </w:p>
        </w:tc>
        <w:tc>
          <w:tcPr>
            <w:tcW w:w="1725" w:type="dxa"/>
            <w:noWrap/>
            <w:hideMark/>
          </w:tcPr>
          <w:p w14:paraId="4B13FFE6"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42.7</w:t>
            </w:r>
          </w:p>
        </w:tc>
        <w:tc>
          <w:tcPr>
            <w:tcW w:w="1710" w:type="dxa"/>
            <w:noWrap/>
            <w:hideMark/>
          </w:tcPr>
          <w:p w14:paraId="594D094C"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56.1</w:t>
            </w:r>
          </w:p>
        </w:tc>
        <w:tc>
          <w:tcPr>
            <w:tcW w:w="1890" w:type="dxa"/>
            <w:noWrap/>
            <w:hideMark/>
          </w:tcPr>
          <w:p w14:paraId="7B6A9447"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31</w:t>
            </w:r>
          </w:p>
        </w:tc>
      </w:tr>
      <w:tr w:rsidR="00037EE9" w:rsidRPr="001E09E9" w14:paraId="76D08DE3"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77075224"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Use of goods and services</w:t>
            </w:r>
          </w:p>
        </w:tc>
        <w:tc>
          <w:tcPr>
            <w:tcW w:w="1725" w:type="dxa"/>
            <w:noWrap/>
            <w:hideMark/>
          </w:tcPr>
          <w:p w14:paraId="6EE7301A"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8.8</w:t>
            </w:r>
          </w:p>
        </w:tc>
        <w:tc>
          <w:tcPr>
            <w:tcW w:w="1710" w:type="dxa"/>
            <w:noWrap/>
            <w:hideMark/>
          </w:tcPr>
          <w:p w14:paraId="362D4D8E"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13.7</w:t>
            </w:r>
          </w:p>
        </w:tc>
        <w:tc>
          <w:tcPr>
            <w:tcW w:w="1890" w:type="dxa"/>
            <w:noWrap/>
            <w:hideMark/>
          </w:tcPr>
          <w:p w14:paraId="03052106"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55</w:t>
            </w:r>
          </w:p>
        </w:tc>
      </w:tr>
      <w:tr w:rsidR="00037EE9" w:rsidRPr="001E09E9" w14:paraId="771268BB"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39E02BD6"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Interest and other charges</w:t>
            </w:r>
          </w:p>
        </w:tc>
        <w:tc>
          <w:tcPr>
            <w:tcW w:w="1725" w:type="dxa"/>
            <w:noWrap/>
            <w:hideMark/>
          </w:tcPr>
          <w:p w14:paraId="67FE9093"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1.5</w:t>
            </w:r>
          </w:p>
        </w:tc>
        <w:tc>
          <w:tcPr>
            <w:tcW w:w="1710" w:type="dxa"/>
            <w:noWrap/>
            <w:hideMark/>
          </w:tcPr>
          <w:p w14:paraId="2BFD3D75"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4.2</w:t>
            </w:r>
          </w:p>
        </w:tc>
        <w:tc>
          <w:tcPr>
            <w:tcW w:w="1890" w:type="dxa"/>
            <w:noWrap/>
            <w:hideMark/>
          </w:tcPr>
          <w:p w14:paraId="2D2B741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181</w:t>
            </w:r>
          </w:p>
        </w:tc>
      </w:tr>
      <w:tr w:rsidR="00037EE9" w:rsidRPr="001E09E9" w14:paraId="732EC428"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1848B2DD"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 xml:space="preserve">Grants (intergovernmental, etc.) </w:t>
            </w:r>
          </w:p>
        </w:tc>
        <w:tc>
          <w:tcPr>
            <w:tcW w:w="1725" w:type="dxa"/>
            <w:noWrap/>
            <w:hideMark/>
          </w:tcPr>
          <w:p w14:paraId="38029589"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12.9</w:t>
            </w:r>
          </w:p>
        </w:tc>
        <w:tc>
          <w:tcPr>
            <w:tcW w:w="1710" w:type="dxa"/>
            <w:noWrap/>
            <w:hideMark/>
          </w:tcPr>
          <w:p w14:paraId="562F8D06"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9.6</w:t>
            </w:r>
          </w:p>
        </w:tc>
        <w:tc>
          <w:tcPr>
            <w:tcW w:w="1890" w:type="dxa"/>
            <w:noWrap/>
            <w:hideMark/>
          </w:tcPr>
          <w:p w14:paraId="7941FA5D"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-25</w:t>
            </w:r>
          </w:p>
        </w:tc>
      </w:tr>
      <w:tr w:rsidR="00037EE9" w:rsidRPr="001E09E9" w14:paraId="23F8FC76" w14:textId="77777777" w:rsidTr="00037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642834D4"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Social benefits</w:t>
            </w:r>
          </w:p>
        </w:tc>
        <w:tc>
          <w:tcPr>
            <w:tcW w:w="1725" w:type="dxa"/>
            <w:noWrap/>
            <w:hideMark/>
          </w:tcPr>
          <w:p w14:paraId="757FA46B"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 xml:space="preserve"> - </w:t>
            </w:r>
          </w:p>
        </w:tc>
        <w:tc>
          <w:tcPr>
            <w:tcW w:w="1710" w:type="dxa"/>
            <w:noWrap/>
            <w:hideMark/>
          </w:tcPr>
          <w:p w14:paraId="3CD3A34B"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 </w:t>
            </w:r>
          </w:p>
        </w:tc>
        <w:tc>
          <w:tcPr>
            <w:tcW w:w="1890" w:type="dxa"/>
            <w:noWrap/>
            <w:hideMark/>
          </w:tcPr>
          <w:p w14:paraId="1E2C48FE"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 </w:t>
            </w:r>
          </w:p>
        </w:tc>
      </w:tr>
      <w:tr w:rsidR="00037EE9" w:rsidRPr="001E09E9" w14:paraId="05837DE5" w14:textId="77777777" w:rsidTr="00037EE9">
        <w:trPr>
          <w:trHeight w:val="220"/>
        </w:trPr>
        <w:tc>
          <w:tcPr>
            <w:cnfStyle w:val="001000000000" w:firstRow="0" w:lastRow="0" w:firstColumn="1" w:lastColumn="0" w:oddVBand="0" w:evenVBand="0" w:oddHBand="0" w:evenHBand="0" w:firstRowFirstColumn="0" w:firstRowLastColumn="0" w:lastRowFirstColumn="0" w:lastRowLastColumn="0"/>
            <w:tcW w:w="4035" w:type="dxa"/>
            <w:noWrap/>
            <w:hideMark/>
          </w:tcPr>
          <w:p w14:paraId="21F9F996" w14:textId="77777777" w:rsidR="00037EE9" w:rsidRPr="001E09E9" w:rsidRDefault="00037EE9" w:rsidP="00037EE9">
            <w:pPr>
              <w:ind w:firstLineChars="200" w:firstLine="400"/>
              <w:rPr>
                <w:rFonts w:eastAsia="Times New Roman" w:cstheme="minorHAnsi"/>
                <w:b w:val="0"/>
                <w:bCs w:val="0"/>
                <w:color w:val="000000"/>
                <w:sz w:val="20"/>
                <w:szCs w:val="20"/>
              </w:rPr>
            </w:pPr>
            <w:r w:rsidRPr="001E09E9">
              <w:rPr>
                <w:rFonts w:eastAsia="Times New Roman" w:cstheme="minorHAnsi"/>
                <w:b w:val="0"/>
                <w:bCs w:val="0"/>
                <w:color w:val="000000"/>
                <w:sz w:val="20"/>
                <w:szCs w:val="20"/>
              </w:rPr>
              <w:t>Other expenses</w:t>
            </w:r>
          </w:p>
        </w:tc>
        <w:tc>
          <w:tcPr>
            <w:tcW w:w="1725" w:type="dxa"/>
            <w:noWrap/>
            <w:hideMark/>
          </w:tcPr>
          <w:p w14:paraId="0DE8A43F"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 xml:space="preserve"> - </w:t>
            </w:r>
          </w:p>
        </w:tc>
        <w:tc>
          <w:tcPr>
            <w:tcW w:w="1710" w:type="dxa"/>
            <w:noWrap/>
            <w:hideMark/>
          </w:tcPr>
          <w:p w14:paraId="30F1B391"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0.1</w:t>
            </w:r>
          </w:p>
        </w:tc>
        <w:tc>
          <w:tcPr>
            <w:tcW w:w="1890" w:type="dxa"/>
            <w:noWrap/>
            <w:hideMark/>
          </w:tcPr>
          <w:p w14:paraId="4382A1BC" w14:textId="77777777" w:rsidR="00037EE9" w:rsidRPr="001E09E9" w:rsidRDefault="00037EE9" w:rsidP="00037EE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 </w:t>
            </w:r>
          </w:p>
        </w:tc>
      </w:tr>
      <w:tr w:rsidR="00037EE9" w:rsidRPr="001E09E9" w14:paraId="453DC4F5" w14:textId="77777777" w:rsidTr="00F0599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035" w:type="dxa"/>
            <w:tcBorders>
              <w:bottom w:val="single" w:sz="12" w:space="0" w:color="5B9BD5"/>
            </w:tcBorders>
            <w:noWrap/>
            <w:hideMark/>
          </w:tcPr>
          <w:p w14:paraId="20817071" w14:textId="77777777" w:rsidR="00037EE9" w:rsidRPr="001E09E9" w:rsidRDefault="00037EE9" w:rsidP="00037EE9">
            <w:pPr>
              <w:rPr>
                <w:rFonts w:eastAsia="Times New Roman" w:cstheme="minorHAnsi"/>
                <w:b w:val="0"/>
                <w:bCs w:val="0"/>
                <w:color w:val="000000"/>
                <w:sz w:val="20"/>
                <w:szCs w:val="20"/>
              </w:rPr>
            </w:pPr>
            <w:r w:rsidRPr="001E09E9">
              <w:rPr>
                <w:rFonts w:eastAsia="Times New Roman" w:cstheme="minorHAnsi"/>
                <w:b w:val="0"/>
                <w:bCs w:val="0"/>
                <w:color w:val="000000"/>
                <w:sz w:val="20"/>
                <w:szCs w:val="20"/>
              </w:rPr>
              <w:t xml:space="preserve">Capital </w:t>
            </w:r>
          </w:p>
        </w:tc>
        <w:tc>
          <w:tcPr>
            <w:tcW w:w="1725" w:type="dxa"/>
            <w:tcBorders>
              <w:bottom w:val="single" w:sz="12" w:space="0" w:color="5B9BD5"/>
            </w:tcBorders>
            <w:noWrap/>
            <w:hideMark/>
          </w:tcPr>
          <w:p w14:paraId="20C36603"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1.5</w:t>
            </w:r>
          </w:p>
        </w:tc>
        <w:tc>
          <w:tcPr>
            <w:tcW w:w="1710" w:type="dxa"/>
            <w:tcBorders>
              <w:bottom w:val="single" w:sz="12" w:space="0" w:color="5B9BD5"/>
            </w:tcBorders>
            <w:noWrap/>
            <w:hideMark/>
          </w:tcPr>
          <w:p w14:paraId="032D3518"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1.8</w:t>
            </w:r>
          </w:p>
        </w:tc>
        <w:tc>
          <w:tcPr>
            <w:tcW w:w="1890" w:type="dxa"/>
            <w:tcBorders>
              <w:bottom w:val="single" w:sz="12" w:space="0" w:color="5B9BD5"/>
            </w:tcBorders>
            <w:noWrap/>
            <w:hideMark/>
          </w:tcPr>
          <w:p w14:paraId="785A8F70" w14:textId="77777777" w:rsidR="00037EE9" w:rsidRPr="001E09E9" w:rsidRDefault="00037EE9" w:rsidP="00037E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E09E9">
              <w:rPr>
                <w:rFonts w:eastAsia="Times New Roman" w:cstheme="minorHAnsi"/>
                <w:color w:val="000000"/>
                <w:sz w:val="20"/>
                <w:szCs w:val="20"/>
              </w:rPr>
              <w:t>18</w:t>
            </w:r>
          </w:p>
        </w:tc>
      </w:tr>
    </w:tbl>
    <w:p w14:paraId="76D6F14A" w14:textId="77777777" w:rsidR="001F2277" w:rsidRPr="00895E33" w:rsidRDefault="001F2277" w:rsidP="001F2277">
      <w:pPr>
        <w:spacing w:after="0"/>
        <w:rPr>
          <w:sz w:val="20"/>
          <w:szCs w:val="20"/>
        </w:rPr>
      </w:pPr>
      <w:r w:rsidRPr="00895E33">
        <w:rPr>
          <w:sz w:val="20"/>
          <w:szCs w:val="20"/>
        </w:rPr>
        <w:t xml:space="preserve">Source: FGS MoF </w:t>
      </w:r>
    </w:p>
    <w:p w14:paraId="54347F29" w14:textId="133934E5" w:rsidR="00353B64" w:rsidRDefault="00353B64" w:rsidP="000B4AAF">
      <w:pPr>
        <w:rPr>
          <w:rFonts w:ascii="Century" w:hAnsi="Century"/>
        </w:rPr>
      </w:pPr>
      <w:r>
        <w:rPr>
          <w:rFonts w:ascii="Century" w:hAnsi="Century"/>
        </w:rPr>
        <w:br w:type="page"/>
      </w:r>
    </w:p>
    <w:p w14:paraId="63257650" w14:textId="2A6A4C81" w:rsidR="00353B64" w:rsidRPr="008E6ED9" w:rsidRDefault="00353B64" w:rsidP="008E6ED9">
      <w:pPr>
        <w:pStyle w:val="Heading1"/>
        <w:spacing w:after="120"/>
        <w:jc w:val="center"/>
      </w:pPr>
      <w:bookmarkStart w:id="93" w:name="_Toc71725896"/>
      <w:r w:rsidRPr="008E6ED9">
        <w:lastRenderedPageBreak/>
        <w:t>Medium-Term Outlook, Risks and Challenges</w:t>
      </w:r>
      <w:bookmarkEnd w:id="93"/>
    </w:p>
    <w:p w14:paraId="4B05B6EC" w14:textId="3CF140D0" w:rsidR="00667B6F" w:rsidRPr="008E6ED9" w:rsidRDefault="00667B6F" w:rsidP="008E6ED9">
      <w:pPr>
        <w:pStyle w:val="Heading2"/>
        <w:spacing w:before="120" w:after="120"/>
      </w:pPr>
      <w:bookmarkStart w:id="94" w:name="_Toc71725897"/>
      <w:r w:rsidRPr="008E6ED9">
        <w:t>Somalia is</w:t>
      </w:r>
      <w:r w:rsidR="009312CC" w:rsidRPr="008E6ED9">
        <w:t xml:space="preserve"> emerging from the triple shocks of 2020</w:t>
      </w:r>
      <w:bookmarkEnd w:id="94"/>
    </w:p>
    <w:p w14:paraId="2BE4BFEB" w14:textId="4D887B1F" w:rsidR="00DA737F" w:rsidRDefault="00DA737F" w:rsidP="00DA737F">
      <w:pPr>
        <w:jc w:val="both"/>
        <w:rPr>
          <w:rFonts w:cs="Calibri"/>
        </w:rPr>
      </w:pPr>
      <w:r w:rsidRPr="00DA737F">
        <w:rPr>
          <w:b/>
          <w:bCs/>
        </w:rPr>
        <w:t xml:space="preserve">The economy is expected to enjoy a moderate recovery over the medium term. </w:t>
      </w:r>
      <w:r w:rsidRPr="00DA737F">
        <w:t>Real GDP is forecast to grow by 2.4 percent in 2021</w:t>
      </w:r>
      <w:r w:rsidR="00507250">
        <w:t xml:space="preserve"> in the baseline scenario</w:t>
      </w:r>
      <w:r>
        <w:t xml:space="preserve">, accelerating slightly </w:t>
      </w:r>
      <w:r w:rsidRPr="00023DBB">
        <w:t>in 2022</w:t>
      </w:r>
      <w:r>
        <w:t>–</w:t>
      </w:r>
      <w:r w:rsidRPr="00023DBB">
        <w:t>23</w:t>
      </w:r>
      <w:r w:rsidR="00507250">
        <w:t xml:space="preserve"> (</w:t>
      </w:r>
      <w:r w:rsidR="00FD064A">
        <w:fldChar w:fldCharType="begin"/>
      </w:r>
      <w:r w:rsidR="00FD064A">
        <w:instrText xml:space="preserve"> REF _Ref70987661 \h </w:instrText>
      </w:r>
      <w:r w:rsidR="00FD064A">
        <w:fldChar w:fldCharType="separate"/>
      </w:r>
      <w:r w:rsidR="006D6F0B">
        <w:t xml:space="preserve">Figure </w:t>
      </w:r>
      <w:r w:rsidR="006D6F0B">
        <w:rPr>
          <w:noProof/>
        </w:rPr>
        <w:t>20</w:t>
      </w:r>
      <w:r w:rsidR="00FD064A">
        <w:fldChar w:fldCharType="end"/>
      </w:r>
      <w:r w:rsidR="00507250">
        <w:t xml:space="preserve">). </w:t>
      </w:r>
      <w:r w:rsidR="00507250">
        <w:rPr>
          <w:rFonts w:cs="Calibri"/>
        </w:rPr>
        <w:t>A</w:t>
      </w:r>
      <w:r w:rsidRPr="00023DBB">
        <w:rPr>
          <w:rFonts w:cs="Calibri"/>
        </w:rPr>
        <w:t xml:space="preserve">s economic activities </w:t>
      </w:r>
      <w:r w:rsidR="000D1D64">
        <w:rPr>
          <w:rFonts w:cs="Calibri"/>
        </w:rPr>
        <w:t>gain</w:t>
      </w:r>
      <w:r>
        <w:rPr>
          <w:rFonts w:cs="Calibri"/>
        </w:rPr>
        <w:t xml:space="preserve"> momentum</w:t>
      </w:r>
      <w:r w:rsidR="00507250">
        <w:rPr>
          <w:rFonts w:cs="Calibri"/>
        </w:rPr>
        <w:t>,</w:t>
      </w:r>
      <w:r>
        <w:rPr>
          <w:rFonts w:cs="Calibri"/>
        </w:rPr>
        <w:t xml:space="preserve"> growth will </w:t>
      </w:r>
      <w:r w:rsidRPr="00023DBB">
        <w:rPr>
          <w:rFonts w:cs="Calibri"/>
        </w:rPr>
        <w:t>reach pre-C</w:t>
      </w:r>
      <w:r>
        <w:rPr>
          <w:rFonts w:cs="Calibri"/>
        </w:rPr>
        <w:t>OVID</w:t>
      </w:r>
      <w:r w:rsidRPr="00023DBB">
        <w:rPr>
          <w:rFonts w:cs="Calibri"/>
        </w:rPr>
        <w:t xml:space="preserve">-19 levels of 3.2 percent in 2023. The baseline scenario assumes Somalia will </w:t>
      </w:r>
      <w:r w:rsidR="00507250">
        <w:rPr>
          <w:rFonts w:cs="Calibri"/>
        </w:rPr>
        <w:t>weather</w:t>
      </w:r>
      <w:r w:rsidRPr="00023DBB">
        <w:rPr>
          <w:rFonts w:cs="Calibri"/>
        </w:rPr>
        <w:t xml:space="preserve"> the pandemic </w:t>
      </w:r>
      <w:r w:rsidR="00507250">
        <w:rPr>
          <w:rFonts w:cs="Calibri"/>
        </w:rPr>
        <w:t>without the need to reimpose</w:t>
      </w:r>
      <w:r w:rsidRPr="00023DBB">
        <w:rPr>
          <w:rFonts w:cs="Calibri"/>
        </w:rPr>
        <w:t xml:space="preserve"> </w:t>
      </w:r>
      <w:r w:rsidR="00507250">
        <w:rPr>
          <w:rFonts w:cs="Calibri"/>
        </w:rPr>
        <w:t>the stringent</w:t>
      </w:r>
      <w:r w:rsidRPr="00023DBB">
        <w:rPr>
          <w:rFonts w:cs="Calibri"/>
        </w:rPr>
        <w:t xml:space="preserve"> lockdowns and serious travel restriction </w:t>
      </w:r>
      <w:r w:rsidR="00507250">
        <w:rPr>
          <w:rFonts w:cs="Calibri"/>
        </w:rPr>
        <w:t>that</w:t>
      </w:r>
      <w:r w:rsidRPr="00023DBB">
        <w:rPr>
          <w:rFonts w:cs="Calibri"/>
        </w:rPr>
        <w:t xml:space="preserve"> were lifted in August 2020</w:t>
      </w:r>
      <w:r w:rsidR="00507250">
        <w:rPr>
          <w:rFonts w:cs="Calibri"/>
        </w:rPr>
        <w:t>. It assumes a slow update of vaccinations due to hesitancy</w:t>
      </w:r>
      <w:r>
        <w:rPr>
          <w:rFonts w:cs="Calibri"/>
        </w:rPr>
        <w:t xml:space="preserve"> </w:t>
      </w:r>
      <w:r w:rsidR="00507250">
        <w:rPr>
          <w:rFonts w:cs="Calibri"/>
        </w:rPr>
        <w:t>(</w:t>
      </w:r>
      <w:r>
        <w:rPr>
          <w:rFonts w:cs="Calibri"/>
        </w:rPr>
        <w:t>even though vaccines are available under COVAX facility</w:t>
      </w:r>
      <w:r w:rsidR="00507250">
        <w:rPr>
          <w:rFonts w:cs="Calibri"/>
        </w:rPr>
        <w:t>)</w:t>
      </w:r>
      <w:r w:rsidRPr="00023DBB">
        <w:rPr>
          <w:rFonts w:cs="Calibri"/>
        </w:rPr>
        <w:t>.</w:t>
      </w:r>
      <w:r w:rsidR="00CF6929">
        <w:rPr>
          <w:rStyle w:val="FootnoteReference"/>
          <w:rFonts w:cs="Calibri"/>
        </w:rPr>
        <w:footnoteReference w:id="22"/>
      </w:r>
      <w:r w:rsidRPr="00023DBB">
        <w:rPr>
          <w:rFonts w:cs="Calibri"/>
        </w:rPr>
        <w:t xml:space="preserve"> </w:t>
      </w:r>
      <w:r w:rsidRPr="00023DBB">
        <w:t>It assumes a g</w:t>
      </w:r>
      <w:r w:rsidRPr="008255AD">
        <w:t>radual pick-up in economic activities</w:t>
      </w:r>
      <w:r w:rsidRPr="00023DBB">
        <w:t xml:space="preserve"> and b</w:t>
      </w:r>
      <w:r w:rsidRPr="008255AD">
        <w:t>usinesses and firms gradually return to their normal levels of sales</w:t>
      </w:r>
      <w:r>
        <w:t>—</w:t>
      </w:r>
      <w:r w:rsidRPr="008255AD">
        <w:t>enabling steady recovery</w:t>
      </w:r>
      <w:r w:rsidRPr="00023DBB">
        <w:t>. It also assume</w:t>
      </w:r>
      <w:r>
        <w:t>s</w:t>
      </w:r>
      <w:r w:rsidRPr="00023DBB">
        <w:t xml:space="preserve"> that there is c</w:t>
      </w:r>
      <w:r w:rsidRPr="008255AD">
        <w:t xml:space="preserve">ontinued support to firms </w:t>
      </w:r>
      <w:r>
        <w:t>and</w:t>
      </w:r>
      <w:r w:rsidRPr="008255AD">
        <w:t xml:space="preserve"> vulnerable households through </w:t>
      </w:r>
      <w:r>
        <w:t xml:space="preserve">the </w:t>
      </w:r>
      <w:proofErr w:type="spellStart"/>
      <w:r w:rsidRPr="009D61DE">
        <w:t>Garg</w:t>
      </w:r>
      <w:r>
        <w:t>a</w:t>
      </w:r>
      <w:r w:rsidRPr="009D61DE">
        <w:t>ara</w:t>
      </w:r>
      <w:proofErr w:type="spellEnd"/>
      <w:r w:rsidRPr="009D61DE">
        <w:t xml:space="preserve"> lending facility </w:t>
      </w:r>
      <w:r>
        <w:t xml:space="preserve">and </w:t>
      </w:r>
      <w:proofErr w:type="spellStart"/>
      <w:r w:rsidRPr="008255AD">
        <w:t>Baxnaano</w:t>
      </w:r>
      <w:proofErr w:type="spellEnd"/>
      <w:r>
        <w:t xml:space="preserve"> programs. R</w:t>
      </w:r>
      <w:r w:rsidRPr="008255AD">
        <w:t>ecovery in remittances will help firms' recovery and boost households' incomes</w:t>
      </w:r>
      <w:r w:rsidRPr="00023DBB">
        <w:t xml:space="preserve"> and </w:t>
      </w:r>
      <w:r w:rsidRPr="008255AD">
        <w:t>export demand</w:t>
      </w:r>
      <w:r>
        <w:t xml:space="preserve"> will rebound</w:t>
      </w:r>
      <w:r w:rsidRPr="00023DBB">
        <w:t xml:space="preserve">. </w:t>
      </w:r>
      <w:r w:rsidRPr="00023DBB">
        <w:rPr>
          <w:rFonts w:cs="Calibri"/>
        </w:rPr>
        <w:t>It also assumes no further climatic shocks affecting mainly the agricultural sector during this period.</w:t>
      </w:r>
    </w:p>
    <w:p w14:paraId="7D47AE42" w14:textId="294043F2" w:rsidR="00507250" w:rsidRDefault="00507250" w:rsidP="00507250">
      <w:pPr>
        <w:pStyle w:val="Caption"/>
      </w:pPr>
      <w:bookmarkStart w:id="95" w:name="_Ref70987661"/>
      <w:bookmarkStart w:id="96" w:name="_Toc71725938"/>
      <w:r>
        <w:t xml:space="preserve">Figure </w:t>
      </w:r>
      <w:fldSimple w:instr=" SEQ Figure \* ARABIC ">
        <w:r w:rsidR="006D6F0B">
          <w:rPr>
            <w:noProof/>
          </w:rPr>
          <w:t>20</w:t>
        </w:r>
      </w:fldSimple>
      <w:bookmarkEnd w:id="95"/>
      <w:r>
        <w:t xml:space="preserve">: </w:t>
      </w:r>
      <w:r w:rsidRPr="00956E32">
        <w:t>Economic recovery will be moderate in 2021 and in the medium-term</w:t>
      </w:r>
      <w:bookmarkEnd w:id="96"/>
    </w:p>
    <w:p w14:paraId="2E50A70C" w14:textId="76B1C841" w:rsidR="00D60C79" w:rsidRDefault="00AB0E71" w:rsidP="008E6ED9">
      <w:pPr>
        <w:spacing w:after="0"/>
        <w:jc w:val="both"/>
        <w:rPr>
          <w:rFonts w:cs="Calibri"/>
          <w:noProof/>
        </w:rPr>
      </w:pPr>
      <w:r>
        <w:rPr>
          <w:noProof/>
        </w:rPr>
        <w:drawing>
          <wp:inline distT="0" distB="0" distL="0" distR="0" wp14:anchorId="3E373EC8" wp14:editId="0674C781">
            <wp:extent cx="4363844" cy="3166947"/>
            <wp:effectExtent l="0" t="0" r="3175" b="0"/>
            <wp:docPr id="39" name="Chart 39">
              <a:extLst xmlns:a="http://schemas.openxmlformats.org/drawingml/2006/main">
                <a:ext uri="{FF2B5EF4-FFF2-40B4-BE49-F238E27FC236}">
                  <a16:creationId xmlns:a16="http://schemas.microsoft.com/office/drawing/2014/main" id="{0373EBC4-A714-42AD-AF24-4EB4A6D14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Del="00B263D7">
        <w:rPr>
          <w:rFonts w:cs="Calibri"/>
          <w:noProof/>
        </w:rPr>
        <w:t xml:space="preserve"> </w:t>
      </w:r>
    </w:p>
    <w:p w14:paraId="4C7D648B" w14:textId="7B800E63" w:rsidR="00B263D7" w:rsidRDefault="00B263D7" w:rsidP="008E6ED9">
      <w:pPr>
        <w:spacing w:after="120"/>
        <w:jc w:val="both"/>
        <w:rPr>
          <w:rFonts w:cs="Calibri"/>
        </w:rPr>
      </w:pPr>
      <w:r>
        <w:rPr>
          <w:rFonts w:cs="Calibri"/>
          <w:noProof/>
        </w:rPr>
        <w:t>Source: World Bank Staff Estimates, 2021</w:t>
      </w:r>
    </w:p>
    <w:p w14:paraId="4ED49C49" w14:textId="260B9BD9" w:rsidR="00570174" w:rsidRPr="00243F13" w:rsidRDefault="00B70500" w:rsidP="008E6ED9">
      <w:pPr>
        <w:pStyle w:val="Default"/>
        <w:spacing w:after="120" w:line="259" w:lineRule="auto"/>
        <w:jc w:val="both"/>
        <w:rPr>
          <w:rFonts w:cs="Calibri"/>
          <w:color w:val="auto"/>
          <w:szCs w:val="22"/>
        </w:rPr>
      </w:pPr>
      <w:r w:rsidRPr="00243F13">
        <w:rPr>
          <w:rFonts w:cstheme="minorBidi"/>
          <w:b/>
          <w:bCs/>
          <w:color w:val="auto"/>
          <w:szCs w:val="22"/>
        </w:rPr>
        <w:t xml:space="preserve">The </w:t>
      </w:r>
      <w:r w:rsidR="005D2750" w:rsidRPr="00243F13">
        <w:rPr>
          <w:rFonts w:cstheme="minorBidi"/>
          <w:b/>
          <w:bCs/>
          <w:color w:val="auto"/>
          <w:szCs w:val="22"/>
        </w:rPr>
        <w:t>baseline</w:t>
      </w:r>
      <w:r w:rsidRPr="00243F13">
        <w:rPr>
          <w:rFonts w:cstheme="minorBidi"/>
          <w:b/>
          <w:bCs/>
          <w:color w:val="auto"/>
          <w:szCs w:val="22"/>
        </w:rPr>
        <w:t xml:space="preserve"> scenario </w:t>
      </w:r>
      <w:r w:rsidR="00EC09D3" w:rsidRPr="00243F13">
        <w:rPr>
          <w:rFonts w:cstheme="minorBidi"/>
          <w:b/>
          <w:bCs/>
          <w:color w:val="auto"/>
          <w:szCs w:val="22"/>
        </w:rPr>
        <w:t>projects</w:t>
      </w:r>
      <w:r w:rsidRPr="00243F13">
        <w:rPr>
          <w:rFonts w:cstheme="minorBidi"/>
          <w:b/>
          <w:bCs/>
          <w:color w:val="auto"/>
          <w:szCs w:val="22"/>
        </w:rPr>
        <w:t xml:space="preserve"> </w:t>
      </w:r>
      <w:r w:rsidR="00EC09D3" w:rsidRPr="00243F13">
        <w:rPr>
          <w:rFonts w:cstheme="minorBidi"/>
          <w:b/>
          <w:bCs/>
          <w:color w:val="auto"/>
          <w:szCs w:val="22"/>
        </w:rPr>
        <w:t xml:space="preserve">a </w:t>
      </w:r>
      <w:r w:rsidR="00F804A4" w:rsidRPr="00243F13">
        <w:rPr>
          <w:rFonts w:cstheme="minorBidi"/>
          <w:b/>
          <w:bCs/>
          <w:color w:val="auto"/>
          <w:szCs w:val="22"/>
        </w:rPr>
        <w:t xml:space="preserve">rebound </w:t>
      </w:r>
      <w:r w:rsidR="005D2750" w:rsidRPr="00243F13">
        <w:rPr>
          <w:rFonts w:cstheme="minorBidi"/>
          <w:b/>
          <w:bCs/>
          <w:color w:val="auto"/>
          <w:szCs w:val="22"/>
        </w:rPr>
        <w:t>in household</w:t>
      </w:r>
      <w:r w:rsidR="00FE3072" w:rsidRPr="00243F13">
        <w:rPr>
          <w:rFonts w:cstheme="minorBidi"/>
          <w:b/>
          <w:bCs/>
          <w:color w:val="auto"/>
          <w:szCs w:val="22"/>
        </w:rPr>
        <w:t xml:space="preserve">, </w:t>
      </w:r>
      <w:r w:rsidR="00BC7685" w:rsidRPr="00243F13">
        <w:rPr>
          <w:rFonts w:cstheme="minorBidi"/>
          <w:b/>
          <w:bCs/>
          <w:color w:val="auto"/>
          <w:szCs w:val="22"/>
        </w:rPr>
        <w:t>domestic investment</w:t>
      </w:r>
      <w:r w:rsidR="00EC09D3" w:rsidRPr="00243F13">
        <w:rPr>
          <w:rFonts w:cstheme="minorBidi"/>
          <w:b/>
          <w:bCs/>
          <w:color w:val="auto"/>
          <w:szCs w:val="22"/>
        </w:rPr>
        <w:t>,</w:t>
      </w:r>
      <w:r w:rsidR="00FE3072" w:rsidRPr="00243F13">
        <w:rPr>
          <w:rFonts w:cstheme="minorBidi"/>
          <w:b/>
          <w:bCs/>
          <w:color w:val="auto"/>
          <w:szCs w:val="22"/>
        </w:rPr>
        <w:t xml:space="preserve"> </w:t>
      </w:r>
      <w:r w:rsidR="00F84EE7" w:rsidRPr="00243F13">
        <w:rPr>
          <w:rFonts w:cstheme="minorBidi"/>
          <w:b/>
          <w:bCs/>
          <w:color w:val="auto"/>
          <w:szCs w:val="22"/>
        </w:rPr>
        <w:t>and export</w:t>
      </w:r>
      <w:r w:rsidR="00577762" w:rsidRPr="00243F13">
        <w:rPr>
          <w:rFonts w:cstheme="minorBidi"/>
          <w:b/>
          <w:bCs/>
          <w:color w:val="auto"/>
          <w:szCs w:val="22"/>
        </w:rPr>
        <w:t xml:space="preserve"> demand</w:t>
      </w:r>
      <w:r w:rsidR="00F84EE7" w:rsidRPr="00243F13">
        <w:rPr>
          <w:rFonts w:cstheme="minorBidi"/>
          <w:b/>
          <w:bCs/>
          <w:color w:val="auto"/>
          <w:szCs w:val="22"/>
        </w:rPr>
        <w:t>.</w:t>
      </w:r>
      <w:r w:rsidR="005D2750" w:rsidRPr="00243F13">
        <w:rPr>
          <w:rFonts w:cstheme="minorBidi"/>
          <w:b/>
          <w:bCs/>
          <w:color w:val="auto"/>
          <w:szCs w:val="22"/>
        </w:rPr>
        <w:t xml:space="preserve"> </w:t>
      </w:r>
      <w:r w:rsidR="006F215B" w:rsidRPr="00243F13">
        <w:rPr>
          <w:rFonts w:cstheme="minorBidi"/>
          <w:color w:val="auto"/>
          <w:szCs w:val="22"/>
        </w:rPr>
        <w:t xml:space="preserve">Gradual pick up of economic activities began with the easing of the COVID-19 lockdown restrictions in August 2020, private consumption improving, </w:t>
      </w:r>
      <w:r w:rsidR="006F215B" w:rsidRPr="00243F13">
        <w:rPr>
          <w:rFonts w:cs="Calibri"/>
          <w:color w:val="auto"/>
          <w:szCs w:val="22"/>
        </w:rPr>
        <w:t xml:space="preserve">exports demand </w:t>
      </w:r>
      <w:r w:rsidR="00FB58D9" w:rsidRPr="00243F13">
        <w:rPr>
          <w:rFonts w:cs="Calibri"/>
          <w:color w:val="auto"/>
          <w:szCs w:val="22"/>
        </w:rPr>
        <w:t>increased,</w:t>
      </w:r>
      <w:r w:rsidR="006F215B" w:rsidRPr="00243F13">
        <w:rPr>
          <w:rFonts w:cs="Calibri"/>
          <w:color w:val="auto"/>
          <w:szCs w:val="22"/>
        </w:rPr>
        <w:t xml:space="preserve"> and businesses began to stabilize. </w:t>
      </w:r>
      <w:r w:rsidR="005155C4" w:rsidRPr="00243F13">
        <w:rPr>
          <w:rFonts w:cs="Calibri"/>
          <w:color w:val="auto"/>
          <w:szCs w:val="22"/>
        </w:rPr>
        <w:t>P</w:t>
      </w:r>
      <w:r w:rsidR="00302D1E" w:rsidRPr="00243F13">
        <w:rPr>
          <w:rFonts w:cs="Calibri"/>
          <w:color w:val="auto"/>
          <w:szCs w:val="22"/>
        </w:rPr>
        <w:t>rivate consumption, the</w:t>
      </w:r>
      <w:r w:rsidR="00C26A9B" w:rsidRPr="00243F13">
        <w:rPr>
          <w:rFonts w:cs="Calibri"/>
          <w:color w:val="auto"/>
          <w:szCs w:val="22"/>
        </w:rPr>
        <w:t xml:space="preserve"> </w:t>
      </w:r>
      <w:r w:rsidR="006E4DE1" w:rsidRPr="00243F13">
        <w:rPr>
          <w:rFonts w:cs="Calibri"/>
          <w:color w:val="auto"/>
          <w:szCs w:val="22"/>
        </w:rPr>
        <w:t>main</w:t>
      </w:r>
      <w:r w:rsidR="00302D1E" w:rsidRPr="00243F13">
        <w:rPr>
          <w:rFonts w:cs="Calibri"/>
          <w:color w:val="auto"/>
          <w:szCs w:val="22"/>
        </w:rPr>
        <w:t xml:space="preserve"> </w:t>
      </w:r>
      <w:r w:rsidR="006E4DE1" w:rsidRPr="00243F13">
        <w:rPr>
          <w:rFonts w:cs="Calibri"/>
          <w:color w:val="auto"/>
          <w:szCs w:val="22"/>
        </w:rPr>
        <w:t xml:space="preserve">driver of </w:t>
      </w:r>
      <w:r w:rsidR="00302D1E" w:rsidRPr="00243F13">
        <w:rPr>
          <w:rFonts w:cs="Calibri"/>
          <w:color w:val="auto"/>
          <w:szCs w:val="22"/>
        </w:rPr>
        <w:t xml:space="preserve">Somalia’s GDP, </w:t>
      </w:r>
      <w:r w:rsidR="006E4DE1" w:rsidRPr="00243F13">
        <w:rPr>
          <w:rFonts w:cs="Calibri"/>
          <w:color w:val="auto"/>
          <w:szCs w:val="22"/>
        </w:rPr>
        <w:t xml:space="preserve">is </w:t>
      </w:r>
      <w:r w:rsidR="0038276F" w:rsidRPr="00243F13">
        <w:rPr>
          <w:rFonts w:cs="Calibri"/>
          <w:color w:val="auto"/>
          <w:szCs w:val="22"/>
        </w:rPr>
        <w:t xml:space="preserve">projected to </w:t>
      </w:r>
      <w:r w:rsidR="00C26A9B" w:rsidRPr="00243F13">
        <w:rPr>
          <w:rFonts w:cs="Calibri"/>
          <w:color w:val="auto"/>
          <w:szCs w:val="22"/>
        </w:rPr>
        <w:t>grow at 2.8 percent in 2021</w:t>
      </w:r>
      <w:r w:rsidR="009B68AA" w:rsidRPr="00243F13">
        <w:rPr>
          <w:rFonts w:cs="Calibri"/>
          <w:color w:val="auto"/>
          <w:szCs w:val="22"/>
        </w:rPr>
        <w:t xml:space="preserve"> and </w:t>
      </w:r>
      <w:r w:rsidR="00CF1CB9" w:rsidRPr="00243F13">
        <w:rPr>
          <w:rFonts w:cs="Calibri"/>
          <w:color w:val="auto"/>
          <w:szCs w:val="22"/>
        </w:rPr>
        <w:t xml:space="preserve">3.3 </w:t>
      </w:r>
      <w:r w:rsidR="009B68AA" w:rsidRPr="00243F13">
        <w:rPr>
          <w:rFonts w:cs="Calibri"/>
          <w:color w:val="auto"/>
          <w:szCs w:val="22"/>
        </w:rPr>
        <w:t xml:space="preserve">and </w:t>
      </w:r>
      <w:r w:rsidR="00CF1CB9" w:rsidRPr="00243F13">
        <w:rPr>
          <w:rFonts w:cs="Calibri"/>
          <w:color w:val="auto"/>
          <w:szCs w:val="22"/>
        </w:rPr>
        <w:t>3.5</w:t>
      </w:r>
      <w:r w:rsidR="009B68AA" w:rsidRPr="00243F13">
        <w:rPr>
          <w:rFonts w:cs="Calibri"/>
          <w:color w:val="auto"/>
          <w:szCs w:val="22"/>
        </w:rPr>
        <w:t xml:space="preserve"> in 2022 and 2023</w:t>
      </w:r>
      <w:r w:rsidR="00785D72" w:rsidRPr="00243F13">
        <w:rPr>
          <w:rFonts w:cs="Calibri"/>
          <w:color w:val="auto"/>
          <w:szCs w:val="22"/>
        </w:rPr>
        <w:t xml:space="preserve"> </w:t>
      </w:r>
      <w:r w:rsidR="008903F1" w:rsidRPr="00243F13">
        <w:rPr>
          <w:rFonts w:cs="Calibri"/>
          <w:color w:val="auto"/>
          <w:szCs w:val="22"/>
        </w:rPr>
        <w:t>respectively</w:t>
      </w:r>
      <w:r w:rsidR="00785D72" w:rsidRPr="00243F13">
        <w:rPr>
          <w:rFonts w:cs="Calibri"/>
          <w:color w:val="auto"/>
          <w:szCs w:val="22"/>
        </w:rPr>
        <w:t xml:space="preserve">. </w:t>
      </w:r>
      <w:r w:rsidR="00FE3B24" w:rsidRPr="00243F13">
        <w:rPr>
          <w:rFonts w:cs="Calibri"/>
          <w:color w:val="auto"/>
          <w:szCs w:val="22"/>
        </w:rPr>
        <w:t xml:space="preserve">With </w:t>
      </w:r>
      <w:r w:rsidR="0038276F" w:rsidRPr="00243F13">
        <w:rPr>
          <w:rFonts w:cs="Calibri"/>
          <w:color w:val="auto"/>
          <w:szCs w:val="22"/>
        </w:rPr>
        <w:t>the</w:t>
      </w:r>
      <w:r w:rsidR="00FE3B24" w:rsidRPr="00243F13">
        <w:rPr>
          <w:rFonts w:cs="Calibri"/>
          <w:color w:val="auto"/>
          <w:szCs w:val="22"/>
        </w:rPr>
        <w:t xml:space="preserve"> modest recovery, per capita private consumption is projected to stagnate in 2021; </w:t>
      </w:r>
      <w:r w:rsidR="0038276F" w:rsidRPr="00243F13">
        <w:rPr>
          <w:rFonts w:cs="Calibri"/>
          <w:color w:val="auto"/>
          <w:szCs w:val="22"/>
        </w:rPr>
        <w:t xml:space="preserve">this </w:t>
      </w:r>
      <w:r w:rsidR="00FE3B24" w:rsidRPr="00243F13">
        <w:rPr>
          <w:rFonts w:cs="Calibri"/>
          <w:color w:val="auto"/>
          <w:szCs w:val="22"/>
        </w:rPr>
        <w:t xml:space="preserve">trend </w:t>
      </w:r>
      <w:r w:rsidR="0038276F" w:rsidRPr="00243F13">
        <w:rPr>
          <w:rFonts w:cs="Calibri"/>
          <w:color w:val="auto"/>
          <w:szCs w:val="22"/>
        </w:rPr>
        <w:t xml:space="preserve">is </w:t>
      </w:r>
      <w:r w:rsidR="00FE3B24" w:rsidRPr="00243F13">
        <w:rPr>
          <w:rFonts w:cs="Calibri"/>
          <w:color w:val="auto"/>
          <w:szCs w:val="22"/>
        </w:rPr>
        <w:t xml:space="preserve">expected to continue in </w:t>
      </w:r>
      <w:r w:rsidR="0038276F" w:rsidRPr="00243F13">
        <w:rPr>
          <w:rFonts w:cs="Calibri"/>
          <w:color w:val="auto"/>
          <w:szCs w:val="22"/>
        </w:rPr>
        <w:t>the medium term</w:t>
      </w:r>
      <w:r w:rsidR="00FE3B24" w:rsidRPr="00243F13">
        <w:rPr>
          <w:rFonts w:cs="Calibri"/>
          <w:color w:val="auto"/>
          <w:szCs w:val="22"/>
        </w:rPr>
        <w:t xml:space="preserve">. </w:t>
      </w:r>
      <w:r w:rsidR="00F70E3B" w:rsidRPr="00243F13">
        <w:rPr>
          <w:rFonts w:cs="Calibri"/>
          <w:color w:val="auto"/>
          <w:szCs w:val="22"/>
        </w:rPr>
        <w:t>G</w:t>
      </w:r>
      <w:r w:rsidR="00C23E48" w:rsidRPr="00243F13">
        <w:rPr>
          <w:rFonts w:cs="Calibri"/>
          <w:color w:val="auto"/>
          <w:szCs w:val="22"/>
        </w:rPr>
        <w:t xml:space="preserve">overnment </w:t>
      </w:r>
      <w:r w:rsidR="00776368" w:rsidRPr="00243F13">
        <w:rPr>
          <w:rFonts w:cs="Calibri"/>
          <w:color w:val="auto"/>
          <w:szCs w:val="22"/>
        </w:rPr>
        <w:t xml:space="preserve">consumption </w:t>
      </w:r>
      <w:r w:rsidR="00F70E3B" w:rsidRPr="00243F13">
        <w:rPr>
          <w:rFonts w:cs="Calibri"/>
          <w:color w:val="auto"/>
          <w:szCs w:val="22"/>
        </w:rPr>
        <w:t xml:space="preserve">is </w:t>
      </w:r>
      <w:r w:rsidR="00A818DC" w:rsidRPr="00243F13">
        <w:rPr>
          <w:rFonts w:cs="Calibri"/>
          <w:color w:val="auto"/>
          <w:szCs w:val="22"/>
        </w:rPr>
        <w:t>anticipated</w:t>
      </w:r>
      <w:r w:rsidR="00F70E3B" w:rsidRPr="00243F13">
        <w:rPr>
          <w:rFonts w:cs="Calibri"/>
          <w:color w:val="auto"/>
          <w:szCs w:val="22"/>
        </w:rPr>
        <w:t xml:space="preserve"> to </w:t>
      </w:r>
      <w:r w:rsidR="00A818DC" w:rsidRPr="00243F13">
        <w:rPr>
          <w:rFonts w:cs="Calibri"/>
          <w:color w:val="auto"/>
          <w:szCs w:val="22"/>
        </w:rPr>
        <w:t>increase albeit marginally</w:t>
      </w:r>
      <w:r w:rsidR="004177C7" w:rsidRPr="00243F13">
        <w:rPr>
          <w:rFonts w:cs="Calibri"/>
          <w:color w:val="auto"/>
          <w:szCs w:val="22"/>
        </w:rPr>
        <w:t xml:space="preserve"> as political uncertainty li</w:t>
      </w:r>
      <w:r w:rsidR="00541177" w:rsidRPr="00243F13">
        <w:rPr>
          <w:rFonts w:cs="Calibri"/>
          <w:color w:val="auto"/>
          <w:szCs w:val="22"/>
        </w:rPr>
        <w:t>ngers</w:t>
      </w:r>
      <w:r w:rsidR="00B268AC" w:rsidRPr="00243F13">
        <w:rPr>
          <w:rFonts w:cs="Calibri"/>
          <w:color w:val="auto"/>
          <w:szCs w:val="22"/>
        </w:rPr>
        <w:t xml:space="preserve">, </w:t>
      </w:r>
      <w:r w:rsidR="00D54980" w:rsidRPr="00243F13">
        <w:rPr>
          <w:rFonts w:cs="Calibri"/>
          <w:color w:val="auto"/>
          <w:szCs w:val="22"/>
        </w:rPr>
        <w:t xml:space="preserve">in </w:t>
      </w:r>
      <w:r w:rsidR="00B268AC" w:rsidRPr="00243F13">
        <w:rPr>
          <w:rFonts w:cs="Calibri"/>
          <w:color w:val="auto"/>
          <w:szCs w:val="22"/>
        </w:rPr>
        <w:t xml:space="preserve">line with expected </w:t>
      </w:r>
      <w:r w:rsidR="00AC34B8" w:rsidRPr="00243F13">
        <w:rPr>
          <w:rFonts w:cs="Calibri"/>
          <w:color w:val="auto"/>
          <w:szCs w:val="22"/>
        </w:rPr>
        <w:t xml:space="preserve">recovery in </w:t>
      </w:r>
      <w:r w:rsidR="006568FB" w:rsidRPr="00243F13">
        <w:rPr>
          <w:rFonts w:cs="Calibri"/>
          <w:color w:val="auto"/>
          <w:szCs w:val="22"/>
        </w:rPr>
        <w:t xml:space="preserve">domestic </w:t>
      </w:r>
      <w:r w:rsidR="00D54980" w:rsidRPr="00243F13">
        <w:rPr>
          <w:rFonts w:cs="Calibri"/>
          <w:color w:val="auto"/>
          <w:szCs w:val="22"/>
        </w:rPr>
        <w:t>revenue</w:t>
      </w:r>
      <w:r w:rsidR="00AC34B8" w:rsidRPr="00243F13">
        <w:rPr>
          <w:rFonts w:cs="Calibri"/>
          <w:color w:val="auto"/>
          <w:szCs w:val="22"/>
        </w:rPr>
        <w:t xml:space="preserve"> collection,</w:t>
      </w:r>
      <w:r w:rsidR="006568FB" w:rsidRPr="00243F13">
        <w:rPr>
          <w:rFonts w:cs="Calibri"/>
          <w:color w:val="auto"/>
          <w:szCs w:val="22"/>
        </w:rPr>
        <w:t xml:space="preserve"> and </w:t>
      </w:r>
      <w:r w:rsidR="00AC34B8" w:rsidRPr="00243F13">
        <w:rPr>
          <w:rFonts w:cs="Calibri"/>
          <w:color w:val="auto"/>
          <w:szCs w:val="22"/>
        </w:rPr>
        <w:t>external grants</w:t>
      </w:r>
      <w:r w:rsidR="002F03D8" w:rsidRPr="00243F13">
        <w:rPr>
          <w:rFonts w:cs="Calibri"/>
          <w:color w:val="auto"/>
          <w:szCs w:val="22"/>
        </w:rPr>
        <w:t xml:space="preserve"> assumed to</w:t>
      </w:r>
      <w:r w:rsidR="00582EE1" w:rsidRPr="00243F13">
        <w:rPr>
          <w:rFonts w:cs="Calibri"/>
          <w:color w:val="auto"/>
          <w:szCs w:val="22"/>
        </w:rPr>
        <w:t xml:space="preserve"> continue</w:t>
      </w:r>
      <w:r w:rsidR="009A1106" w:rsidRPr="00243F13">
        <w:rPr>
          <w:rFonts w:cs="Calibri"/>
          <w:color w:val="auto"/>
          <w:szCs w:val="22"/>
        </w:rPr>
        <w:t xml:space="preserve"> </w:t>
      </w:r>
      <w:r w:rsidR="009A1106" w:rsidRPr="00243F13">
        <w:rPr>
          <w:rFonts w:cs="Calibri"/>
          <w:color w:val="auto"/>
          <w:szCs w:val="22"/>
        </w:rPr>
        <w:lastRenderedPageBreak/>
        <w:t>unhindered</w:t>
      </w:r>
      <w:r w:rsidR="001A02DC" w:rsidRPr="00243F13">
        <w:rPr>
          <w:rFonts w:cs="Calibri"/>
          <w:color w:val="auto"/>
          <w:szCs w:val="22"/>
        </w:rPr>
        <w:t>.</w:t>
      </w:r>
      <w:r w:rsidR="00437732" w:rsidRPr="00243F13">
        <w:rPr>
          <w:rFonts w:cs="Calibri"/>
          <w:color w:val="auto"/>
          <w:szCs w:val="22"/>
        </w:rPr>
        <w:t xml:space="preserve"> </w:t>
      </w:r>
      <w:r w:rsidR="00913C7C" w:rsidRPr="00243F13">
        <w:rPr>
          <w:rFonts w:cs="Calibri"/>
          <w:color w:val="auto"/>
          <w:szCs w:val="22"/>
        </w:rPr>
        <w:t>Private i</w:t>
      </w:r>
      <w:r w:rsidR="00B66F84" w:rsidRPr="00243F13">
        <w:rPr>
          <w:rFonts w:cs="Calibri"/>
          <w:color w:val="auto"/>
          <w:szCs w:val="22"/>
        </w:rPr>
        <w:t>nvestment</w:t>
      </w:r>
      <w:r w:rsidR="00913C7C" w:rsidRPr="00243F13">
        <w:rPr>
          <w:rFonts w:cs="Calibri"/>
          <w:color w:val="auto"/>
          <w:szCs w:val="22"/>
        </w:rPr>
        <w:t xml:space="preserve"> is expected to pick-up in 2021</w:t>
      </w:r>
      <w:r w:rsidR="006664C6" w:rsidRPr="00243F13">
        <w:rPr>
          <w:rFonts w:cs="Calibri"/>
          <w:color w:val="auto"/>
          <w:szCs w:val="22"/>
        </w:rPr>
        <w:t xml:space="preserve"> with p</w:t>
      </w:r>
      <w:r w:rsidR="007164CF" w:rsidRPr="00243F13">
        <w:rPr>
          <w:rFonts w:cs="Calibri"/>
          <w:color w:val="auto"/>
          <w:szCs w:val="22"/>
        </w:rPr>
        <w:t>lanned investments in sectors such as energy, ports, and the financial sector</w:t>
      </w:r>
      <w:r w:rsidR="00243F13">
        <w:rPr>
          <w:rFonts w:cs="Calibri"/>
          <w:color w:val="auto"/>
          <w:szCs w:val="22"/>
        </w:rPr>
        <w:t>,</w:t>
      </w:r>
      <w:r w:rsidR="007164CF" w:rsidRPr="00243F13">
        <w:rPr>
          <w:rFonts w:cs="Calibri"/>
          <w:color w:val="auto"/>
          <w:szCs w:val="22"/>
        </w:rPr>
        <w:t xml:space="preserve"> </w:t>
      </w:r>
      <w:r w:rsidR="008E5A3A" w:rsidRPr="00243F13">
        <w:rPr>
          <w:rFonts w:cs="Calibri"/>
          <w:color w:val="auto"/>
          <w:szCs w:val="22"/>
        </w:rPr>
        <w:t>promising</w:t>
      </w:r>
      <w:r w:rsidR="007164CF" w:rsidRPr="00243F13">
        <w:rPr>
          <w:rFonts w:cs="Calibri"/>
          <w:color w:val="auto"/>
          <w:szCs w:val="22"/>
        </w:rPr>
        <w:t xml:space="preserve"> to gradually </w:t>
      </w:r>
      <w:r w:rsidR="00EA6BF5" w:rsidRPr="00243F13">
        <w:rPr>
          <w:rFonts w:cs="Calibri"/>
          <w:color w:val="auto"/>
          <w:szCs w:val="22"/>
        </w:rPr>
        <w:t xml:space="preserve">reinvigorate the economy as the COVID-19 crisis abates. </w:t>
      </w:r>
      <w:r w:rsidR="0007714B" w:rsidRPr="00243F13">
        <w:rPr>
          <w:rFonts w:cs="Calibri"/>
          <w:color w:val="auto"/>
          <w:szCs w:val="22"/>
        </w:rPr>
        <w:t xml:space="preserve">Recovery of </w:t>
      </w:r>
      <w:r w:rsidR="00753526" w:rsidRPr="00243F13">
        <w:rPr>
          <w:rFonts w:cs="Calibri"/>
          <w:color w:val="auto"/>
          <w:szCs w:val="22"/>
        </w:rPr>
        <w:t xml:space="preserve">agricultural productivity </w:t>
      </w:r>
      <w:r w:rsidR="0007714B" w:rsidRPr="00243F13">
        <w:rPr>
          <w:rFonts w:cs="Calibri"/>
          <w:color w:val="auto"/>
          <w:szCs w:val="22"/>
        </w:rPr>
        <w:t xml:space="preserve">will </w:t>
      </w:r>
      <w:r w:rsidR="003C2836" w:rsidRPr="00243F13">
        <w:rPr>
          <w:rFonts w:cs="Calibri"/>
          <w:color w:val="auto"/>
          <w:szCs w:val="22"/>
        </w:rPr>
        <w:t xml:space="preserve">improve </w:t>
      </w:r>
      <w:r w:rsidR="00D12E56" w:rsidRPr="00243F13">
        <w:rPr>
          <w:rFonts w:cs="Calibri"/>
          <w:color w:val="auto"/>
          <w:szCs w:val="22"/>
        </w:rPr>
        <w:t>households’</w:t>
      </w:r>
      <w:r w:rsidR="003C2836" w:rsidRPr="00243F13">
        <w:rPr>
          <w:rFonts w:cs="Calibri"/>
          <w:color w:val="auto"/>
          <w:szCs w:val="22"/>
        </w:rPr>
        <w:t xml:space="preserve"> incomes and food security</w:t>
      </w:r>
      <w:r w:rsidR="0007714B" w:rsidRPr="00243F13">
        <w:rPr>
          <w:rFonts w:cs="Calibri"/>
          <w:color w:val="auto"/>
          <w:szCs w:val="22"/>
        </w:rPr>
        <w:t xml:space="preserve"> as well as increase exports supply. E</w:t>
      </w:r>
      <w:r w:rsidR="003C2836" w:rsidRPr="00243F13">
        <w:rPr>
          <w:rFonts w:cs="Calibri"/>
          <w:color w:val="auto"/>
          <w:szCs w:val="22"/>
        </w:rPr>
        <w:t xml:space="preserve">asing of the COVID-19 containment measures will </w:t>
      </w:r>
      <w:r w:rsidR="00CC388A" w:rsidRPr="00243F13">
        <w:rPr>
          <w:rFonts w:cs="Calibri"/>
          <w:color w:val="auto"/>
          <w:szCs w:val="22"/>
        </w:rPr>
        <w:t xml:space="preserve">continue to </w:t>
      </w:r>
      <w:r w:rsidR="003C2836" w:rsidRPr="00243F13">
        <w:rPr>
          <w:rFonts w:cs="Calibri"/>
          <w:color w:val="auto"/>
          <w:szCs w:val="22"/>
        </w:rPr>
        <w:t>boost export demand</w:t>
      </w:r>
      <w:r w:rsidR="0007714B" w:rsidRPr="00243F13">
        <w:rPr>
          <w:rFonts w:cs="Calibri"/>
          <w:color w:val="auto"/>
          <w:szCs w:val="22"/>
        </w:rPr>
        <w:t xml:space="preserve"> and higher growth in remittances will </w:t>
      </w:r>
      <w:r w:rsidR="00CC388A" w:rsidRPr="00243F13">
        <w:rPr>
          <w:rFonts w:cs="Calibri"/>
          <w:color w:val="auto"/>
          <w:szCs w:val="22"/>
        </w:rPr>
        <w:t>improve</w:t>
      </w:r>
      <w:r w:rsidR="0007714B" w:rsidRPr="00243F13">
        <w:rPr>
          <w:rFonts w:cs="Calibri"/>
          <w:color w:val="auto"/>
          <w:szCs w:val="22"/>
        </w:rPr>
        <w:t xml:space="preserve"> household incomes and investments.</w:t>
      </w:r>
    </w:p>
    <w:p w14:paraId="39D67BEB" w14:textId="6441F533" w:rsidR="00D9564A" w:rsidRDefault="00D9564A" w:rsidP="00D9564A">
      <w:pPr>
        <w:autoSpaceDE w:val="0"/>
        <w:autoSpaceDN w:val="0"/>
        <w:adjustRightInd w:val="0"/>
        <w:spacing w:after="120"/>
        <w:jc w:val="both"/>
        <w:rPr>
          <w:rFonts w:cs="Calibri"/>
        </w:rPr>
      </w:pPr>
      <w:r>
        <w:rPr>
          <w:rFonts w:eastAsia="Calibri-Bold" w:cs="Calibri-Bold"/>
          <w:b/>
          <w:bCs/>
          <w:color w:val="000000" w:themeColor="text1"/>
        </w:rPr>
        <w:t>Inflation is assumed to remain low</w:t>
      </w:r>
      <w:r w:rsidRPr="000338D4">
        <w:rPr>
          <w:rFonts w:eastAsia="Calibri-Bold" w:cs="Calibri-Bold"/>
          <w:b/>
          <w:bCs/>
          <w:color w:val="000000" w:themeColor="text1"/>
        </w:rPr>
        <w:t>.</w:t>
      </w:r>
      <w:r w:rsidRPr="000338D4">
        <w:rPr>
          <w:rFonts w:cs="Calibri"/>
          <w:color w:val="000000" w:themeColor="text1"/>
        </w:rPr>
        <w:t xml:space="preserve"> </w:t>
      </w:r>
      <w:r w:rsidRPr="00610CA5">
        <w:rPr>
          <w:rFonts w:cs="Calibri"/>
        </w:rPr>
        <w:t xml:space="preserve">Inflation </w:t>
      </w:r>
      <w:r>
        <w:rPr>
          <w:rFonts w:cs="Calibri"/>
        </w:rPr>
        <w:t xml:space="preserve">decline to </w:t>
      </w:r>
      <w:r w:rsidRPr="00610CA5">
        <w:rPr>
          <w:rFonts w:cs="Calibri"/>
        </w:rPr>
        <w:t>about 2.5 percent</w:t>
      </w:r>
      <w:r>
        <w:rPr>
          <w:rFonts w:cs="Calibri"/>
        </w:rPr>
        <w:t xml:space="preserve"> in 2021, from 3 percent in 2020</w:t>
      </w:r>
      <w:r w:rsidRPr="00610CA5">
        <w:rPr>
          <w:rFonts w:cs="Calibri"/>
        </w:rPr>
        <w:t xml:space="preserve">. De facto dollarization continues to provide relative price stability, particularly given Somalia’s dependence on imports. </w:t>
      </w:r>
      <w:r>
        <w:rPr>
          <w:rFonts w:cs="Calibri"/>
        </w:rPr>
        <w:t>In the</w:t>
      </w:r>
      <w:r w:rsidRPr="00610CA5">
        <w:rPr>
          <w:rFonts w:cs="Calibri"/>
        </w:rPr>
        <w:t xml:space="preserve"> baseline scenario </w:t>
      </w:r>
      <w:r>
        <w:rPr>
          <w:rFonts w:cs="Calibri"/>
        </w:rPr>
        <w:t>it is</w:t>
      </w:r>
      <w:r w:rsidRPr="00610CA5">
        <w:rPr>
          <w:rFonts w:cs="Calibri"/>
        </w:rPr>
        <w:t xml:space="preserve"> assume</w:t>
      </w:r>
      <w:r>
        <w:rPr>
          <w:rFonts w:cs="Calibri"/>
        </w:rPr>
        <w:t>d</w:t>
      </w:r>
      <w:r w:rsidRPr="00610CA5">
        <w:rPr>
          <w:rFonts w:cs="Calibri"/>
        </w:rPr>
        <w:t xml:space="preserve"> that growth of the agriculture sector is moderate, reducing domestic inflationary pressure.</w:t>
      </w:r>
    </w:p>
    <w:p w14:paraId="646B5227" w14:textId="230C98E7" w:rsidR="00AF3AAB" w:rsidRDefault="00243F13">
      <w:pPr>
        <w:autoSpaceDE w:val="0"/>
        <w:autoSpaceDN w:val="0"/>
        <w:adjustRightInd w:val="0"/>
        <w:spacing w:after="120"/>
        <w:jc w:val="both"/>
        <w:rPr>
          <w:rFonts w:cs="Calibri"/>
          <w:color w:val="000000"/>
        </w:rPr>
      </w:pPr>
      <w:r>
        <w:rPr>
          <w:rFonts w:eastAsia="Calibri-Bold" w:cs="Calibri-Bold"/>
          <w:b/>
          <w:bCs/>
          <w:color w:val="000000" w:themeColor="text1"/>
        </w:rPr>
        <w:t>The e</w:t>
      </w:r>
      <w:r w:rsidR="00E164B3">
        <w:rPr>
          <w:rFonts w:eastAsia="Calibri-Bold" w:cs="Calibri-Bold"/>
          <w:b/>
          <w:bCs/>
          <w:color w:val="000000" w:themeColor="text1"/>
        </w:rPr>
        <w:t xml:space="preserve">xternal sector will remain </w:t>
      </w:r>
      <w:r w:rsidR="0053615E">
        <w:rPr>
          <w:rFonts w:eastAsia="Calibri-Bold" w:cs="Calibri-Bold"/>
          <w:b/>
          <w:bCs/>
          <w:color w:val="000000" w:themeColor="text1"/>
        </w:rPr>
        <w:t>vulnerable</w:t>
      </w:r>
      <w:r w:rsidR="00E164B3">
        <w:rPr>
          <w:rFonts w:eastAsia="Calibri-Bold" w:cs="Calibri-Bold"/>
          <w:b/>
          <w:bCs/>
          <w:color w:val="000000" w:themeColor="text1"/>
        </w:rPr>
        <w:t xml:space="preserve"> in the medium-term</w:t>
      </w:r>
      <w:r>
        <w:rPr>
          <w:rFonts w:eastAsia="Calibri-Bold" w:cs="Calibri-Bold"/>
          <w:b/>
          <w:bCs/>
          <w:color w:val="000000" w:themeColor="text1"/>
        </w:rPr>
        <w:t>, however</w:t>
      </w:r>
      <w:r w:rsidR="00E164B3">
        <w:rPr>
          <w:rFonts w:eastAsia="Calibri-Bold" w:cs="Calibri-Bold"/>
          <w:b/>
          <w:bCs/>
          <w:color w:val="000000" w:themeColor="text1"/>
        </w:rPr>
        <w:t xml:space="preserve">. </w:t>
      </w:r>
      <w:r w:rsidR="00A73A97" w:rsidRPr="008E6ED9">
        <w:rPr>
          <w:rFonts w:eastAsia="Calibri-Bold" w:cs="Calibri-Bold"/>
          <w:color w:val="000000" w:themeColor="text1"/>
        </w:rPr>
        <w:t>The current account deficit is forecast at 1</w:t>
      </w:r>
      <w:r w:rsidR="009455D7">
        <w:rPr>
          <w:rFonts w:eastAsia="Calibri-Bold" w:cs="Calibri-Bold"/>
          <w:color w:val="000000" w:themeColor="text1"/>
        </w:rPr>
        <w:t>3</w:t>
      </w:r>
      <w:r w:rsidR="00A73A97" w:rsidRPr="008E6ED9">
        <w:rPr>
          <w:rFonts w:eastAsia="Calibri-Bold" w:cs="Calibri-Bold"/>
          <w:color w:val="000000" w:themeColor="text1"/>
        </w:rPr>
        <w:t>.</w:t>
      </w:r>
      <w:r w:rsidR="009455D7">
        <w:rPr>
          <w:rFonts w:eastAsia="Calibri-Bold" w:cs="Calibri-Bold"/>
          <w:color w:val="000000" w:themeColor="text1"/>
        </w:rPr>
        <w:t>1</w:t>
      </w:r>
      <w:r w:rsidR="00B70CCB" w:rsidRPr="008E6ED9">
        <w:rPr>
          <w:rFonts w:eastAsia="Calibri-Bold" w:cs="Calibri-Bold"/>
          <w:color w:val="000000" w:themeColor="text1"/>
        </w:rPr>
        <w:t xml:space="preserve"> </w:t>
      </w:r>
      <w:r w:rsidR="00A73A97" w:rsidRPr="008E6ED9">
        <w:rPr>
          <w:rFonts w:eastAsia="Calibri-Bold" w:cs="Calibri-Bold"/>
          <w:color w:val="000000" w:themeColor="text1"/>
        </w:rPr>
        <w:t>percent of GDP in 202</w:t>
      </w:r>
      <w:r w:rsidR="0029466F" w:rsidRPr="008E6ED9">
        <w:rPr>
          <w:rFonts w:eastAsia="Calibri-Bold" w:cs="Calibri-Bold"/>
          <w:color w:val="000000" w:themeColor="text1"/>
        </w:rPr>
        <w:t>1</w:t>
      </w:r>
      <w:r w:rsidR="00A73A97" w:rsidRPr="008E6ED9">
        <w:rPr>
          <w:rFonts w:eastAsia="Calibri-Bold" w:cs="Calibri-Bold"/>
          <w:color w:val="000000" w:themeColor="text1"/>
        </w:rPr>
        <w:t xml:space="preserve"> and projected to steadily</w:t>
      </w:r>
      <w:r w:rsidR="00B70CCB" w:rsidRPr="008E6ED9">
        <w:rPr>
          <w:rFonts w:eastAsia="Calibri-Bold" w:cs="Calibri-Bold"/>
          <w:color w:val="000000" w:themeColor="text1"/>
        </w:rPr>
        <w:t xml:space="preserve"> </w:t>
      </w:r>
      <w:r w:rsidR="009455D7">
        <w:rPr>
          <w:rFonts w:eastAsia="Calibri-Bold" w:cs="Calibri-Bold"/>
          <w:color w:val="000000" w:themeColor="text1"/>
        </w:rPr>
        <w:t>narrow</w:t>
      </w:r>
      <w:r w:rsidR="00A73A97" w:rsidRPr="008E6ED9">
        <w:rPr>
          <w:rFonts w:eastAsia="Calibri-Bold" w:cs="Calibri-Bold"/>
          <w:color w:val="000000" w:themeColor="text1"/>
        </w:rPr>
        <w:t xml:space="preserve"> over the medium term</w:t>
      </w:r>
      <w:r w:rsidR="0077082E">
        <w:rPr>
          <w:rFonts w:eastAsia="Calibri-Bold" w:cs="Calibri-Bold"/>
          <w:color w:val="000000" w:themeColor="text1"/>
        </w:rPr>
        <w:t>,</w:t>
      </w:r>
      <w:r w:rsidR="0077082E">
        <w:rPr>
          <w:rFonts w:cs="Calibri"/>
          <w:color w:val="000000" w:themeColor="text1"/>
        </w:rPr>
        <w:t xml:space="preserve"> </w:t>
      </w:r>
      <w:r w:rsidR="00AF3AAB" w:rsidRPr="00704C23">
        <w:rPr>
          <w:rFonts w:cs="Calibri"/>
          <w:color w:val="000000" w:themeColor="text1"/>
        </w:rPr>
        <w:t>a</w:t>
      </w:r>
      <w:r w:rsidR="005A5B7D" w:rsidRPr="00704C23">
        <w:rPr>
          <w:rFonts w:cs="Calibri"/>
          <w:color w:val="000000" w:themeColor="text1"/>
        </w:rPr>
        <w:t>t</w:t>
      </w:r>
      <w:r w:rsidR="00AF3AAB" w:rsidRPr="00704C23">
        <w:rPr>
          <w:rFonts w:cs="Calibri"/>
          <w:color w:val="000000" w:themeColor="text1"/>
        </w:rPr>
        <w:t xml:space="preserve"> about 12.</w:t>
      </w:r>
      <w:r w:rsidR="004A724B">
        <w:rPr>
          <w:rFonts w:cs="Calibri"/>
          <w:color w:val="000000" w:themeColor="text1"/>
        </w:rPr>
        <w:t>7</w:t>
      </w:r>
      <w:r w:rsidR="00256256" w:rsidRPr="00704C23">
        <w:rPr>
          <w:rFonts w:cs="Calibri"/>
          <w:color w:val="000000" w:themeColor="text1"/>
        </w:rPr>
        <w:t xml:space="preserve"> and 13.</w:t>
      </w:r>
      <w:r w:rsidR="004E5825">
        <w:rPr>
          <w:rFonts w:cs="Calibri"/>
          <w:color w:val="000000" w:themeColor="text1"/>
        </w:rPr>
        <w:t>0</w:t>
      </w:r>
      <w:r w:rsidR="00256256" w:rsidRPr="00704C23">
        <w:rPr>
          <w:rFonts w:cs="Calibri"/>
          <w:color w:val="000000" w:themeColor="text1"/>
        </w:rPr>
        <w:t xml:space="preserve"> percent of GDP in 2022 and 2023</w:t>
      </w:r>
      <w:r w:rsidR="004E5825">
        <w:rPr>
          <w:rFonts w:cs="Calibri"/>
          <w:color w:val="000000" w:themeColor="text1"/>
        </w:rPr>
        <w:t>. Th</w:t>
      </w:r>
      <w:r w:rsidR="00C94033">
        <w:rPr>
          <w:rFonts w:cs="Calibri"/>
          <w:color w:val="000000" w:themeColor="text1"/>
        </w:rPr>
        <w:t xml:space="preserve">is will be </w:t>
      </w:r>
      <w:r w:rsidR="00AF3AAB" w:rsidRPr="00704C23">
        <w:rPr>
          <w:rFonts w:cs="Calibri"/>
          <w:color w:val="000000" w:themeColor="text1"/>
        </w:rPr>
        <w:t xml:space="preserve">driven by </w:t>
      </w:r>
      <w:r w:rsidR="00403F8A">
        <w:rPr>
          <w:rFonts w:cs="Calibri"/>
          <w:color w:val="000000" w:themeColor="text1"/>
        </w:rPr>
        <w:t xml:space="preserve">Somalia’s </w:t>
      </w:r>
      <w:r w:rsidR="00AF3AAB" w:rsidRPr="00704C23">
        <w:rPr>
          <w:rFonts w:cs="Calibri"/>
          <w:color w:val="000000" w:themeColor="text1"/>
        </w:rPr>
        <w:t>high</w:t>
      </w:r>
      <w:r w:rsidR="00B70CCB" w:rsidRPr="00704C23">
        <w:rPr>
          <w:rFonts w:cs="Calibri"/>
          <w:color w:val="000000" w:themeColor="text1"/>
        </w:rPr>
        <w:t xml:space="preserve"> </w:t>
      </w:r>
      <w:r w:rsidR="00AF3AAB" w:rsidRPr="00704C23">
        <w:rPr>
          <w:rFonts w:cs="Calibri"/>
          <w:color w:val="000000" w:themeColor="text1"/>
        </w:rPr>
        <w:t>import needs</w:t>
      </w:r>
      <w:r w:rsidR="00D32264">
        <w:rPr>
          <w:rFonts w:cs="Calibri"/>
          <w:color w:val="000000" w:themeColor="text1"/>
        </w:rPr>
        <w:t xml:space="preserve">, </w:t>
      </w:r>
      <w:r w:rsidR="00403F8A">
        <w:rPr>
          <w:rFonts w:cs="Calibri"/>
          <w:color w:val="000000" w:themeColor="text1"/>
        </w:rPr>
        <w:t>higher oil prices,</w:t>
      </w:r>
      <w:r w:rsidR="00AF3AAB" w:rsidRPr="00704C23">
        <w:rPr>
          <w:rFonts w:cs="Calibri"/>
          <w:color w:val="000000" w:themeColor="text1"/>
        </w:rPr>
        <w:t xml:space="preserve"> and reflecting the high level of grants</w:t>
      </w:r>
      <w:r w:rsidR="00B70CCB" w:rsidRPr="00704C23">
        <w:rPr>
          <w:rFonts w:cs="Calibri"/>
          <w:color w:val="000000" w:themeColor="text1"/>
        </w:rPr>
        <w:t xml:space="preserve"> </w:t>
      </w:r>
      <w:r w:rsidR="00AF3AAB" w:rsidRPr="00704C23">
        <w:rPr>
          <w:rFonts w:cs="Calibri"/>
          <w:color w:val="000000" w:themeColor="text1"/>
        </w:rPr>
        <w:t xml:space="preserve">and remittances. </w:t>
      </w:r>
      <w:r w:rsidR="00C94033">
        <w:rPr>
          <w:rFonts w:cs="Calibri"/>
          <w:color w:val="000000" w:themeColor="text1"/>
        </w:rPr>
        <w:t>Moreover, t</w:t>
      </w:r>
      <w:r w:rsidR="00AF3AAB" w:rsidRPr="00704C23">
        <w:rPr>
          <w:rFonts w:cs="Calibri"/>
          <w:color w:val="000000" w:themeColor="text1"/>
        </w:rPr>
        <w:t>he import</w:t>
      </w:r>
      <w:r w:rsidR="001F2B74">
        <w:rPr>
          <w:rFonts w:cs="Calibri"/>
          <w:color w:val="000000" w:themeColor="text1"/>
        </w:rPr>
        <w:t xml:space="preserve"> basket</w:t>
      </w:r>
      <w:r w:rsidR="00B70CCB" w:rsidRPr="00704C23">
        <w:rPr>
          <w:rFonts w:cs="Calibri"/>
          <w:color w:val="000000" w:themeColor="text1"/>
        </w:rPr>
        <w:t xml:space="preserve"> </w:t>
      </w:r>
      <w:r w:rsidR="00C94033">
        <w:rPr>
          <w:rFonts w:cs="Calibri"/>
          <w:color w:val="000000" w:themeColor="text1"/>
        </w:rPr>
        <w:t xml:space="preserve">will </w:t>
      </w:r>
      <w:r w:rsidR="00AF3AAB" w:rsidRPr="00704C23">
        <w:rPr>
          <w:rFonts w:cs="Calibri"/>
          <w:color w:val="000000" w:themeColor="text1"/>
        </w:rPr>
        <w:t xml:space="preserve">gradually </w:t>
      </w:r>
      <w:r w:rsidR="001F2B74">
        <w:rPr>
          <w:rFonts w:cs="Calibri"/>
          <w:color w:val="000000" w:themeColor="text1"/>
        </w:rPr>
        <w:t>include a greater share of</w:t>
      </w:r>
      <w:r w:rsidR="00AF3AAB" w:rsidRPr="00704C23">
        <w:rPr>
          <w:rFonts w:cs="Calibri"/>
          <w:color w:val="000000" w:themeColor="text1"/>
        </w:rPr>
        <w:t xml:space="preserve"> </w:t>
      </w:r>
      <w:r w:rsidR="00B70CCB" w:rsidRPr="00704C23">
        <w:rPr>
          <w:rFonts w:cs="Calibri"/>
          <w:color w:val="000000" w:themeColor="text1"/>
        </w:rPr>
        <w:t>i</w:t>
      </w:r>
      <w:r w:rsidR="00AF3AAB" w:rsidRPr="00704C23">
        <w:rPr>
          <w:rFonts w:cs="Calibri"/>
          <w:color w:val="000000" w:themeColor="text1"/>
        </w:rPr>
        <w:t>nvestment goods</w:t>
      </w:r>
      <w:r w:rsidR="00B70CCB" w:rsidRPr="00704C23">
        <w:rPr>
          <w:rFonts w:cs="Calibri"/>
          <w:color w:val="000000" w:themeColor="text1"/>
        </w:rPr>
        <w:t xml:space="preserve"> </w:t>
      </w:r>
      <w:r w:rsidR="00AF3AAB" w:rsidRPr="00704C23">
        <w:rPr>
          <w:rFonts w:cs="Calibri"/>
          <w:color w:val="000000" w:themeColor="text1"/>
        </w:rPr>
        <w:t xml:space="preserve">as recovery picks up. </w:t>
      </w:r>
      <w:r w:rsidR="00DD64E4">
        <w:rPr>
          <w:rFonts w:cs="Calibri"/>
          <w:color w:val="000000" w:themeColor="text1"/>
        </w:rPr>
        <w:t xml:space="preserve">Nonetheless, </w:t>
      </w:r>
      <w:r w:rsidR="000D7A68">
        <w:rPr>
          <w:rFonts w:cs="Calibri"/>
          <w:color w:val="000000" w:themeColor="text1"/>
        </w:rPr>
        <w:t>s</w:t>
      </w:r>
      <w:r w:rsidR="00C94033" w:rsidRPr="00704C23">
        <w:rPr>
          <w:rFonts w:cs="Calibri"/>
          <w:color w:val="000000" w:themeColor="text1"/>
        </w:rPr>
        <w:t>tronger</w:t>
      </w:r>
      <w:r w:rsidR="00C94033">
        <w:rPr>
          <w:rFonts w:cs="Calibri"/>
          <w:color w:val="000000" w:themeColor="text1"/>
        </w:rPr>
        <w:t xml:space="preserve"> </w:t>
      </w:r>
      <w:r w:rsidR="00C94033" w:rsidRPr="00704C23">
        <w:rPr>
          <w:rFonts w:cs="Calibri"/>
          <w:color w:val="000000" w:themeColor="text1"/>
        </w:rPr>
        <w:t>export</w:t>
      </w:r>
      <w:r w:rsidR="00A33095">
        <w:rPr>
          <w:rFonts w:cs="Calibri"/>
          <w:color w:val="000000" w:themeColor="text1"/>
        </w:rPr>
        <w:t>s</w:t>
      </w:r>
      <w:r w:rsidR="00C94033" w:rsidRPr="00704C23">
        <w:rPr>
          <w:rFonts w:cs="Calibri"/>
          <w:color w:val="000000" w:themeColor="text1"/>
        </w:rPr>
        <w:t xml:space="preserve"> </w:t>
      </w:r>
      <w:r w:rsidR="0053615E">
        <w:rPr>
          <w:rFonts w:cs="Calibri"/>
          <w:color w:val="000000" w:themeColor="text1"/>
        </w:rPr>
        <w:t>demand</w:t>
      </w:r>
      <w:r w:rsidR="000D7A68">
        <w:rPr>
          <w:rFonts w:cs="Calibri"/>
          <w:color w:val="000000" w:themeColor="text1"/>
        </w:rPr>
        <w:t xml:space="preserve"> </w:t>
      </w:r>
      <w:r w:rsidR="000D7A68" w:rsidRPr="00704C23">
        <w:rPr>
          <w:rFonts w:cs="Calibri"/>
          <w:color w:val="000000" w:themeColor="text1"/>
        </w:rPr>
        <w:t xml:space="preserve">amid </w:t>
      </w:r>
      <w:r w:rsidR="000D7A68">
        <w:rPr>
          <w:rFonts w:cs="Calibri"/>
          <w:color w:val="000000" w:themeColor="text1"/>
        </w:rPr>
        <w:t>improved</w:t>
      </w:r>
      <w:r w:rsidR="000D7A68" w:rsidRPr="00704C23">
        <w:rPr>
          <w:rFonts w:cs="Calibri"/>
          <w:color w:val="000000" w:themeColor="text1"/>
        </w:rPr>
        <w:t xml:space="preserve"> economic activity and </w:t>
      </w:r>
      <w:r w:rsidR="003207BA">
        <w:rPr>
          <w:rFonts w:cs="Calibri"/>
          <w:color w:val="000000" w:themeColor="text1"/>
        </w:rPr>
        <w:t xml:space="preserve">global </w:t>
      </w:r>
      <w:r w:rsidR="000D7A68" w:rsidRPr="00704C23">
        <w:rPr>
          <w:rFonts w:cs="Calibri"/>
          <w:color w:val="000000" w:themeColor="text1"/>
        </w:rPr>
        <w:t>environment</w:t>
      </w:r>
      <w:r w:rsidR="00AF3AAB" w:rsidRPr="00704C23">
        <w:rPr>
          <w:rFonts w:cs="Calibri"/>
          <w:color w:val="000000" w:themeColor="text1"/>
        </w:rPr>
        <w:t xml:space="preserve">, </w:t>
      </w:r>
      <w:r w:rsidR="003207BA">
        <w:rPr>
          <w:rFonts w:cs="Calibri"/>
          <w:color w:val="000000" w:themeColor="text1"/>
        </w:rPr>
        <w:t>can ease</w:t>
      </w:r>
      <w:r w:rsidR="00E200DE">
        <w:rPr>
          <w:rFonts w:cs="Calibri"/>
          <w:color w:val="000000" w:themeColor="text1"/>
        </w:rPr>
        <w:t xml:space="preserve"> external vulnerability</w:t>
      </w:r>
      <w:r w:rsidR="00AF3AAB" w:rsidRPr="00704C23">
        <w:rPr>
          <w:rFonts w:cs="Calibri"/>
          <w:color w:val="000000"/>
        </w:rPr>
        <w:t>.</w:t>
      </w:r>
    </w:p>
    <w:p w14:paraId="099D7443" w14:textId="182D0032" w:rsidR="00A73A97" w:rsidRPr="008E6ED9" w:rsidRDefault="00F31F59" w:rsidP="008E6ED9">
      <w:pPr>
        <w:pStyle w:val="Heading2"/>
        <w:spacing w:before="120" w:after="120"/>
      </w:pPr>
      <w:bookmarkStart w:id="97" w:name="_Toc71725898"/>
      <w:r w:rsidRPr="008E6ED9">
        <w:t>Risks to the outlook are mainly on the downside</w:t>
      </w:r>
      <w:bookmarkEnd w:id="97"/>
    </w:p>
    <w:p w14:paraId="104B4BAB" w14:textId="1895CC43" w:rsidR="004E5301" w:rsidRPr="004E5301" w:rsidRDefault="008F4CC6" w:rsidP="004E5301">
      <w:pPr>
        <w:autoSpaceDE w:val="0"/>
        <w:autoSpaceDN w:val="0"/>
        <w:adjustRightInd w:val="0"/>
        <w:spacing w:after="120"/>
        <w:jc w:val="both"/>
        <w:rPr>
          <w:rFonts w:eastAsia="Calibri-Bold" w:cs="Calibri"/>
          <w:color w:val="000000"/>
        </w:rPr>
      </w:pPr>
      <w:r>
        <w:rPr>
          <w:rFonts w:cs="Palatino-Roman"/>
        </w:rPr>
        <w:t>The m</w:t>
      </w:r>
      <w:r w:rsidR="001312DB">
        <w:rPr>
          <w:rFonts w:cs="Palatino-Roman"/>
        </w:rPr>
        <w:t>edium</w:t>
      </w:r>
      <w:r>
        <w:rPr>
          <w:rFonts w:cs="Palatino-Roman"/>
        </w:rPr>
        <w:t>-term</w:t>
      </w:r>
      <w:r w:rsidR="004E5301" w:rsidRPr="004E5301">
        <w:rPr>
          <w:rFonts w:cs="Palatino-Roman"/>
        </w:rPr>
        <w:t xml:space="preserve"> outlook remains highly uncertain and will continue to be </w:t>
      </w:r>
      <w:r w:rsidR="00243F13">
        <w:rPr>
          <w:rFonts w:cs="Palatino-Roman"/>
        </w:rPr>
        <w:t>subject to risks from</w:t>
      </w:r>
      <w:r w:rsidR="004E5301" w:rsidRPr="004E5301">
        <w:rPr>
          <w:rFonts w:eastAsia="Calibri-Bold" w:cs="Calibri"/>
          <w:color w:val="000000"/>
        </w:rPr>
        <w:t xml:space="preserve"> political uncertainty related to the upcoming elections, </w:t>
      </w:r>
      <w:r w:rsidR="00243F13">
        <w:rPr>
          <w:rFonts w:eastAsia="Calibri-Bold" w:cs="Calibri"/>
          <w:color w:val="000000"/>
        </w:rPr>
        <w:t xml:space="preserve">possible </w:t>
      </w:r>
      <w:r w:rsidR="004E5301" w:rsidRPr="004E5301">
        <w:rPr>
          <w:rFonts w:eastAsia="Calibri-Bold" w:cs="Calibri"/>
          <w:color w:val="000000"/>
        </w:rPr>
        <w:t xml:space="preserve">deterioration of the security </w:t>
      </w:r>
      <w:r w:rsidR="0053615E" w:rsidRPr="004E5301">
        <w:rPr>
          <w:rFonts w:eastAsia="Calibri-Bold" w:cs="Calibri"/>
          <w:color w:val="000000"/>
        </w:rPr>
        <w:t>situation, lingering</w:t>
      </w:r>
      <w:r w:rsidR="00E4563B">
        <w:rPr>
          <w:rFonts w:eastAsia="Calibri-Bold" w:cs="Calibri"/>
          <w:color w:val="000000"/>
        </w:rPr>
        <w:t xml:space="preserve"> impacts of</w:t>
      </w:r>
      <w:r>
        <w:rPr>
          <w:rFonts w:eastAsia="Calibri-Bold" w:cs="Calibri"/>
          <w:color w:val="000000"/>
        </w:rPr>
        <w:t xml:space="preserve"> COVID-19 crisis</w:t>
      </w:r>
      <w:r w:rsidR="004E5301" w:rsidRPr="004E5301">
        <w:rPr>
          <w:rFonts w:eastAsia="Calibri-Bold" w:cs="Calibri"/>
          <w:color w:val="000000"/>
        </w:rPr>
        <w:t xml:space="preserve">, and climate-related shocks. These risks can impede economic activity and </w:t>
      </w:r>
      <w:r w:rsidR="00C475A2">
        <w:rPr>
          <w:rFonts w:eastAsia="Calibri-Bold" w:cs="Calibri"/>
          <w:color w:val="000000"/>
        </w:rPr>
        <w:t xml:space="preserve">reverse </w:t>
      </w:r>
      <w:r w:rsidR="00243F13">
        <w:rPr>
          <w:rFonts w:eastAsia="Calibri-Bold" w:cs="Calibri"/>
          <w:color w:val="000000"/>
        </w:rPr>
        <w:t xml:space="preserve">the </w:t>
      </w:r>
      <w:r w:rsidR="00C475A2">
        <w:rPr>
          <w:rFonts w:eastAsia="Calibri-Bold" w:cs="Calibri"/>
          <w:color w:val="000000"/>
        </w:rPr>
        <w:t>growth recovery</w:t>
      </w:r>
      <w:r w:rsidR="00243F13">
        <w:rPr>
          <w:rFonts w:eastAsia="Calibri-Bold" w:cs="Calibri"/>
          <w:color w:val="000000"/>
        </w:rPr>
        <w:t xml:space="preserve"> in the baseline scenario</w:t>
      </w:r>
      <w:r w:rsidR="004E5301" w:rsidRPr="004E5301">
        <w:rPr>
          <w:rFonts w:eastAsia="Calibri-Bold" w:cs="Calibri"/>
          <w:color w:val="000000"/>
        </w:rPr>
        <w:t>.</w:t>
      </w:r>
    </w:p>
    <w:p w14:paraId="33A28AF5" w14:textId="093E4C1E" w:rsidR="004E5301" w:rsidRPr="004E5301" w:rsidRDefault="00AE3A92" w:rsidP="004E5301">
      <w:pPr>
        <w:autoSpaceDE w:val="0"/>
        <w:autoSpaceDN w:val="0"/>
        <w:adjustRightInd w:val="0"/>
        <w:spacing w:after="120"/>
        <w:jc w:val="both"/>
        <w:rPr>
          <w:rFonts w:ascii="Calibri" w:eastAsia="Calibri-Bold" w:hAnsi="Calibri" w:cs="Calibri"/>
          <w:color w:val="000000"/>
        </w:rPr>
      </w:pPr>
      <w:r>
        <w:rPr>
          <w:rFonts w:eastAsia="Calibri-Bold" w:cs="Calibri-Bold"/>
          <w:b/>
          <w:bCs/>
          <w:color w:val="000000" w:themeColor="text1"/>
        </w:rPr>
        <w:t xml:space="preserve">Somalia political environment remains uncertain. </w:t>
      </w:r>
      <w:r w:rsidR="005B4251" w:rsidRPr="004E5301">
        <w:rPr>
          <w:rFonts w:eastAsia="Calibri-Bold" w:cs="Calibri-Bold"/>
          <w:color w:val="000000" w:themeColor="text1"/>
        </w:rPr>
        <w:t xml:space="preserve">The </w:t>
      </w:r>
      <w:r w:rsidR="005B4251">
        <w:rPr>
          <w:rFonts w:eastAsia="Calibri-Bold" w:cs="Calibri-Bold"/>
          <w:color w:val="000000" w:themeColor="text1"/>
        </w:rPr>
        <w:t xml:space="preserve">general </w:t>
      </w:r>
      <w:r w:rsidR="005B4251" w:rsidRPr="004E5301">
        <w:rPr>
          <w:rFonts w:eastAsia="Calibri-Bold" w:cs="Calibri-Bold"/>
          <w:color w:val="000000" w:themeColor="text1"/>
        </w:rPr>
        <w:t>elections were to be held early 2021</w:t>
      </w:r>
      <w:r w:rsidR="005B4251" w:rsidRPr="005B4251">
        <w:rPr>
          <w:rFonts w:eastAsia="Calibri-Bold" w:cs="Calibri-Bold"/>
          <w:color w:val="000000" w:themeColor="text1"/>
        </w:rPr>
        <w:t xml:space="preserve"> </w:t>
      </w:r>
      <w:r w:rsidR="005B4251">
        <w:rPr>
          <w:rFonts w:eastAsia="Calibri-Bold" w:cs="Calibri-Bold"/>
          <w:color w:val="000000" w:themeColor="text1"/>
        </w:rPr>
        <w:t>(before the expiry of the current administration’s term on</w:t>
      </w:r>
      <w:r w:rsidR="00A651AC">
        <w:rPr>
          <w:rFonts w:eastAsia="Calibri-Bold" w:cs="Calibri-Bold"/>
          <w:color w:val="000000" w:themeColor="text1"/>
        </w:rPr>
        <w:t xml:space="preserve"> </w:t>
      </w:r>
      <w:r w:rsidR="005B4251">
        <w:rPr>
          <w:rFonts w:eastAsia="Calibri-Bold" w:cs="Calibri-Bold"/>
          <w:color w:val="000000" w:themeColor="text1"/>
        </w:rPr>
        <w:t>February</w:t>
      </w:r>
      <w:r w:rsidR="00A651AC">
        <w:rPr>
          <w:rFonts w:eastAsia="Calibri-Bold" w:cs="Calibri-Bold"/>
          <w:color w:val="000000" w:themeColor="text1"/>
        </w:rPr>
        <w:t xml:space="preserve"> </w:t>
      </w:r>
      <w:r w:rsidR="005B4251">
        <w:rPr>
          <w:rFonts w:eastAsia="Calibri-Bold" w:cs="Calibri-Bold"/>
          <w:color w:val="000000" w:themeColor="text1"/>
        </w:rPr>
        <w:t xml:space="preserve">8, 2021) </w:t>
      </w:r>
      <w:r w:rsidR="005B4251" w:rsidRPr="004E5301">
        <w:rPr>
          <w:rFonts w:eastAsia="Calibri-Bold" w:cs="Calibri-Bold"/>
          <w:color w:val="000000" w:themeColor="text1"/>
        </w:rPr>
        <w:t>in accordance with the Provisional Federal Constitution</w:t>
      </w:r>
      <w:r w:rsidR="005B4251">
        <w:rPr>
          <w:rFonts w:eastAsia="Calibri-Bold" w:cs="Calibri-Bold"/>
          <w:color w:val="000000" w:themeColor="text1"/>
        </w:rPr>
        <w:t>.</w:t>
      </w:r>
      <w:r w:rsidR="003607F9">
        <w:rPr>
          <w:rFonts w:eastAsia="Calibri-Bold" w:cs="Calibri-Bold"/>
          <w:color w:val="000000" w:themeColor="text1"/>
        </w:rPr>
        <w:t xml:space="preserve"> </w:t>
      </w:r>
      <w:r w:rsidR="002B2552">
        <w:rPr>
          <w:rFonts w:eastAsia="Calibri-Bold" w:cs="Calibri-Bold"/>
          <w:color w:val="000000" w:themeColor="text1"/>
        </w:rPr>
        <w:t xml:space="preserve">However, </w:t>
      </w:r>
      <w:r w:rsidR="0053615E">
        <w:rPr>
          <w:rFonts w:eastAsia="Calibri-Bold" w:cs="Calibri-Bold"/>
          <w:color w:val="000000" w:themeColor="text1"/>
        </w:rPr>
        <w:t xml:space="preserve">the </w:t>
      </w:r>
      <w:r w:rsidR="00DB2DA8">
        <w:rPr>
          <w:rFonts w:eastAsia="Calibri-Bold" w:cs="Calibri-Bold"/>
          <w:color w:val="000000" w:themeColor="text1"/>
        </w:rPr>
        <w:t>dis</w:t>
      </w:r>
      <w:r w:rsidR="00BE3D8A">
        <w:rPr>
          <w:rFonts w:eastAsia="Calibri-Bold" w:cs="Calibri-Bold"/>
          <w:color w:val="000000" w:themeColor="text1"/>
        </w:rPr>
        <w:t xml:space="preserve">agreements among </w:t>
      </w:r>
      <w:r w:rsidR="0046198F">
        <w:rPr>
          <w:rFonts w:eastAsia="Calibri-Bold" w:cs="Calibri-Bold"/>
          <w:color w:val="000000" w:themeColor="text1"/>
        </w:rPr>
        <w:t xml:space="preserve">political actors </w:t>
      </w:r>
      <w:r w:rsidR="00BE3D8A">
        <w:rPr>
          <w:rFonts w:eastAsia="Calibri-Bold" w:cs="Calibri-Bold"/>
          <w:color w:val="000000" w:themeColor="text1"/>
        </w:rPr>
        <w:t xml:space="preserve">have delayed </w:t>
      </w:r>
      <w:r w:rsidR="0046198F">
        <w:rPr>
          <w:rFonts w:eastAsia="Calibri-Bold" w:cs="Calibri-Bold"/>
          <w:color w:val="000000" w:themeColor="text1"/>
        </w:rPr>
        <w:t>the elections</w:t>
      </w:r>
      <w:r w:rsidR="00DD5E1E">
        <w:rPr>
          <w:rFonts w:eastAsia="Calibri-Bold" w:cs="Calibri-Bold"/>
          <w:color w:val="000000" w:themeColor="text1"/>
        </w:rPr>
        <w:t xml:space="preserve"> and </w:t>
      </w:r>
      <w:r w:rsidR="00D81FF8">
        <w:rPr>
          <w:rFonts w:eastAsia="Calibri-Bold" w:cs="Calibri-Bold"/>
          <w:color w:val="000000" w:themeColor="text1"/>
        </w:rPr>
        <w:t xml:space="preserve">raised political </w:t>
      </w:r>
      <w:r w:rsidR="001F2B74">
        <w:rPr>
          <w:rFonts w:eastAsia="Calibri-Bold" w:cs="Calibri-Bold"/>
          <w:color w:val="000000" w:themeColor="text1"/>
        </w:rPr>
        <w:t>divisions</w:t>
      </w:r>
      <w:r w:rsidR="00D81FF8">
        <w:rPr>
          <w:rFonts w:eastAsia="Calibri-Bold" w:cs="Calibri-Bold"/>
          <w:color w:val="000000" w:themeColor="text1"/>
        </w:rPr>
        <w:t xml:space="preserve"> across Somalia with </w:t>
      </w:r>
      <w:r w:rsidR="00A55C9A">
        <w:rPr>
          <w:rFonts w:eastAsia="Calibri-Bold" w:cs="Calibri-Bold"/>
          <w:color w:val="000000" w:themeColor="text1"/>
        </w:rPr>
        <w:t xml:space="preserve">increasing </w:t>
      </w:r>
      <w:r w:rsidR="00D81FF8">
        <w:rPr>
          <w:rFonts w:eastAsia="Calibri-Bold" w:cs="Calibri-Bold"/>
          <w:color w:val="000000" w:themeColor="text1"/>
        </w:rPr>
        <w:t xml:space="preserve">tensions </w:t>
      </w:r>
      <w:r w:rsidR="00603149">
        <w:rPr>
          <w:rFonts w:eastAsia="Calibri-Bold" w:cs="Calibri-Bold"/>
          <w:color w:val="000000" w:themeColor="text1"/>
        </w:rPr>
        <w:t>and insurgenc</w:t>
      </w:r>
      <w:r w:rsidR="003D4A04">
        <w:rPr>
          <w:rFonts w:eastAsia="Calibri-Bold" w:cs="Calibri-Bold"/>
          <w:color w:val="000000" w:themeColor="text1"/>
        </w:rPr>
        <w:t>e</w:t>
      </w:r>
      <w:r w:rsidR="00603149">
        <w:rPr>
          <w:rFonts w:eastAsia="Calibri-Bold" w:cs="Calibri-Bold"/>
          <w:color w:val="000000" w:themeColor="text1"/>
        </w:rPr>
        <w:t xml:space="preserve"> activities.</w:t>
      </w:r>
      <w:r w:rsidR="004725B3">
        <w:rPr>
          <w:rFonts w:eastAsia="Calibri-Bold" w:cs="Calibri-Bold"/>
          <w:color w:val="000000" w:themeColor="text1"/>
        </w:rPr>
        <w:t xml:space="preserve"> Hence, the current political climate could reverse </w:t>
      </w:r>
      <w:r w:rsidR="004E5301" w:rsidRPr="004E5301">
        <w:rPr>
          <w:rFonts w:ascii="Calibri" w:eastAsia="Calibri-Bold" w:hAnsi="Calibri" w:cs="Calibri"/>
          <w:color w:val="000000"/>
        </w:rPr>
        <w:t xml:space="preserve">the steady progress </w:t>
      </w:r>
      <w:r w:rsidR="004725B3">
        <w:rPr>
          <w:rFonts w:ascii="Calibri" w:eastAsia="Calibri-Bold" w:hAnsi="Calibri" w:cs="Calibri"/>
          <w:color w:val="000000"/>
        </w:rPr>
        <w:t xml:space="preserve">and reform momentum </w:t>
      </w:r>
      <w:r w:rsidR="004E5301" w:rsidRPr="004E5301">
        <w:rPr>
          <w:rFonts w:ascii="Calibri" w:eastAsia="Calibri-Bold" w:hAnsi="Calibri" w:cs="Calibri"/>
          <w:color w:val="000000"/>
        </w:rPr>
        <w:t xml:space="preserve">that </w:t>
      </w:r>
      <w:r w:rsidR="00D16E43">
        <w:rPr>
          <w:rFonts w:ascii="Calibri" w:eastAsia="Calibri-Bold" w:hAnsi="Calibri" w:cs="Calibri"/>
          <w:color w:val="000000"/>
        </w:rPr>
        <w:t xml:space="preserve">the country has </w:t>
      </w:r>
      <w:r w:rsidR="00165AC8">
        <w:rPr>
          <w:rFonts w:ascii="Calibri" w:eastAsia="Calibri-Bold" w:hAnsi="Calibri" w:cs="Calibri"/>
          <w:color w:val="000000"/>
        </w:rPr>
        <w:t xml:space="preserve">achieved </w:t>
      </w:r>
      <w:r w:rsidR="004E5301" w:rsidRPr="004E5301">
        <w:rPr>
          <w:rFonts w:ascii="Calibri" w:eastAsia="Calibri-Bold" w:hAnsi="Calibri" w:cs="Calibri"/>
          <w:color w:val="000000"/>
        </w:rPr>
        <w:t>since 2012</w:t>
      </w:r>
      <w:r w:rsidR="00165AC8">
        <w:rPr>
          <w:rFonts w:ascii="Calibri" w:eastAsia="Calibri-Bold" w:hAnsi="Calibri" w:cs="Calibri"/>
          <w:color w:val="000000"/>
        </w:rPr>
        <w:t>.</w:t>
      </w:r>
      <w:r w:rsidR="003E75D5">
        <w:rPr>
          <w:rFonts w:ascii="Calibri" w:eastAsia="Calibri-Bold" w:hAnsi="Calibri" w:cs="Calibri"/>
          <w:color w:val="000000"/>
        </w:rPr>
        <w:t xml:space="preserve"> </w:t>
      </w:r>
      <w:r w:rsidR="004E5301" w:rsidRPr="004E5301">
        <w:t>If agreements on electoral modalities are further protracted</w:t>
      </w:r>
      <w:r w:rsidR="00243F13">
        <w:t>,</w:t>
      </w:r>
      <w:r w:rsidR="004E5301" w:rsidRPr="004E5301">
        <w:t xml:space="preserve"> there may be waning support from the international community to provide official development assistance at levels</w:t>
      </w:r>
      <w:r w:rsidR="00243F13" w:rsidRPr="00243F13">
        <w:t xml:space="preserve"> </w:t>
      </w:r>
      <w:r w:rsidR="00243F13" w:rsidRPr="004E5301">
        <w:t>comparable</w:t>
      </w:r>
      <w:r w:rsidR="00243F13">
        <w:t xml:space="preserve"> to 2019 and 2020</w:t>
      </w:r>
      <w:r w:rsidR="004E5301" w:rsidRPr="004E5301">
        <w:t xml:space="preserve">. </w:t>
      </w:r>
      <w:r w:rsidR="004E5301" w:rsidRPr="004E5301">
        <w:rPr>
          <w:rFonts w:cs="Palatino-Roman"/>
        </w:rPr>
        <w:t>Growth in 2021 may be weaker if external financing conditions tighten</w:t>
      </w:r>
      <w:r w:rsidR="006C4FF2">
        <w:rPr>
          <w:rFonts w:cs="Palatino-Roman"/>
        </w:rPr>
        <w:t xml:space="preserve"> and political </w:t>
      </w:r>
      <w:r w:rsidR="004E5301" w:rsidRPr="004E5301">
        <w:rPr>
          <w:rFonts w:cs="Palatino-Roman"/>
        </w:rPr>
        <w:t>tensions escalate</w:t>
      </w:r>
      <w:r w:rsidR="006C4FF2">
        <w:rPr>
          <w:rFonts w:cs="Palatino-Roman"/>
        </w:rPr>
        <w:t>.</w:t>
      </w:r>
    </w:p>
    <w:p w14:paraId="7DB99671" w14:textId="09AFD471" w:rsidR="004E5301" w:rsidRPr="004E5301" w:rsidRDefault="004E5301" w:rsidP="004E5301">
      <w:pPr>
        <w:autoSpaceDE w:val="0"/>
        <w:autoSpaceDN w:val="0"/>
        <w:adjustRightInd w:val="0"/>
        <w:spacing w:after="120"/>
        <w:jc w:val="both"/>
        <w:rPr>
          <w:rFonts w:eastAsia="Calibri-Bold" w:cs="Calibri"/>
        </w:rPr>
      </w:pPr>
      <w:r w:rsidRPr="004E5301">
        <w:rPr>
          <w:rFonts w:eastAsia="Calibri-Bold" w:cs="Calibri-Bold"/>
          <w:b/>
          <w:bCs/>
          <w:color w:val="000000" w:themeColor="text1"/>
        </w:rPr>
        <w:t xml:space="preserve">The ongoing insurgency in Somalia is delaying and dampening growth prospects. </w:t>
      </w:r>
      <w:r w:rsidRPr="004E5301">
        <w:rPr>
          <w:rFonts w:eastAsia="Calibri-Bold" w:cs="Calibri"/>
          <w:color w:val="000000"/>
        </w:rPr>
        <w:t xml:space="preserve">Although Somalia’s economy remains stable, simmering conflict continues to pose risk to economic activity. </w:t>
      </w:r>
      <w:r w:rsidR="006C4FF2">
        <w:rPr>
          <w:rFonts w:eastAsia="Calibri-Bold" w:cs="Calibri"/>
          <w:color w:val="000000"/>
        </w:rPr>
        <w:t>Terrorism attac</w:t>
      </w:r>
      <w:r w:rsidR="007550AD">
        <w:rPr>
          <w:rFonts w:eastAsia="Calibri-Bold" w:cs="Calibri"/>
          <w:color w:val="000000"/>
        </w:rPr>
        <w:t xml:space="preserve">ks by </w:t>
      </w:r>
      <w:r w:rsidRPr="004E5301">
        <w:rPr>
          <w:rFonts w:eastAsia="Calibri-Bold" w:cs="Calibri"/>
          <w:color w:val="000000"/>
        </w:rPr>
        <w:t xml:space="preserve">Al </w:t>
      </w:r>
      <w:proofErr w:type="spellStart"/>
      <w:r w:rsidRPr="004E5301">
        <w:rPr>
          <w:rFonts w:eastAsia="Calibri-Bold" w:cs="Calibri"/>
          <w:color w:val="000000"/>
        </w:rPr>
        <w:t>Shabaab</w:t>
      </w:r>
      <w:proofErr w:type="spellEnd"/>
      <w:r w:rsidRPr="004E5301">
        <w:rPr>
          <w:rFonts w:eastAsia="Calibri-Bold" w:cs="Calibri"/>
          <w:color w:val="000000"/>
        </w:rPr>
        <w:t xml:space="preserve"> continue to threaten security</w:t>
      </w:r>
      <w:r w:rsidR="007550AD">
        <w:rPr>
          <w:rFonts w:eastAsia="Calibri-Bold" w:cs="Calibri"/>
          <w:color w:val="000000"/>
        </w:rPr>
        <w:t xml:space="preserve"> situation in Somalia</w:t>
      </w:r>
      <w:r w:rsidRPr="004E5301">
        <w:rPr>
          <w:rFonts w:eastAsia="Calibri-Bold" w:cs="Calibri"/>
          <w:color w:val="000000"/>
        </w:rPr>
        <w:t xml:space="preserve"> and may </w:t>
      </w:r>
      <w:r w:rsidR="007550AD">
        <w:rPr>
          <w:rFonts w:eastAsia="Calibri-Bold" w:cs="Calibri"/>
          <w:color w:val="000000"/>
        </w:rPr>
        <w:t xml:space="preserve">be heighten by the </w:t>
      </w:r>
      <w:r w:rsidR="009D18B2">
        <w:rPr>
          <w:rFonts w:eastAsia="Calibri-Bold" w:cs="Calibri"/>
          <w:color w:val="000000"/>
        </w:rPr>
        <w:t xml:space="preserve">current </w:t>
      </w:r>
      <w:r w:rsidRPr="004E5301">
        <w:rPr>
          <w:rFonts w:eastAsia="Calibri-Bold" w:cs="Calibri"/>
          <w:color w:val="000000"/>
        </w:rPr>
        <w:t xml:space="preserve">political </w:t>
      </w:r>
      <w:r w:rsidR="009D18B2">
        <w:rPr>
          <w:rFonts w:eastAsia="Calibri-Bold" w:cs="Calibri"/>
          <w:color w:val="000000"/>
        </w:rPr>
        <w:t>environment</w:t>
      </w:r>
      <w:r w:rsidRPr="004E5301">
        <w:rPr>
          <w:rFonts w:eastAsia="Calibri-Bold" w:cs="Calibri"/>
          <w:color w:val="000000"/>
        </w:rPr>
        <w:t>. Terrorist activities have scared away both domestic and foreign potential investors and tilted FGS priority spending toward</w:t>
      </w:r>
      <w:r w:rsidR="009D18B2">
        <w:rPr>
          <w:rFonts w:eastAsia="Calibri-Bold" w:cs="Calibri"/>
          <w:color w:val="000000"/>
        </w:rPr>
        <w:t>s</w:t>
      </w:r>
      <w:r w:rsidRPr="004E5301">
        <w:rPr>
          <w:rFonts w:eastAsia="Calibri-Bold" w:cs="Calibri"/>
          <w:color w:val="000000"/>
        </w:rPr>
        <w:t xml:space="preserve"> security.</w:t>
      </w:r>
    </w:p>
    <w:p w14:paraId="53CD6B27" w14:textId="3CBB52ED" w:rsidR="004E5301" w:rsidRPr="004E5301" w:rsidRDefault="009D18B2" w:rsidP="004E5301">
      <w:pPr>
        <w:autoSpaceDE w:val="0"/>
        <w:autoSpaceDN w:val="0"/>
        <w:adjustRightInd w:val="0"/>
        <w:spacing w:after="120"/>
        <w:jc w:val="both"/>
        <w:rPr>
          <w:rFonts w:eastAsia="Calibri-Bold" w:cs="Calibri"/>
          <w:color w:val="000000" w:themeColor="text1"/>
        </w:rPr>
      </w:pPr>
      <w:r>
        <w:rPr>
          <w:rFonts w:eastAsia="Calibri-Bold" w:cs="Calibri-Bold"/>
          <w:b/>
          <w:bCs/>
          <w:color w:val="000000" w:themeColor="text1"/>
        </w:rPr>
        <w:t xml:space="preserve">Weather-related </w:t>
      </w:r>
      <w:r w:rsidR="004E5301" w:rsidRPr="004E5301">
        <w:rPr>
          <w:rFonts w:eastAsia="Calibri-Bold" w:cs="Calibri-Bold"/>
          <w:b/>
          <w:bCs/>
          <w:color w:val="000000" w:themeColor="text1"/>
        </w:rPr>
        <w:t xml:space="preserve">shocks add more risks to the outlook. </w:t>
      </w:r>
      <w:r w:rsidR="004E5301" w:rsidRPr="004E5301">
        <w:rPr>
          <w:rFonts w:eastAsia="Calibri-Bold" w:cs="Calibri"/>
          <w:color w:val="000000" w:themeColor="text1"/>
        </w:rPr>
        <w:t>Weather and climatic shocks could lower agricultural output (both</w:t>
      </w:r>
      <w:r>
        <w:rPr>
          <w:rFonts w:eastAsia="Calibri-Bold" w:cs="Calibri"/>
          <w:color w:val="000000" w:themeColor="text1"/>
        </w:rPr>
        <w:t xml:space="preserve"> </w:t>
      </w:r>
      <w:r w:rsidR="004E5301" w:rsidRPr="004E5301">
        <w:rPr>
          <w:rFonts w:eastAsia="Calibri-Bold" w:cs="Calibri"/>
          <w:color w:val="000000" w:themeColor="text1"/>
        </w:rPr>
        <w:t xml:space="preserve">crops and livestock), exacerbate water stress, and increase Somalia’s humanitarian needs. Higher oil prices could hurt Somalia’s economic prospects by increasing its import bill and worsening its already </w:t>
      </w:r>
      <w:r>
        <w:rPr>
          <w:rFonts w:eastAsia="Calibri-Bold" w:cs="Calibri"/>
          <w:color w:val="000000" w:themeColor="text1"/>
        </w:rPr>
        <w:t>vulnerable</w:t>
      </w:r>
      <w:r w:rsidR="004E5301" w:rsidRPr="004E5301">
        <w:rPr>
          <w:rFonts w:eastAsia="Calibri-Bold" w:cs="Calibri"/>
          <w:color w:val="000000" w:themeColor="text1"/>
        </w:rPr>
        <w:t xml:space="preserve"> external </w:t>
      </w:r>
      <w:r>
        <w:rPr>
          <w:rFonts w:eastAsia="Calibri-Bold" w:cs="Calibri"/>
          <w:color w:val="000000" w:themeColor="text1"/>
        </w:rPr>
        <w:t>sector</w:t>
      </w:r>
      <w:r w:rsidR="004E5301" w:rsidRPr="004E5301">
        <w:rPr>
          <w:rFonts w:eastAsia="Calibri-Bold" w:cs="Calibri"/>
          <w:color w:val="000000" w:themeColor="text1"/>
        </w:rPr>
        <w:t>.</w:t>
      </w:r>
    </w:p>
    <w:p w14:paraId="04969CD8" w14:textId="56BCB036" w:rsidR="004E5301" w:rsidRDefault="009D18B2" w:rsidP="004E5301">
      <w:pPr>
        <w:autoSpaceDE w:val="0"/>
        <w:autoSpaceDN w:val="0"/>
        <w:adjustRightInd w:val="0"/>
        <w:spacing w:after="120"/>
        <w:jc w:val="both"/>
        <w:rPr>
          <w:rFonts w:eastAsia="Calibri-Bold" w:cs="Calibri"/>
          <w:color w:val="000000" w:themeColor="text1"/>
        </w:rPr>
      </w:pPr>
      <w:r>
        <w:rPr>
          <w:rFonts w:eastAsia="Calibri-Bold" w:cs="Calibri-Bold"/>
          <w:b/>
          <w:bCs/>
          <w:color w:val="000000" w:themeColor="text1"/>
        </w:rPr>
        <w:t>Res</w:t>
      </w:r>
      <w:r w:rsidR="004E5301" w:rsidRPr="008E6ED9">
        <w:rPr>
          <w:rFonts w:eastAsia="Calibri-Bold" w:cs="Calibri-Bold"/>
          <w:b/>
          <w:bCs/>
          <w:color w:val="000000" w:themeColor="text1"/>
        </w:rPr>
        <w:t>urge</w:t>
      </w:r>
      <w:r>
        <w:rPr>
          <w:rFonts w:eastAsia="Calibri-Bold" w:cs="Calibri-Bold"/>
          <w:b/>
          <w:bCs/>
          <w:color w:val="000000" w:themeColor="text1"/>
        </w:rPr>
        <w:t>nce</w:t>
      </w:r>
      <w:r w:rsidR="004E5301" w:rsidRPr="008E6ED9">
        <w:rPr>
          <w:rFonts w:eastAsia="Calibri-Bold" w:cs="Calibri-Bold"/>
          <w:b/>
          <w:bCs/>
          <w:color w:val="000000" w:themeColor="text1"/>
        </w:rPr>
        <w:t xml:space="preserve"> of COVID-19 crisis </w:t>
      </w:r>
      <w:r w:rsidR="00243F13">
        <w:rPr>
          <w:rFonts w:eastAsia="Calibri-Bold" w:cs="Calibri-Bold"/>
          <w:b/>
          <w:bCs/>
          <w:color w:val="000000" w:themeColor="text1"/>
        </w:rPr>
        <w:t>w</w:t>
      </w:r>
      <w:r w:rsidR="004E5301" w:rsidRPr="008E6ED9">
        <w:rPr>
          <w:rFonts w:eastAsia="Calibri-Bold" w:cs="Calibri-Bold"/>
          <w:b/>
          <w:bCs/>
          <w:color w:val="000000" w:themeColor="text1"/>
        </w:rPr>
        <w:t>ould hurt</w:t>
      </w:r>
      <w:r w:rsidR="00243F13">
        <w:rPr>
          <w:rFonts w:eastAsia="Calibri-Bold" w:cs="Calibri-Bold"/>
          <w:b/>
          <w:bCs/>
          <w:color w:val="000000" w:themeColor="text1"/>
        </w:rPr>
        <w:t xml:space="preserve"> the</w:t>
      </w:r>
      <w:r w:rsidR="004E5301" w:rsidRPr="008E6ED9">
        <w:rPr>
          <w:rFonts w:eastAsia="Calibri-Bold" w:cs="Calibri-Bold"/>
          <w:b/>
          <w:bCs/>
          <w:color w:val="000000" w:themeColor="text1"/>
        </w:rPr>
        <w:t xml:space="preserve"> </w:t>
      </w:r>
      <w:r w:rsidR="00DB1108">
        <w:rPr>
          <w:rFonts w:eastAsia="Calibri-Bold" w:cs="Calibri-Bold"/>
          <w:b/>
          <w:bCs/>
          <w:color w:val="000000" w:themeColor="text1"/>
        </w:rPr>
        <w:t>growth outlook</w:t>
      </w:r>
      <w:r w:rsidR="004E5301" w:rsidRPr="008E6ED9">
        <w:rPr>
          <w:rFonts w:eastAsia="Calibri-Bold" w:cs="Calibri-Bold"/>
          <w:b/>
          <w:bCs/>
          <w:color w:val="000000" w:themeColor="text1"/>
        </w:rPr>
        <w:t>.</w:t>
      </w:r>
      <w:r w:rsidR="004E5301" w:rsidRPr="004E5301">
        <w:rPr>
          <w:rFonts w:cs="Times New Roman"/>
          <w:color w:val="000000"/>
        </w:rPr>
        <w:t xml:space="preserve"> </w:t>
      </w:r>
      <w:r w:rsidR="004E5301" w:rsidRPr="008E6ED9">
        <w:rPr>
          <w:rFonts w:eastAsia="Calibri-Bold" w:cs="Calibri"/>
          <w:color w:val="000000" w:themeColor="text1"/>
        </w:rPr>
        <w:t xml:space="preserve">The pace of recovery in 2021 is expected to be subdued, reflecting the lingering disruptions to activity from an earlier </w:t>
      </w:r>
      <w:r w:rsidR="00DB1108">
        <w:rPr>
          <w:rFonts w:eastAsia="Calibri-Bold" w:cs="Calibri"/>
          <w:color w:val="000000" w:themeColor="text1"/>
        </w:rPr>
        <w:t>second wave</w:t>
      </w:r>
      <w:r w:rsidR="004E5301" w:rsidRPr="008E6ED9">
        <w:rPr>
          <w:rFonts w:eastAsia="Calibri-Bold" w:cs="Calibri"/>
          <w:color w:val="000000" w:themeColor="text1"/>
        </w:rPr>
        <w:t xml:space="preserve"> of COVID-19 and the emergence of more contagious variants of the virus. The success of the vaccine rollout in Somalia </w:t>
      </w:r>
      <w:r w:rsidR="004E5301" w:rsidRPr="008E6ED9">
        <w:rPr>
          <w:rFonts w:eastAsia="Calibri-Bold" w:cs="Calibri"/>
          <w:color w:val="000000" w:themeColor="text1"/>
        </w:rPr>
        <w:lastRenderedPageBreak/>
        <w:t>depends crucially on the distribution infrastructure that the authorities and international community manage to put in place</w:t>
      </w:r>
      <w:r w:rsidR="009843F5">
        <w:rPr>
          <w:rFonts w:eastAsia="Calibri-Bold" w:cs="Calibri"/>
          <w:color w:val="000000" w:themeColor="text1"/>
        </w:rPr>
        <w:t xml:space="preserve"> and </w:t>
      </w:r>
      <w:r w:rsidR="0053615E">
        <w:rPr>
          <w:rFonts w:eastAsia="Calibri-Bold" w:cs="Calibri"/>
          <w:color w:val="000000" w:themeColor="text1"/>
        </w:rPr>
        <w:t>citizens</w:t>
      </w:r>
      <w:r w:rsidR="009843F5">
        <w:rPr>
          <w:rFonts w:eastAsia="Calibri-Bold" w:cs="Calibri"/>
          <w:color w:val="000000" w:themeColor="text1"/>
        </w:rPr>
        <w:t>’ willingness to be vaccinated</w:t>
      </w:r>
      <w:r w:rsidR="004E5301" w:rsidRPr="008E6ED9">
        <w:rPr>
          <w:rFonts w:eastAsia="Calibri-Bold" w:cs="Calibri"/>
          <w:color w:val="000000" w:themeColor="text1"/>
        </w:rPr>
        <w:t>. If supply and distribution issues continue, Somalia will struggle to reach herd immunity before the end of 2023, leaving the country exposed to new, more virulent strains of the disease, and raising the prospect that COVID-19</w:t>
      </w:r>
      <w:r w:rsidR="009843F5">
        <w:rPr>
          <w:rFonts w:eastAsia="Calibri-Bold" w:cs="Calibri"/>
          <w:color w:val="000000" w:themeColor="text1"/>
        </w:rPr>
        <w:t xml:space="preserve"> crisis</w:t>
      </w:r>
      <w:r w:rsidR="004E5301" w:rsidRPr="008E6ED9">
        <w:rPr>
          <w:rFonts w:eastAsia="Calibri-Bold" w:cs="Calibri"/>
          <w:color w:val="000000" w:themeColor="text1"/>
        </w:rPr>
        <w:t xml:space="preserve"> will become a permanent, endemic problem in the country.</w:t>
      </w:r>
      <w:r w:rsidR="009843F5">
        <w:rPr>
          <w:rFonts w:eastAsia="Calibri-Bold" w:cs="Calibri"/>
          <w:color w:val="000000" w:themeColor="text1"/>
        </w:rPr>
        <w:t xml:space="preserve"> Notwithstanding, g</w:t>
      </w:r>
      <w:r w:rsidR="004E5301" w:rsidRPr="008E6ED9">
        <w:rPr>
          <w:rFonts w:eastAsia="Calibri-Bold" w:cs="Calibri"/>
          <w:color w:val="000000" w:themeColor="text1"/>
        </w:rPr>
        <w:t xml:space="preserve">rowth in 2021 may be weaker if the pandemic </w:t>
      </w:r>
      <w:r w:rsidR="009843F5">
        <w:rPr>
          <w:rFonts w:eastAsia="Calibri-Bold" w:cs="Calibri"/>
          <w:color w:val="000000" w:themeColor="text1"/>
        </w:rPr>
        <w:t>is prolonged.</w:t>
      </w:r>
    </w:p>
    <w:p w14:paraId="0E4E382D" w14:textId="27D052F8" w:rsidR="00DA737F" w:rsidRPr="001F2B74" w:rsidRDefault="00DA737F" w:rsidP="004E5301">
      <w:pPr>
        <w:autoSpaceDE w:val="0"/>
        <w:autoSpaceDN w:val="0"/>
        <w:adjustRightInd w:val="0"/>
        <w:spacing w:after="120"/>
        <w:jc w:val="both"/>
        <w:rPr>
          <w:rFonts w:eastAsia="Calibri-Bold" w:cs="Calibri"/>
          <w:i/>
          <w:iCs/>
          <w:color w:val="000000" w:themeColor="text1"/>
        </w:rPr>
      </w:pPr>
      <w:r w:rsidRPr="001F2B74">
        <w:rPr>
          <w:rFonts w:eastAsia="Calibri-Bold" w:cs="Calibri"/>
          <w:i/>
          <w:iCs/>
          <w:color w:val="000000" w:themeColor="text1"/>
        </w:rPr>
        <w:t>Reflecting these risks and the uncertain environment, this Somalia Economic Update presents two scenarios for the medium-term growth outlook:</w:t>
      </w:r>
    </w:p>
    <w:p w14:paraId="58F33A70" w14:textId="141B8D8E" w:rsidR="00DA737F" w:rsidRDefault="00DA737F" w:rsidP="00DA737F">
      <w:pPr>
        <w:autoSpaceDE w:val="0"/>
        <w:autoSpaceDN w:val="0"/>
        <w:adjustRightInd w:val="0"/>
        <w:spacing w:after="120"/>
        <w:jc w:val="both"/>
        <w:rPr>
          <w:rFonts w:eastAsia="Calibri-Bold" w:cs="Calibri"/>
          <w:color w:val="000000"/>
        </w:rPr>
      </w:pPr>
      <w:r w:rsidRPr="00CE0649">
        <w:rPr>
          <w:rFonts w:eastAsia="Calibri-Bold" w:cs="Calibri-Bold"/>
          <w:b/>
          <w:bCs/>
          <w:color w:val="000000" w:themeColor="text1"/>
        </w:rPr>
        <w:t xml:space="preserve">In the downside scenario, </w:t>
      </w:r>
      <w:r>
        <w:rPr>
          <w:rFonts w:eastAsia="Calibri-Bold" w:cs="Calibri-Bold"/>
          <w:b/>
          <w:bCs/>
          <w:color w:val="000000" w:themeColor="text1"/>
        </w:rPr>
        <w:t xml:space="preserve">the economy </w:t>
      </w:r>
      <w:r w:rsidR="001F2B74">
        <w:rPr>
          <w:rFonts w:eastAsia="Calibri-Bold" w:cs="Calibri-Bold"/>
          <w:b/>
          <w:bCs/>
          <w:color w:val="000000" w:themeColor="text1"/>
        </w:rPr>
        <w:t>would</w:t>
      </w:r>
      <w:r>
        <w:rPr>
          <w:rFonts w:eastAsia="Calibri-Bold" w:cs="Calibri-Bold"/>
          <w:b/>
          <w:bCs/>
          <w:color w:val="000000" w:themeColor="text1"/>
        </w:rPr>
        <w:t xml:space="preserve"> grow at</w:t>
      </w:r>
      <w:r w:rsidRPr="00CE0649">
        <w:rPr>
          <w:rFonts w:eastAsia="Calibri-Bold" w:cs="Calibri-Bold"/>
          <w:b/>
          <w:bCs/>
          <w:color w:val="000000" w:themeColor="text1"/>
        </w:rPr>
        <w:t xml:space="preserve"> </w:t>
      </w:r>
      <w:r>
        <w:rPr>
          <w:rFonts w:eastAsia="Calibri-Bold" w:cs="Calibri-Bold"/>
          <w:b/>
          <w:bCs/>
          <w:color w:val="000000" w:themeColor="text1"/>
        </w:rPr>
        <w:t>1.1</w:t>
      </w:r>
      <w:r w:rsidRPr="00CE0649">
        <w:rPr>
          <w:rFonts w:eastAsia="Calibri-Bold" w:cs="Calibri-Bold"/>
          <w:b/>
          <w:bCs/>
          <w:color w:val="000000" w:themeColor="text1"/>
        </w:rPr>
        <w:t xml:space="preserve"> percent in 202</w:t>
      </w:r>
      <w:r>
        <w:rPr>
          <w:rFonts w:eastAsia="Calibri-Bold" w:cs="Calibri-Bold"/>
          <w:b/>
          <w:bCs/>
          <w:color w:val="000000" w:themeColor="text1"/>
        </w:rPr>
        <w:t xml:space="preserve">1, </w:t>
      </w:r>
      <w:r w:rsidR="001F2B74">
        <w:rPr>
          <w:rFonts w:eastAsia="Calibri-Bold" w:cs="Calibri-Bold"/>
          <w:b/>
          <w:bCs/>
          <w:color w:val="000000" w:themeColor="text1"/>
        </w:rPr>
        <w:t>increasing to only</w:t>
      </w:r>
      <w:r>
        <w:rPr>
          <w:rFonts w:eastAsia="Calibri-Bold" w:cs="Calibri-Bold"/>
          <w:b/>
          <w:bCs/>
          <w:color w:val="000000" w:themeColor="text1"/>
        </w:rPr>
        <w:t xml:space="preserve"> 2.2 </w:t>
      </w:r>
      <w:r w:rsidRPr="00CE0649">
        <w:rPr>
          <w:rFonts w:eastAsia="Calibri-Bold" w:cs="Calibri-Bold"/>
          <w:b/>
          <w:bCs/>
          <w:color w:val="000000" w:themeColor="text1"/>
        </w:rPr>
        <w:t xml:space="preserve">percent </w:t>
      </w:r>
      <w:r w:rsidR="001F2B74">
        <w:rPr>
          <w:rFonts w:eastAsia="Calibri-Bold" w:cs="Calibri-Bold"/>
          <w:b/>
          <w:bCs/>
          <w:color w:val="000000" w:themeColor="text1"/>
        </w:rPr>
        <w:t>in</w:t>
      </w:r>
      <w:r>
        <w:rPr>
          <w:rFonts w:eastAsia="Calibri-Bold" w:cs="Calibri-Bold"/>
          <w:b/>
          <w:bCs/>
          <w:color w:val="000000" w:themeColor="text1"/>
        </w:rPr>
        <w:t xml:space="preserve"> 2023</w:t>
      </w:r>
      <w:r w:rsidRPr="00CE0649">
        <w:rPr>
          <w:rFonts w:eastAsia="Calibri-Bold" w:cs="Calibri-Bold"/>
          <w:b/>
          <w:bCs/>
          <w:color w:val="000000" w:themeColor="text1"/>
        </w:rPr>
        <w:t xml:space="preserve">. </w:t>
      </w:r>
      <w:r w:rsidRPr="008E6ED9">
        <w:rPr>
          <w:rFonts w:eastAsia="Calibri-Bold" w:cs="Calibri-Bold"/>
          <w:color w:val="000000" w:themeColor="text1"/>
        </w:rPr>
        <w:t xml:space="preserve">This </w:t>
      </w:r>
      <w:r w:rsidR="00243F13">
        <w:rPr>
          <w:rFonts w:eastAsia="Calibri-Bold" w:cs="Calibri-Bold"/>
          <w:color w:val="000000" w:themeColor="text1"/>
        </w:rPr>
        <w:t>is premised</w:t>
      </w:r>
      <w:r w:rsidRPr="008E6ED9">
        <w:rPr>
          <w:rFonts w:eastAsia="Calibri-Bold" w:cs="Calibri-Bold"/>
          <w:color w:val="000000" w:themeColor="text1"/>
        </w:rPr>
        <w:t xml:space="preserve"> on </w:t>
      </w:r>
      <w:r w:rsidR="00243F13">
        <w:rPr>
          <w:rFonts w:eastAsia="Calibri-Bold" w:cs="Calibri-Bold"/>
          <w:color w:val="000000" w:themeColor="text1"/>
        </w:rPr>
        <w:t xml:space="preserve">an </w:t>
      </w:r>
      <w:r w:rsidRPr="008E6ED9">
        <w:rPr>
          <w:rFonts w:eastAsia="Calibri-Bold" w:cs="Calibri-Bold"/>
          <w:color w:val="000000" w:themeColor="text1"/>
        </w:rPr>
        <w:t xml:space="preserve">upsurge in COVID-19 cases, </w:t>
      </w:r>
      <w:r w:rsidRPr="0053615E">
        <w:rPr>
          <w:rFonts w:eastAsia="Calibri-Bold" w:cs="Calibri-Bold"/>
          <w:color w:val="000000" w:themeColor="text1"/>
        </w:rPr>
        <w:t>suppressed</w:t>
      </w:r>
      <w:r w:rsidRPr="008E6ED9">
        <w:rPr>
          <w:rFonts w:eastAsia="Calibri-Bold" w:cs="Calibri-Bold"/>
          <w:color w:val="000000" w:themeColor="text1"/>
        </w:rPr>
        <w:t xml:space="preserve"> rainfall and prolonged </w:t>
      </w:r>
      <w:r w:rsidR="00565986" w:rsidRPr="008E6ED9">
        <w:rPr>
          <w:rFonts w:eastAsia="Calibri-Bold" w:cs="Calibri-Bold"/>
          <w:color w:val="000000" w:themeColor="text1"/>
        </w:rPr>
        <w:t>locusts’</w:t>
      </w:r>
      <w:r w:rsidRPr="008E6ED9">
        <w:rPr>
          <w:rFonts w:eastAsia="Calibri-Bold" w:cs="Calibri-Bold"/>
          <w:color w:val="000000" w:themeColor="text1"/>
        </w:rPr>
        <w:t xml:space="preserve"> threat, </w:t>
      </w:r>
      <w:r w:rsidR="00243F13">
        <w:rPr>
          <w:rFonts w:eastAsia="Calibri-Bold" w:cs="Calibri-Bold"/>
          <w:color w:val="000000" w:themeColor="text1"/>
        </w:rPr>
        <w:t xml:space="preserve">and </w:t>
      </w:r>
      <w:r w:rsidRPr="008E6ED9">
        <w:rPr>
          <w:rFonts w:eastAsia="Calibri-Bold" w:cs="Calibri-Bold"/>
          <w:color w:val="000000" w:themeColor="text1"/>
        </w:rPr>
        <w:t>deterioration of the political climate.</w:t>
      </w:r>
      <w:r>
        <w:rPr>
          <w:rFonts w:eastAsia="Calibri-Bold" w:cs="Calibri-Bold"/>
          <w:b/>
          <w:bCs/>
          <w:color w:val="000000" w:themeColor="text1"/>
        </w:rPr>
        <w:t xml:space="preserve"> </w:t>
      </w:r>
      <w:r w:rsidRPr="00CE0649">
        <w:rPr>
          <w:rFonts w:eastAsia="Calibri-Bold" w:cs="Calibri"/>
          <w:color w:val="000000"/>
        </w:rPr>
        <w:t xml:space="preserve">The </w:t>
      </w:r>
      <w:r>
        <w:rPr>
          <w:rFonts w:eastAsia="Calibri-Bold" w:cs="Calibri"/>
          <w:color w:val="000000"/>
        </w:rPr>
        <w:t xml:space="preserve">mutation of </w:t>
      </w:r>
      <w:r w:rsidRPr="00CE0649">
        <w:rPr>
          <w:rFonts w:eastAsia="Calibri-Bold" w:cs="Calibri"/>
          <w:color w:val="000000"/>
        </w:rPr>
        <w:t xml:space="preserve">COVID-19 </w:t>
      </w:r>
      <w:r>
        <w:rPr>
          <w:rFonts w:eastAsia="Calibri-Bold" w:cs="Calibri"/>
          <w:color w:val="000000"/>
        </w:rPr>
        <w:t xml:space="preserve">variants and new waves are likely to force the government to revert to lockdown and mobility restrictions to tame the virus thereby constraining recovery of economic activities. Secondly, early warning systems point to a possibility of below average rainfall including worse drought conditions and continued threat of </w:t>
      </w:r>
      <w:r w:rsidR="00B565DF">
        <w:rPr>
          <w:rFonts w:eastAsia="Calibri-Bold" w:cs="Calibri"/>
          <w:color w:val="000000"/>
        </w:rPr>
        <w:t>locusts’</w:t>
      </w:r>
      <w:r>
        <w:rPr>
          <w:rFonts w:eastAsia="Calibri-Bold" w:cs="Calibri"/>
          <w:color w:val="000000"/>
        </w:rPr>
        <w:t xml:space="preserve"> invasion. This will affect crop and livestock production, agricultural labour demand, and likely increase in food imports. </w:t>
      </w:r>
      <w:r w:rsidRPr="00CE0649">
        <w:rPr>
          <w:rFonts w:eastAsia="Calibri-Bold" w:cs="Calibri"/>
          <w:color w:val="000000"/>
        </w:rPr>
        <w:t xml:space="preserve">Delays in lifting restrictions exacerbate the slowdown in consumption expenditures, and </w:t>
      </w:r>
      <w:r>
        <w:rPr>
          <w:rFonts w:eastAsia="Calibri-Bold" w:cs="Calibri"/>
          <w:color w:val="000000"/>
        </w:rPr>
        <w:t>weather-related shocks will be</w:t>
      </w:r>
      <w:r w:rsidRPr="00CE0649">
        <w:rPr>
          <w:rFonts w:eastAsia="Calibri-Bold" w:cs="Calibri"/>
          <w:color w:val="000000"/>
        </w:rPr>
        <w:t xml:space="preserve"> more severe than in the base</w:t>
      </w:r>
      <w:r>
        <w:rPr>
          <w:rFonts w:eastAsia="Calibri-Bold" w:cs="Calibri"/>
          <w:color w:val="000000"/>
        </w:rPr>
        <w:t>line</w:t>
      </w:r>
      <w:r w:rsidRPr="00CE0649">
        <w:rPr>
          <w:rFonts w:eastAsia="Calibri-Bold" w:cs="Calibri"/>
          <w:color w:val="000000"/>
        </w:rPr>
        <w:t xml:space="preserve"> scenario.</w:t>
      </w:r>
      <w:r>
        <w:rPr>
          <w:rFonts w:eastAsia="Calibri-Bold" w:cs="Calibri"/>
          <w:color w:val="000000"/>
        </w:rPr>
        <w:t xml:space="preserve"> Lastly, </w:t>
      </w:r>
      <w:r w:rsidR="007C0F82">
        <w:rPr>
          <w:rFonts w:eastAsia="Calibri-Bold" w:cs="Calibri"/>
          <w:color w:val="000000"/>
        </w:rPr>
        <w:t>the delaying elections beyond 2021 as constitutionally mandated</w:t>
      </w:r>
      <w:r w:rsidR="00C0110C">
        <w:rPr>
          <w:rFonts w:eastAsia="Calibri-Bold" w:cs="Calibri"/>
          <w:color w:val="000000"/>
        </w:rPr>
        <w:t xml:space="preserve"> is</w:t>
      </w:r>
      <w:r w:rsidR="005F1975">
        <w:rPr>
          <w:rFonts w:eastAsia="Calibri-Bold" w:cs="Calibri"/>
          <w:color w:val="000000"/>
        </w:rPr>
        <w:t xml:space="preserve"> </w:t>
      </w:r>
      <w:r>
        <w:rPr>
          <w:rFonts w:eastAsia="Calibri-Bold" w:cs="Calibri"/>
          <w:color w:val="000000"/>
        </w:rPr>
        <w:t>likely to create political tensions leading to</w:t>
      </w:r>
      <w:r w:rsidRPr="00CE0D9A">
        <w:t xml:space="preserve"> </w:t>
      </w:r>
      <w:r>
        <w:rPr>
          <w:rFonts w:eastAsia="Calibri-Bold" w:cs="Calibri"/>
          <w:color w:val="000000"/>
        </w:rPr>
        <w:t>increased in</w:t>
      </w:r>
      <w:r w:rsidRPr="00CE0D9A">
        <w:rPr>
          <w:rFonts w:eastAsia="Calibri-Bold" w:cs="Calibri"/>
          <w:color w:val="000000"/>
        </w:rPr>
        <w:t>security and insurgence activities</w:t>
      </w:r>
      <w:r>
        <w:rPr>
          <w:rFonts w:eastAsia="Calibri-Bold" w:cs="Calibri"/>
          <w:color w:val="000000"/>
        </w:rPr>
        <w:t>.</w:t>
      </w:r>
      <w:r w:rsidR="00367E10">
        <w:rPr>
          <w:rFonts w:eastAsia="Calibri-Bold" w:cs="Calibri"/>
          <w:color w:val="000000"/>
        </w:rPr>
        <w:t xml:space="preserve"> </w:t>
      </w:r>
      <w:r>
        <w:rPr>
          <w:rFonts w:eastAsia="Calibri-Bold" w:cs="Calibri"/>
          <w:color w:val="000000"/>
        </w:rPr>
        <w:t>This will affect economic activities and erode business confidence. External assistance is assumed to decline</w:t>
      </w:r>
      <w:r w:rsidR="00670D27">
        <w:rPr>
          <w:rFonts w:eastAsia="Calibri-Bold" w:cs="Calibri"/>
          <w:color w:val="000000"/>
        </w:rPr>
        <w:t xml:space="preserve"> in this scenario</w:t>
      </w:r>
      <w:r>
        <w:rPr>
          <w:rFonts w:eastAsia="Calibri-Bold" w:cs="Calibri"/>
          <w:color w:val="000000"/>
        </w:rPr>
        <w:t>.</w:t>
      </w:r>
    </w:p>
    <w:p w14:paraId="0615BC8C" w14:textId="3EBCDBA7" w:rsidR="00DA737F" w:rsidRDefault="00DA737F" w:rsidP="00DA737F">
      <w:pPr>
        <w:autoSpaceDE w:val="0"/>
        <w:autoSpaceDN w:val="0"/>
        <w:adjustRightInd w:val="0"/>
        <w:spacing w:after="120"/>
        <w:jc w:val="both"/>
        <w:rPr>
          <w:rFonts w:eastAsia="Calibri-Bold" w:cs="Calibri"/>
          <w:color w:val="000000"/>
        </w:rPr>
      </w:pPr>
      <w:r w:rsidRPr="00D66D41">
        <w:rPr>
          <w:rFonts w:eastAsia="Calibri-Bold" w:cs="Calibri"/>
          <w:b/>
          <w:bCs/>
          <w:color w:val="000000"/>
        </w:rPr>
        <w:t>In the</w:t>
      </w:r>
      <w:r w:rsidR="00670D27">
        <w:rPr>
          <w:rFonts w:eastAsia="Calibri-Bold" w:cs="Calibri"/>
          <w:b/>
          <w:bCs/>
          <w:color w:val="000000"/>
        </w:rPr>
        <w:t xml:space="preserve"> upside</w:t>
      </w:r>
      <w:r w:rsidRPr="00D66D41">
        <w:rPr>
          <w:rFonts w:eastAsia="Calibri-Bold" w:cs="Calibri"/>
          <w:b/>
          <w:bCs/>
          <w:color w:val="000000"/>
        </w:rPr>
        <w:t xml:space="preserve"> scenario, growth </w:t>
      </w:r>
      <w:r>
        <w:rPr>
          <w:rFonts w:eastAsia="Calibri-Bold" w:cs="Calibri"/>
          <w:b/>
          <w:bCs/>
          <w:color w:val="000000"/>
        </w:rPr>
        <w:t xml:space="preserve">will be more robust, at </w:t>
      </w:r>
      <w:r w:rsidRPr="00D66D41">
        <w:rPr>
          <w:rFonts w:eastAsia="Calibri-Bold" w:cs="Calibri"/>
          <w:b/>
          <w:bCs/>
          <w:color w:val="000000"/>
        </w:rPr>
        <w:t>2.8</w:t>
      </w:r>
      <w:r>
        <w:rPr>
          <w:rFonts w:eastAsia="Calibri-Bold" w:cs="Calibri"/>
          <w:b/>
          <w:bCs/>
          <w:color w:val="000000"/>
        </w:rPr>
        <w:t xml:space="preserve"> percent </w:t>
      </w:r>
      <w:r w:rsidRPr="00D66D41">
        <w:rPr>
          <w:rFonts w:eastAsia="Calibri-Bold" w:cs="Calibri"/>
          <w:b/>
          <w:bCs/>
          <w:color w:val="000000"/>
        </w:rPr>
        <w:t>in 2021</w:t>
      </w:r>
      <w:r>
        <w:rPr>
          <w:rFonts w:eastAsia="Calibri-Bold" w:cs="Calibri"/>
          <w:b/>
          <w:bCs/>
          <w:color w:val="000000"/>
        </w:rPr>
        <w:t xml:space="preserve">. </w:t>
      </w:r>
      <w:r w:rsidRPr="008E6ED9">
        <w:rPr>
          <w:rFonts w:eastAsia="Calibri-Bold" w:cs="Calibri"/>
          <w:color w:val="000000"/>
        </w:rPr>
        <w:t xml:space="preserve">This </w:t>
      </w:r>
      <w:r>
        <w:rPr>
          <w:rFonts w:eastAsia="Calibri-Bold" w:cs="Calibri"/>
          <w:color w:val="000000"/>
        </w:rPr>
        <w:t xml:space="preserve">is </w:t>
      </w:r>
      <w:r w:rsidRPr="008E6ED9">
        <w:rPr>
          <w:rFonts w:eastAsia="Calibri-Bold" w:cs="Calibri"/>
          <w:color w:val="000000"/>
        </w:rPr>
        <w:t>anchored on improved weather conditions, no further COVID-19 restrictions, and the election impasse is resolved.</w:t>
      </w:r>
      <w:r>
        <w:rPr>
          <w:rFonts w:eastAsia="Calibri-Bold" w:cs="Calibri"/>
          <w:color w:val="000000"/>
        </w:rPr>
        <w:t xml:space="preserve"> Economic recovery be robust</w:t>
      </w:r>
      <w:r w:rsidRPr="007D39AC">
        <w:rPr>
          <w:rFonts w:eastAsia="Calibri-Bold" w:cs="Calibri"/>
          <w:color w:val="000000"/>
        </w:rPr>
        <w:t xml:space="preserve"> in 2021 </w:t>
      </w:r>
      <w:r>
        <w:rPr>
          <w:rFonts w:eastAsia="Calibri-Bold" w:cs="Calibri"/>
          <w:color w:val="000000"/>
        </w:rPr>
        <w:t xml:space="preserve">if rainfall is </w:t>
      </w:r>
      <w:r w:rsidRPr="007D39AC">
        <w:rPr>
          <w:rFonts w:eastAsia="Calibri-Bold" w:cs="Calibri"/>
          <w:color w:val="000000"/>
        </w:rPr>
        <w:t xml:space="preserve">adequate </w:t>
      </w:r>
      <w:r>
        <w:rPr>
          <w:rFonts w:eastAsia="Calibri-Bold" w:cs="Calibri"/>
          <w:color w:val="000000"/>
        </w:rPr>
        <w:t>with less floods</w:t>
      </w:r>
      <w:r w:rsidRPr="007D39AC">
        <w:rPr>
          <w:rFonts w:eastAsia="Calibri-Bold" w:cs="Calibri"/>
          <w:color w:val="000000"/>
        </w:rPr>
        <w:t>, no lockdowns and</w:t>
      </w:r>
      <w:r>
        <w:rPr>
          <w:rFonts w:eastAsia="Calibri-Bold" w:cs="Calibri"/>
          <w:color w:val="000000"/>
        </w:rPr>
        <w:t xml:space="preserve"> mobility restrictions, and the current social protection programs are expanded to include vulnerable households in urban areas. The scenario also assumes the current election impasse is resolved and elections is held in 2021. As a result, the economy will grow at 3.2 percent and 3.5 percent in 2022 and 2023 respectively.</w:t>
      </w:r>
    </w:p>
    <w:p w14:paraId="5C5469A2" w14:textId="74843EA1" w:rsidR="004E5301" w:rsidRPr="008E6ED9" w:rsidRDefault="004E5301" w:rsidP="005F1975">
      <w:pPr>
        <w:pStyle w:val="Heading2"/>
        <w:spacing w:before="120" w:after="120"/>
      </w:pPr>
      <w:bookmarkStart w:id="98" w:name="_Toc71725899"/>
      <w:r w:rsidRPr="008E6ED9">
        <w:t>Policy Options for Economic Recovery</w:t>
      </w:r>
      <w:bookmarkEnd w:id="98"/>
    </w:p>
    <w:p w14:paraId="2D655C2C" w14:textId="10639B4E" w:rsidR="004E5301" w:rsidRPr="004E5301" w:rsidRDefault="009843F5" w:rsidP="004E5301">
      <w:pPr>
        <w:spacing w:after="120"/>
        <w:jc w:val="both"/>
        <w:rPr>
          <w:rFonts w:cs="Adobe Garamond Pro"/>
          <w:color w:val="000000"/>
        </w:rPr>
      </w:pPr>
      <w:r>
        <w:rPr>
          <w:rFonts w:cs="Adobe Garamond Pro"/>
          <w:b/>
          <w:bCs/>
        </w:rPr>
        <w:t xml:space="preserve">The </w:t>
      </w:r>
      <w:r w:rsidR="004E5301" w:rsidRPr="004E5301">
        <w:rPr>
          <w:rFonts w:cs="Adobe Garamond Pro"/>
          <w:b/>
          <w:bCs/>
        </w:rPr>
        <w:t>COVID</w:t>
      </w:r>
      <w:r>
        <w:rPr>
          <w:rFonts w:cs="Adobe Garamond Pro"/>
          <w:b/>
          <w:bCs/>
        </w:rPr>
        <w:t>-</w:t>
      </w:r>
      <w:r w:rsidR="004E5301" w:rsidRPr="004E5301">
        <w:rPr>
          <w:rFonts w:cs="Adobe Garamond Pro"/>
          <w:b/>
          <w:bCs/>
        </w:rPr>
        <w:t xml:space="preserve">19 </w:t>
      </w:r>
      <w:r>
        <w:rPr>
          <w:rFonts w:cs="Adobe Garamond Pro"/>
          <w:b/>
          <w:bCs/>
        </w:rPr>
        <w:t xml:space="preserve">global </w:t>
      </w:r>
      <w:r w:rsidR="004E5301" w:rsidRPr="004E5301">
        <w:rPr>
          <w:rFonts w:cs="Adobe Garamond Pro"/>
          <w:b/>
          <w:bCs/>
        </w:rPr>
        <w:t xml:space="preserve">pandemic exposed the </w:t>
      </w:r>
      <w:r w:rsidR="001F2B74">
        <w:rPr>
          <w:rFonts w:cs="Adobe Garamond Pro"/>
          <w:b/>
          <w:bCs/>
        </w:rPr>
        <w:t>costs</w:t>
      </w:r>
      <w:r w:rsidR="004E5301" w:rsidRPr="004E5301">
        <w:rPr>
          <w:rFonts w:cs="Adobe Garamond Pro"/>
          <w:b/>
          <w:bCs/>
        </w:rPr>
        <w:t xml:space="preserve"> of not investing in</w:t>
      </w:r>
      <w:r w:rsidR="001F2B74">
        <w:rPr>
          <w:rFonts w:cs="Adobe Garamond Pro"/>
          <w:b/>
          <w:bCs/>
        </w:rPr>
        <w:t xml:space="preserve"> a</w:t>
      </w:r>
      <w:r w:rsidR="004E5301" w:rsidRPr="004E5301">
        <w:rPr>
          <w:rFonts w:cs="Adobe Garamond Pro"/>
          <w:b/>
          <w:bCs/>
        </w:rPr>
        <w:t xml:space="preserve"> public health system.</w:t>
      </w:r>
      <w:r w:rsidR="004E5301" w:rsidRPr="004E5301">
        <w:rPr>
          <w:rFonts w:cs="Adobe Garamond Pro"/>
        </w:rPr>
        <w:t xml:space="preserve"> </w:t>
      </w:r>
      <w:r w:rsidR="004E5301" w:rsidRPr="004E5301">
        <w:rPr>
          <w:rFonts w:cs="Adobe Garamond Pro"/>
          <w:color w:val="000000"/>
        </w:rPr>
        <w:t xml:space="preserve">The near-term economic prospects for the Somalia depend on the pandemic’s path. Added spending to contain the pandemic will necessarily come at the expense of other budget priorities, including vital spending on other key health areas and much-needed capital </w:t>
      </w:r>
      <w:r>
        <w:rPr>
          <w:rFonts w:cs="Adobe Garamond Pro"/>
          <w:color w:val="000000"/>
        </w:rPr>
        <w:t>investment</w:t>
      </w:r>
      <w:r w:rsidR="004E5301" w:rsidRPr="004E5301">
        <w:rPr>
          <w:rFonts w:cs="Adobe Garamond Pro"/>
          <w:color w:val="000000"/>
        </w:rPr>
        <w:t xml:space="preserve">. </w:t>
      </w:r>
      <w:r w:rsidR="004E5301" w:rsidRPr="004E5301">
        <w:rPr>
          <w:rFonts w:cs="Adobe Garamond Pro"/>
        </w:rPr>
        <w:t xml:space="preserve">The need for </w:t>
      </w:r>
      <w:r w:rsidR="004E5301" w:rsidRPr="004E5301">
        <w:rPr>
          <w:rFonts w:cs="Adobe Garamond Pro"/>
          <w:color w:val="000000"/>
        </w:rPr>
        <w:t>add</w:t>
      </w:r>
      <w:r w:rsidR="004E5301" w:rsidRPr="004E5301">
        <w:rPr>
          <w:rFonts w:cs="Adobe Garamond Pro"/>
        </w:rPr>
        <w:t>itional public</w:t>
      </w:r>
      <w:r w:rsidR="004E5301" w:rsidRPr="004E5301">
        <w:rPr>
          <w:rFonts w:cs="Adobe Garamond Pro"/>
          <w:color w:val="000000"/>
        </w:rPr>
        <w:t xml:space="preserve"> spending</w:t>
      </w:r>
      <w:r w:rsidR="004E5301" w:rsidRPr="004E5301">
        <w:rPr>
          <w:rFonts w:cs="Adobe Garamond Pro"/>
        </w:rPr>
        <w:t xml:space="preserve"> on health</w:t>
      </w:r>
      <w:r w:rsidR="004E5301" w:rsidRPr="004E5301">
        <w:rPr>
          <w:rFonts w:cs="Adobe Garamond Pro"/>
          <w:color w:val="000000"/>
        </w:rPr>
        <w:t xml:space="preserve">, not only to scale up the resilience of local health systems </w:t>
      </w:r>
      <w:r w:rsidR="004E5301" w:rsidRPr="004E5301">
        <w:rPr>
          <w:rFonts w:cs="Adobe Garamond Pro"/>
        </w:rPr>
        <w:t>and public infrastructure is key in</w:t>
      </w:r>
      <w:r w:rsidR="004E5301" w:rsidRPr="004E5301">
        <w:rPr>
          <w:rFonts w:cs="Adobe Garamond Pro"/>
          <w:color w:val="000000"/>
        </w:rPr>
        <w:t xml:space="preserve"> support</w:t>
      </w:r>
      <w:r w:rsidR="004E5301" w:rsidRPr="004E5301">
        <w:rPr>
          <w:rFonts w:cs="Adobe Garamond Pro"/>
        </w:rPr>
        <w:t>ing</w:t>
      </w:r>
      <w:r w:rsidR="004E5301" w:rsidRPr="004E5301">
        <w:rPr>
          <w:rFonts w:cs="Adobe Garamond Pro"/>
          <w:color w:val="000000"/>
        </w:rPr>
        <w:t xml:space="preserve"> the testing and tracing, but also to ensure that the logistical, administrative, and financial requirements of mass vaccination are in place. The</w:t>
      </w:r>
      <w:r w:rsidR="0065360F">
        <w:rPr>
          <w:rFonts w:cs="Adobe Garamond Pro"/>
          <w:color w:val="000000"/>
        </w:rPr>
        <w:t xml:space="preserve"> slower the pace of vaccination </w:t>
      </w:r>
      <w:r w:rsidR="004E5301" w:rsidRPr="004E5301">
        <w:rPr>
          <w:rFonts w:cs="Adobe Garamond Pro"/>
          <w:color w:val="000000"/>
        </w:rPr>
        <w:t>a</w:t>
      </w:r>
      <w:r w:rsidR="00E36E4F">
        <w:rPr>
          <w:rFonts w:cs="Adobe Garamond Pro"/>
          <w:color w:val="000000"/>
        </w:rPr>
        <w:t>nd</w:t>
      </w:r>
      <w:r w:rsidR="004E5301" w:rsidRPr="004E5301">
        <w:rPr>
          <w:rFonts w:cs="Adobe Garamond Pro"/>
          <w:color w:val="000000"/>
        </w:rPr>
        <w:t xml:space="preserve"> large</w:t>
      </w:r>
      <w:r w:rsidR="00E36E4F">
        <w:rPr>
          <w:rFonts w:cs="Adobe Garamond Pro"/>
          <w:color w:val="000000"/>
        </w:rPr>
        <w:t>r the</w:t>
      </w:r>
      <w:r w:rsidR="004E5301" w:rsidRPr="004E5301">
        <w:rPr>
          <w:rFonts w:cs="Adobe Garamond Pro"/>
          <w:color w:val="000000"/>
        </w:rPr>
        <w:t xml:space="preserve"> </w:t>
      </w:r>
      <w:r w:rsidR="0065360F">
        <w:rPr>
          <w:rFonts w:cs="Adobe Garamond Pro"/>
          <w:color w:val="000000"/>
        </w:rPr>
        <w:t>unvaccinated</w:t>
      </w:r>
      <w:r w:rsidR="004E5301" w:rsidRPr="004E5301">
        <w:rPr>
          <w:rFonts w:cs="Adobe Garamond Pro"/>
          <w:color w:val="000000"/>
        </w:rPr>
        <w:t xml:space="preserve"> population, the greater the possibility that new variants of the virus will develop, adding to the prospect of a more protracted pandemic in the country. </w:t>
      </w:r>
    </w:p>
    <w:p w14:paraId="248DC22D" w14:textId="3C954E13" w:rsidR="004E5301" w:rsidRDefault="004E5301" w:rsidP="004E5301">
      <w:pPr>
        <w:autoSpaceDE w:val="0"/>
        <w:autoSpaceDN w:val="0"/>
        <w:adjustRightInd w:val="0"/>
        <w:spacing w:after="120"/>
        <w:jc w:val="both"/>
        <w:rPr>
          <w:rFonts w:cs="Times New Roman"/>
          <w:color w:val="000000"/>
        </w:rPr>
      </w:pPr>
      <w:r w:rsidRPr="004E5301">
        <w:rPr>
          <w:rFonts w:cs="Adobe Garamond Pro"/>
          <w:b/>
          <w:bCs/>
          <w:color w:val="000000"/>
        </w:rPr>
        <w:t xml:space="preserve">Building a </w:t>
      </w:r>
      <w:r w:rsidR="00243F13">
        <w:rPr>
          <w:rFonts w:cs="Adobe Garamond Pro"/>
          <w:b/>
          <w:bCs/>
          <w:color w:val="000000"/>
        </w:rPr>
        <w:t>sustainable,</w:t>
      </w:r>
      <w:r w:rsidRPr="004E5301">
        <w:rPr>
          <w:rFonts w:cs="Adobe Garamond Pro"/>
          <w:b/>
          <w:bCs/>
          <w:color w:val="000000"/>
        </w:rPr>
        <w:t xml:space="preserve"> resilient,</w:t>
      </w:r>
      <w:r w:rsidR="00243F13">
        <w:rPr>
          <w:rFonts w:cs="Adobe Garamond Pro"/>
          <w:b/>
          <w:bCs/>
          <w:color w:val="000000"/>
        </w:rPr>
        <w:t xml:space="preserve"> and</w:t>
      </w:r>
      <w:r w:rsidRPr="004E5301">
        <w:rPr>
          <w:rFonts w:cs="Adobe Garamond Pro"/>
          <w:b/>
          <w:bCs/>
          <w:color w:val="000000"/>
        </w:rPr>
        <w:t xml:space="preserve"> inclusive economy.</w:t>
      </w:r>
      <w:r w:rsidRPr="004E5301">
        <w:rPr>
          <w:rFonts w:cs="Adobe Garamond Pro"/>
          <w:color w:val="000000"/>
        </w:rPr>
        <w:t xml:space="preserve"> With limited fiscal space, Somalia needs to prioriti</w:t>
      </w:r>
      <w:r w:rsidR="0065360F">
        <w:rPr>
          <w:rFonts w:cs="Adobe Garamond Pro"/>
          <w:color w:val="000000"/>
        </w:rPr>
        <w:t>ze</w:t>
      </w:r>
      <w:r w:rsidRPr="004E5301">
        <w:rPr>
          <w:rFonts w:cs="Adobe Garamond Pro"/>
          <w:color w:val="000000"/>
        </w:rPr>
        <w:t xml:space="preserve"> reforms that boost resilience to future shocks, and that emphasize sectors with the </w:t>
      </w:r>
      <w:r w:rsidR="0065360F">
        <w:rPr>
          <w:rFonts w:cs="Adobe Garamond Pro"/>
          <w:color w:val="000000"/>
        </w:rPr>
        <w:t>greater</w:t>
      </w:r>
      <w:r w:rsidRPr="004E5301">
        <w:rPr>
          <w:rFonts w:cs="Adobe Garamond Pro"/>
          <w:color w:val="000000"/>
        </w:rPr>
        <w:t xml:space="preserve"> return on growth and employment. </w:t>
      </w:r>
      <w:r w:rsidR="00243F13" w:rsidRPr="00243F13">
        <w:rPr>
          <w:rFonts w:cs="Calibri"/>
        </w:rPr>
        <w:t>Accelerating the pace of poverty reduction will require policy interventions to raise productivity, create jobs, and expand pro-poor programs. Such interventions could include increased remittances, expansion of social protection programs, increased agricultural productivity and increases in public investments.</w:t>
      </w:r>
      <w:r w:rsidR="00243F13">
        <w:rPr>
          <w:rFonts w:cs="Calibri"/>
        </w:rPr>
        <w:t xml:space="preserve"> </w:t>
      </w:r>
      <w:r w:rsidR="00243F13">
        <w:rPr>
          <w:rFonts w:cs="Adobe Garamond Pro"/>
          <w:color w:val="000000"/>
        </w:rPr>
        <w:t>C</w:t>
      </w:r>
      <w:r w:rsidRPr="004E5301">
        <w:rPr>
          <w:rFonts w:cs="Adobe Garamond Pro"/>
          <w:color w:val="000000"/>
        </w:rPr>
        <w:t>reating a better investment climate is key.</w:t>
      </w:r>
      <w:r w:rsidRPr="004E5301">
        <w:rPr>
          <w:rFonts w:ascii="Adobe Garamond Pro" w:hAnsi="Adobe Garamond Pro" w:cs="Adobe Garamond Pro"/>
          <w:color w:val="000000"/>
        </w:rPr>
        <w:t xml:space="preserve"> </w:t>
      </w:r>
      <w:r w:rsidRPr="004E5301">
        <w:rPr>
          <w:rFonts w:cs="Adobe Garamond Pro"/>
          <w:color w:val="000000"/>
        </w:rPr>
        <w:t xml:space="preserve">Reform </w:t>
      </w:r>
      <w:r w:rsidRPr="004E5301">
        <w:rPr>
          <w:rFonts w:cs="Adobe Garamond Pro"/>
          <w:color w:val="000000"/>
        </w:rPr>
        <w:lastRenderedPageBreak/>
        <w:t>initiatives to improve the country’s business climate and attract more private investment should now be urgent for the post-election government. These reforms could include reducing the cost</w:t>
      </w:r>
      <w:r w:rsidR="003E75D5">
        <w:rPr>
          <w:rFonts w:cs="Adobe Garamond Pro"/>
          <w:color w:val="000000"/>
        </w:rPr>
        <w:t xml:space="preserve"> </w:t>
      </w:r>
      <w:r w:rsidRPr="004E5301">
        <w:rPr>
          <w:rFonts w:cs="Adobe Garamond Pro"/>
          <w:color w:val="000000"/>
        </w:rPr>
        <w:t xml:space="preserve">and improving the reliable of electricity, leveling the playing field among the private firms (new and old entrants into the market), aligning the treatment of firms in the formal and informal sectors, reducing red tape, and broadening financial inclusion. </w:t>
      </w:r>
      <w:r w:rsidRPr="004E5301">
        <w:rPr>
          <w:rFonts w:cs="Times New Roman"/>
          <w:color w:val="000000"/>
        </w:rPr>
        <w:t xml:space="preserve">As Somalia embark on the road to recovery from the triple shocks, these structural reforms will </w:t>
      </w:r>
      <w:r w:rsidR="0065360F">
        <w:rPr>
          <w:rFonts w:cs="Times New Roman"/>
          <w:color w:val="000000"/>
        </w:rPr>
        <w:t>enable</w:t>
      </w:r>
      <w:r w:rsidRPr="004E5301">
        <w:rPr>
          <w:rFonts w:cs="Times New Roman"/>
          <w:color w:val="000000"/>
        </w:rPr>
        <w:t xml:space="preserve"> jobs to be at the center of policy action and private sector response.</w:t>
      </w:r>
    </w:p>
    <w:p w14:paraId="5304A074" w14:textId="4319072F" w:rsidR="00A11630" w:rsidRDefault="004E5301" w:rsidP="00A11630">
      <w:pPr>
        <w:autoSpaceDE w:val="0"/>
        <w:autoSpaceDN w:val="0"/>
        <w:adjustRightInd w:val="0"/>
        <w:spacing w:before="120" w:after="120"/>
        <w:jc w:val="both"/>
        <w:rPr>
          <w:rFonts w:cs="Adobe Garamond Pro"/>
          <w:color w:val="000000"/>
        </w:rPr>
      </w:pPr>
      <w:r w:rsidRPr="004E5301">
        <w:rPr>
          <w:rFonts w:cs="Adobe Garamond Pro"/>
          <w:b/>
          <w:bCs/>
          <w:color w:val="000000"/>
        </w:rPr>
        <w:t>Supporting vulnerable population.</w:t>
      </w:r>
      <w:r w:rsidRPr="004E5301">
        <w:rPr>
          <w:rFonts w:cs="Adobe Garamond Pro"/>
          <w:color w:val="000000"/>
        </w:rPr>
        <w:t xml:space="preserve"> The </w:t>
      </w:r>
      <w:proofErr w:type="spellStart"/>
      <w:r w:rsidR="001F2B74">
        <w:rPr>
          <w:rFonts w:cs="Adobe Garamond Pro"/>
          <w:color w:val="000000"/>
        </w:rPr>
        <w:t>Bax</w:t>
      </w:r>
      <w:r w:rsidR="000A5A91">
        <w:rPr>
          <w:rFonts w:cs="Adobe Garamond Pro"/>
          <w:color w:val="000000"/>
        </w:rPr>
        <w:t>n</w:t>
      </w:r>
      <w:r w:rsidR="001F2B74">
        <w:rPr>
          <w:rFonts w:cs="Adobe Garamond Pro"/>
          <w:color w:val="000000"/>
        </w:rPr>
        <w:t>aano</w:t>
      </w:r>
      <w:proofErr w:type="spellEnd"/>
      <w:r w:rsidR="001F2B74">
        <w:rPr>
          <w:rFonts w:cs="Adobe Garamond Pro"/>
          <w:color w:val="000000"/>
        </w:rPr>
        <w:t xml:space="preserve"> </w:t>
      </w:r>
      <w:proofErr w:type="spellStart"/>
      <w:r w:rsidR="001F2B74">
        <w:rPr>
          <w:rFonts w:cs="Adobe Garamond Pro"/>
          <w:color w:val="000000"/>
        </w:rPr>
        <w:t>Programme</w:t>
      </w:r>
      <w:proofErr w:type="spellEnd"/>
      <w:r w:rsidR="001F2B74">
        <w:rPr>
          <w:rFonts w:cs="Adobe Garamond Pro"/>
          <w:color w:val="000000"/>
        </w:rPr>
        <w:t xml:space="preserve"> </w:t>
      </w:r>
      <w:r w:rsidRPr="004E5301">
        <w:rPr>
          <w:rFonts w:cs="Adobe Garamond Pro"/>
          <w:color w:val="000000"/>
        </w:rPr>
        <w:t>has highlighted the importance of being able to channel support quickly and efficiently to those most in need during the COVID</w:t>
      </w:r>
      <w:r w:rsidR="006E6FCB">
        <w:rPr>
          <w:rFonts w:cs="Adobe Garamond Pro"/>
          <w:color w:val="000000"/>
        </w:rPr>
        <w:t>-</w:t>
      </w:r>
      <w:r w:rsidRPr="004E5301">
        <w:rPr>
          <w:rFonts w:cs="Adobe Garamond Pro"/>
          <w:color w:val="000000"/>
        </w:rPr>
        <w:t xml:space="preserve">19 </w:t>
      </w:r>
      <w:r w:rsidR="006E6FCB">
        <w:rPr>
          <w:rFonts w:cs="Adobe Garamond Pro"/>
          <w:color w:val="000000"/>
        </w:rPr>
        <w:t>crisis</w:t>
      </w:r>
      <w:r w:rsidRPr="004E5301">
        <w:rPr>
          <w:rFonts w:cs="Adobe Garamond Pro"/>
          <w:color w:val="000000"/>
        </w:rPr>
        <w:t xml:space="preserve"> and after the </w:t>
      </w:r>
      <w:proofErr w:type="gramStart"/>
      <w:r w:rsidRPr="004E5301">
        <w:rPr>
          <w:rFonts w:cs="Adobe Garamond Pro"/>
          <w:color w:val="000000"/>
        </w:rPr>
        <w:t>locusts</w:t>
      </w:r>
      <w:proofErr w:type="gramEnd"/>
      <w:r w:rsidRPr="004E5301">
        <w:rPr>
          <w:rFonts w:cs="Adobe Garamond Pro"/>
          <w:color w:val="000000"/>
        </w:rPr>
        <w:t xml:space="preserve"> infestation. Extending the reach and responsiveness of </w:t>
      </w:r>
      <w:r w:rsidR="00045979">
        <w:rPr>
          <w:rFonts w:cs="Adobe Garamond Pro"/>
          <w:color w:val="000000"/>
        </w:rPr>
        <w:t>such</w:t>
      </w:r>
      <w:r w:rsidRPr="004E5301">
        <w:rPr>
          <w:rFonts w:cs="Adobe Garamond Pro"/>
          <w:color w:val="000000"/>
        </w:rPr>
        <w:t xml:space="preserve"> social protection </w:t>
      </w:r>
      <w:r w:rsidR="00045979">
        <w:rPr>
          <w:rFonts w:cs="Adobe Garamond Pro"/>
          <w:color w:val="000000"/>
        </w:rPr>
        <w:t>programs</w:t>
      </w:r>
      <w:r w:rsidRPr="004E5301">
        <w:rPr>
          <w:rFonts w:cs="Adobe Garamond Pro"/>
          <w:color w:val="000000"/>
        </w:rPr>
        <w:t xml:space="preserve"> through the innovative and cost-effective use of mobile money, electronic cash transfers, and virtual engagement is key in supporting Somali</w:t>
      </w:r>
      <w:r w:rsidR="00045979">
        <w:rPr>
          <w:rFonts w:cs="Adobe Garamond Pro"/>
          <w:color w:val="000000"/>
        </w:rPr>
        <w:t>a’s vulnerable population</w:t>
      </w:r>
      <w:r w:rsidRPr="004E5301">
        <w:rPr>
          <w:rFonts w:cs="Adobe Garamond Pro"/>
          <w:color w:val="000000"/>
        </w:rPr>
        <w:t xml:space="preserve">. Building on </w:t>
      </w:r>
      <w:r w:rsidR="001F2B74">
        <w:rPr>
          <w:rFonts w:cs="Adobe Garamond Pro"/>
          <w:color w:val="000000"/>
        </w:rPr>
        <w:t xml:space="preserve">the </w:t>
      </w:r>
      <w:proofErr w:type="spellStart"/>
      <w:r w:rsidR="001F2B74">
        <w:rPr>
          <w:rFonts w:cs="Adobe Garamond Pro"/>
          <w:color w:val="000000"/>
        </w:rPr>
        <w:t>Bax</w:t>
      </w:r>
      <w:r w:rsidR="00777BCD">
        <w:rPr>
          <w:rFonts w:cs="Adobe Garamond Pro"/>
          <w:color w:val="000000"/>
        </w:rPr>
        <w:t>n</w:t>
      </w:r>
      <w:r w:rsidR="001F2B74">
        <w:rPr>
          <w:rFonts w:cs="Adobe Garamond Pro"/>
          <w:color w:val="000000"/>
        </w:rPr>
        <w:t>aano</w:t>
      </w:r>
      <w:proofErr w:type="spellEnd"/>
      <w:r w:rsidR="001F2B74">
        <w:rPr>
          <w:rFonts w:cs="Adobe Garamond Pro"/>
          <w:color w:val="000000"/>
        </w:rPr>
        <w:t xml:space="preserve"> </w:t>
      </w:r>
      <w:proofErr w:type="spellStart"/>
      <w:r w:rsidR="001F2B74">
        <w:rPr>
          <w:rFonts w:cs="Adobe Garamond Pro"/>
          <w:color w:val="000000"/>
        </w:rPr>
        <w:t>Programme</w:t>
      </w:r>
      <w:proofErr w:type="spellEnd"/>
      <w:r w:rsidR="001F2B74">
        <w:rPr>
          <w:rFonts w:cs="Adobe Garamond Pro"/>
          <w:color w:val="000000"/>
        </w:rPr>
        <w:t xml:space="preserve"> </w:t>
      </w:r>
      <w:r w:rsidRPr="004E5301">
        <w:rPr>
          <w:rFonts w:cs="Adobe Garamond Pro"/>
          <w:color w:val="000000"/>
        </w:rPr>
        <w:t>to further enhance the safety nets in Somalia is key. This could be done by adopting national social safety net strategy, which clearly sets out target populations and delivery mechanisms, and is capable of being scaled up rapidly in response to economic shocks or reforms.</w:t>
      </w:r>
      <w:bookmarkStart w:id="99" w:name="_Toc71117127"/>
    </w:p>
    <w:p w14:paraId="2F5DF6AD" w14:textId="1998CB08" w:rsidR="00037AFB" w:rsidRPr="001E09E9" w:rsidRDefault="00037AFB" w:rsidP="001E09E9">
      <w:pPr>
        <w:autoSpaceDE w:val="0"/>
        <w:autoSpaceDN w:val="0"/>
        <w:adjustRightInd w:val="0"/>
        <w:spacing w:before="120" w:after="120"/>
        <w:jc w:val="both"/>
        <w:rPr>
          <w:rFonts w:cs="Adobe Garamond Pro"/>
          <w:color w:val="000000"/>
        </w:rPr>
      </w:pPr>
      <w:r w:rsidRPr="001E09E9">
        <w:rPr>
          <w:rFonts w:cs="Times New Roman"/>
          <w:b/>
          <w:bCs/>
        </w:rPr>
        <w:t>Increasing exports</w:t>
      </w:r>
      <w:r w:rsidR="00B23DDF">
        <w:rPr>
          <w:rFonts w:cs="Times New Roman"/>
          <w:b/>
          <w:bCs/>
        </w:rPr>
        <w:t xml:space="preserve"> of </w:t>
      </w:r>
      <w:r w:rsidR="003E4B8F">
        <w:rPr>
          <w:rFonts w:cs="Times New Roman"/>
          <w:b/>
          <w:bCs/>
        </w:rPr>
        <w:t xml:space="preserve">current </w:t>
      </w:r>
      <w:bookmarkEnd w:id="99"/>
      <w:r w:rsidR="003E4B8F">
        <w:rPr>
          <w:rFonts w:cs="Times New Roman"/>
          <w:b/>
          <w:bCs/>
        </w:rPr>
        <w:t>products</w:t>
      </w:r>
      <w:r w:rsidR="00A11630">
        <w:rPr>
          <w:rFonts w:cs="Times New Roman"/>
        </w:rPr>
        <w:t xml:space="preserve">. </w:t>
      </w:r>
      <w:r>
        <w:t xml:space="preserve">In the short to medium term, Somalia’s </w:t>
      </w:r>
      <w:r w:rsidR="007555F8">
        <w:t>trade strategy</w:t>
      </w:r>
      <w:r>
        <w:t xml:space="preserve"> should focus on increasing exports of products in which Somalia currently has a comparative advantage. Although </w:t>
      </w:r>
      <w:r w:rsidRPr="005F1975">
        <w:rPr>
          <w:color w:val="000000" w:themeColor="text1"/>
        </w:rPr>
        <w:t>most of these exports are primary products (like live animals and vegetables), other manufactured products (like fish oil and processed fish) on the lower end of the complexity spectrum seem feasible given Somalia’s capability stock</w:t>
      </w:r>
      <w:r w:rsidR="009565AB" w:rsidRPr="005F1975">
        <w:rPr>
          <w:color w:val="000000" w:themeColor="text1"/>
        </w:rPr>
        <w:t>.</w:t>
      </w:r>
      <w:r w:rsidRPr="005F1975">
        <w:rPr>
          <w:color w:val="000000" w:themeColor="text1"/>
        </w:rPr>
        <w:t xml:space="preserve"> These products are within Somalia’s current reach; fostering them would increase manufacturing skills that </w:t>
      </w:r>
      <w:r>
        <w:t>are a prerequisite for accelerated diversification into more sophisticated products. This strategy can lay the foundation for acquiring the more sophisticated technical skills necessary for large-scale manufacturing.</w:t>
      </w:r>
      <w:r>
        <w:rPr>
          <w:rStyle w:val="FootnoteReference"/>
        </w:rPr>
        <w:t xml:space="preserve"> </w:t>
      </w:r>
      <w:r w:rsidR="00014C3D">
        <w:rPr>
          <w:sz w:val="24"/>
        </w:rPr>
        <w:t xml:space="preserve">(see </w:t>
      </w:r>
      <w:r w:rsidR="007E5E10">
        <w:rPr>
          <w:sz w:val="24"/>
        </w:rPr>
        <w:t>World Bank 2021)</w:t>
      </w:r>
      <w:r w:rsidRPr="001E09E9">
        <w:rPr>
          <w:sz w:val="24"/>
        </w:rPr>
        <w:t>.</w:t>
      </w:r>
      <w:r>
        <w:t xml:space="preserve"> </w:t>
      </w:r>
    </w:p>
    <w:p w14:paraId="09410710" w14:textId="2A92200F" w:rsidR="00037AFB" w:rsidRDefault="00037AFB" w:rsidP="001E09E9">
      <w:pPr>
        <w:pStyle w:val="Bodytextparanumbers"/>
        <w:numPr>
          <w:ilvl w:val="0"/>
          <w:numId w:val="0"/>
        </w:numPr>
        <w:rPr>
          <w:rFonts w:cs="Adobe Garamond Pro"/>
          <w:color w:val="000000"/>
        </w:rPr>
      </w:pPr>
    </w:p>
    <w:p w14:paraId="42E496D2" w14:textId="567AD90B" w:rsidR="00FD064A" w:rsidRDefault="00FD064A" w:rsidP="001E09E9">
      <w:pPr>
        <w:pStyle w:val="Bodytextparanumbers"/>
        <w:numPr>
          <w:ilvl w:val="0"/>
          <w:numId w:val="0"/>
        </w:numPr>
        <w:rPr>
          <w:rFonts w:cs="Adobe Garamond Pro"/>
          <w:color w:val="000000"/>
        </w:rPr>
      </w:pPr>
    </w:p>
    <w:p w14:paraId="41E56445" w14:textId="18448CC7" w:rsidR="00FD064A" w:rsidRDefault="00FD064A" w:rsidP="001E09E9">
      <w:pPr>
        <w:pStyle w:val="Bodytextparanumbers"/>
        <w:numPr>
          <w:ilvl w:val="0"/>
          <w:numId w:val="0"/>
        </w:numPr>
        <w:rPr>
          <w:rFonts w:cs="Adobe Garamond Pro"/>
          <w:color w:val="000000"/>
        </w:rPr>
      </w:pPr>
    </w:p>
    <w:p w14:paraId="18D95C60" w14:textId="65B99D8C" w:rsidR="00FD064A" w:rsidRDefault="00FD064A" w:rsidP="001E09E9">
      <w:pPr>
        <w:pStyle w:val="Bodytextparanumbers"/>
        <w:numPr>
          <w:ilvl w:val="0"/>
          <w:numId w:val="0"/>
        </w:numPr>
        <w:rPr>
          <w:rFonts w:cs="Adobe Garamond Pro"/>
          <w:color w:val="000000"/>
        </w:rPr>
      </w:pPr>
    </w:p>
    <w:p w14:paraId="1CDDF96D" w14:textId="0AB67DDA" w:rsidR="00FD064A" w:rsidRDefault="00FD064A" w:rsidP="001E09E9">
      <w:pPr>
        <w:pStyle w:val="Bodytextparanumbers"/>
        <w:numPr>
          <w:ilvl w:val="0"/>
          <w:numId w:val="0"/>
        </w:numPr>
        <w:rPr>
          <w:rFonts w:cs="Adobe Garamond Pro"/>
          <w:color w:val="000000"/>
        </w:rPr>
      </w:pPr>
    </w:p>
    <w:p w14:paraId="1606D0F7" w14:textId="1E8B531F" w:rsidR="00FD064A" w:rsidRDefault="00FD064A" w:rsidP="001E09E9">
      <w:pPr>
        <w:pStyle w:val="Bodytextparanumbers"/>
        <w:numPr>
          <w:ilvl w:val="0"/>
          <w:numId w:val="0"/>
        </w:numPr>
        <w:rPr>
          <w:rFonts w:cs="Adobe Garamond Pro"/>
          <w:color w:val="000000"/>
        </w:rPr>
      </w:pPr>
    </w:p>
    <w:p w14:paraId="6200995C" w14:textId="4C085B1A" w:rsidR="00FD064A" w:rsidRDefault="00FD064A" w:rsidP="001E09E9">
      <w:pPr>
        <w:pStyle w:val="Bodytextparanumbers"/>
        <w:numPr>
          <w:ilvl w:val="0"/>
          <w:numId w:val="0"/>
        </w:numPr>
        <w:rPr>
          <w:rFonts w:cs="Adobe Garamond Pro"/>
          <w:color w:val="000000"/>
        </w:rPr>
      </w:pPr>
    </w:p>
    <w:p w14:paraId="779BD7DF" w14:textId="30B587A4" w:rsidR="00FD064A" w:rsidRDefault="00FD064A" w:rsidP="001E09E9">
      <w:pPr>
        <w:pStyle w:val="Bodytextparanumbers"/>
        <w:numPr>
          <w:ilvl w:val="0"/>
          <w:numId w:val="0"/>
        </w:numPr>
        <w:rPr>
          <w:rFonts w:cs="Adobe Garamond Pro"/>
          <w:color w:val="000000"/>
        </w:rPr>
      </w:pPr>
    </w:p>
    <w:p w14:paraId="3F215B58" w14:textId="7DBA24B8" w:rsidR="00FD064A" w:rsidRDefault="00FD064A" w:rsidP="001E09E9">
      <w:pPr>
        <w:pStyle w:val="Bodytextparanumbers"/>
        <w:numPr>
          <w:ilvl w:val="0"/>
          <w:numId w:val="0"/>
        </w:numPr>
        <w:rPr>
          <w:rFonts w:cs="Adobe Garamond Pro"/>
          <w:color w:val="000000"/>
        </w:rPr>
      </w:pPr>
    </w:p>
    <w:p w14:paraId="691F9A4E" w14:textId="7C6F9F17" w:rsidR="00FD064A" w:rsidRDefault="00FD064A" w:rsidP="001E09E9">
      <w:pPr>
        <w:pStyle w:val="Bodytextparanumbers"/>
        <w:numPr>
          <w:ilvl w:val="0"/>
          <w:numId w:val="0"/>
        </w:numPr>
        <w:rPr>
          <w:rFonts w:cs="Adobe Garamond Pro"/>
          <w:color w:val="000000"/>
        </w:rPr>
      </w:pPr>
    </w:p>
    <w:p w14:paraId="535ECEF8" w14:textId="52C1809E" w:rsidR="00FD064A" w:rsidRDefault="00FD064A">
      <w:pPr>
        <w:rPr>
          <w:rFonts w:ascii="Times New Roman" w:eastAsia="Times New Roman" w:hAnsi="Times New Roman" w:cs="Adobe Garamond Pro"/>
          <w:bCs/>
          <w:iCs/>
          <w:color w:val="000000"/>
          <w:sz w:val="24"/>
        </w:rPr>
      </w:pPr>
      <w:r>
        <w:rPr>
          <w:rFonts w:cs="Adobe Garamond Pro"/>
          <w:color w:val="000000"/>
        </w:rPr>
        <w:br w:type="page"/>
      </w:r>
    </w:p>
    <w:p w14:paraId="162F2A5D" w14:textId="3E8FD520" w:rsidR="008A5E08" w:rsidRPr="00122FDF" w:rsidRDefault="009703B5" w:rsidP="00122FDF">
      <w:pPr>
        <w:pStyle w:val="Heading1"/>
        <w:jc w:val="center"/>
        <w:rPr>
          <w:b/>
          <w:bCs/>
          <w:lang w:eastAsia="ja-JP"/>
        </w:rPr>
      </w:pPr>
      <w:bookmarkStart w:id="100" w:name="_Toc71725900"/>
      <w:r w:rsidRPr="00122FDF">
        <w:rPr>
          <w:b/>
          <w:bCs/>
          <w:lang w:eastAsia="ja-JP"/>
        </w:rPr>
        <w:lastRenderedPageBreak/>
        <w:t>Pa</w:t>
      </w:r>
      <w:r w:rsidR="00122FDF" w:rsidRPr="00122FDF">
        <w:rPr>
          <w:b/>
          <w:bCs/>
          <w:lang w:eastAsia="ja-JP"/>
        </w:rPr>
        <w:t xml:space="preserve">rt II: </w:t>
      </w:r>
      <w:r w:rsidR="0008639E" w:rsidRPr="00122FDF">
        <w:rPr>
          <w:b/>
          <w:bCs/>
          <w:lang w:eastAsia="ja-JP"/>
        </w:rPr>
        <w:t>R</w:t>
      </w:r>
      <w:r w:rsidRPr="00122FDF">
        <w:rPr>
          <w:b/>
          <w:bCs/>
          <w:lang w:eastAsia="ja-JP"/>
        </w:rPr>
        <w:t xml:space="preserve">esilient </w:t>
      </w:r>
      <w:r w:rsidR="0008639E" w:rsidRPr="00122FDF">
        <w:rPr>
          <w:b/>
          <w:bCs/>
          <w:lang w:eastAsia="ja-JP"/>
        </w:rPr>
        <w:t>H</w:t>
      </w:r>
      <w:r w:rsidRPr="00122FDF">
        <w:rPr>
          <w:b/>
          <w:bCs/>
          <w:lang w:eastAsia="ja-JP"/>
        </w:rPr>
        <w:t>ealth</w:t>
      </w:r>
      <w:r w:rsidR="0008639E" w:rsidRPr="00122FDF">
        <w:rPr>
          <w:b/>
          <w:bCs/>
          <w:lang w:eastAsia="ja-JP"/>
        </w:rPr>
        <w:t xml:space="preserve"> S</w:t>
      </w:r>
      <w:r w:rsidRPr="00122FDF">
        <w:rPr>
          <w:b/>
          <w:bCs/>
          <w:lang w:eastAsia="ja-JP"/>
        </w:rPr>
        <w:t>ystems</w:t>
      </w:r>
      <w:r w:rsidR="0008639E" w:rsidRPr="00122FDF">
        <w:rPr>
          <w:b/>
          <w:bCs/>
          <w:lang w:eastAsia="ja-JP"/>
        </w:rPr>
        <w:t xml:space="preserve"> </w:t>
      </w:r>
      <w:r w:rsidRPr="00122FDF">
        <w:rPr>
          <w:b/>
          <w:bCs/>
          <w:lang w:eastAsia="ja-JP"/>
        </w:rPr>
        <w:t>for</w:t>
      </w:r>
      <w:r w:rsidR="0008639E" w:rsidRPr="00122FDF">
        <w:rPr>
          <w:b/>
          <w:bCs/>
          <w:lang w:eastAsia="ja-JP"/>
        </w:rPr>
        <w:t xml:space="preserve"> </w:t>
      </w:r>
      <w:r w:rsidRPr="00122FDF">
        <w:rPr>
          <w:b/>
          <w:bCs/>
          <w:lang w:eastAsia="ja-JP"/>
        </w:rPr>
        <w:t>Somalia’s Economic Growth</w:t>
      </w:r>
      <w:bookmarkEnd w:id="100"/>
    </w:p>
    <w:p w14:paraId="12D11475" w14:textId="4FF21C29" w:rsidR="008A5E08" w:rsidRPr="008A5E08" w:rsidRDefault="008A5E08" w:rsidP="00122FDF">
      <w:pPr>
        <w:pStyle w:val="Heading2"/>
        <w:spacing w:before="120" w:after="120"/>
        <w:rPr>
          <w:lang w:eastAsia="ja-JP"/>
        </w:rPr>
      </w:pPr>
      <w:bookmarkStart w:id="101" w:name="_Toc71725901"/>
      <w:r w:rsidRPr="008A5E08">
        <w:rPr>
          <w:lang w:eastAsia="ja-JP"/>
        </w:rPr>
        <w:t>The Case for Investing in Health</w:t>
      </w:r>
      <w:bookmarkEnd w:id="101"/>
    </w:p>
    <w:p w14:paraId="15573D85" w14:textId="77777777" w:rsidR="00173BC6" w:rsidRDefault="008A5E08" w:rsidP="00173BC6">
      <w:pPr>
        <w:spacing w:after="120" w:line="240" w:lineRule="auto"/>
        <w:jc w:val="both"/>
        <w:rPr>
          <w:rFonts w:eastAsiaTheme="minorEastAsia"/>
          <w:strike/>
          <w:lang w:eastAsia="ja-JP"/>
        </w:rPr>
      </w:pPr>
      <w:r w:rsidRPr="008A5E08">
        <w:rPr>
          <w:rFonts w:eastAsiaTheme="minorEastAsia"/>
          <w:b/>
          <w:lang w:eastAsia="ja-JP"/>
        </w:rPr>
        <w:t xml:space="preserve">This issue of the SEU focuses on Somalia’s health sector as an essential component of resilient and inclusive development, while further strengthening the country’s nascent federal system and institutions. </w:t>
      </w:r>
      <w:r w:rsidRPr="008A5E08">
        <w:rPr>
          <w:rFonts w:eastAsiaTheme="minorEastAsia"/>
          <w:bCs/>
          <w:lang w:eastAsia="ja-JP"/>
        </w:rPr>
        <w:t xml:space="preserve"> There is severe underinvestment in Somalia’s health sector relative to other sectors of the economy. Health spending accounts for just 1.3 percent of total government spending compared to the security sector which accounts for 29 percent of total government spending, education which accounts for 3 percent and civil aviation which accounts for 2 percent of total government spending.  Health spending in Somalia also trails the Abuja target of at least 15 percent of the total government budget.</w:t>
      </w:r>
      <w:r w:rsidRPr="008A5E08">
        <w:rPr>
          <w:rFonts w:eastAsiaTheme="minorEastAsia"/>
          <w:bCs/>
          <w:vertAlign w:val="superscript"/>
          <w:lang w:eastAsia="ja-JP"/>
        </w:rPr>
        <w:footnoteReference w:id="23"/>
      </w:r>
      <w:r w:rsidRPr="008A5E08">
        <w:rPr>
          <w:rFonts w:eastAsiaTheme="minorEastAsia"/>
          <w:bCs/>
          <w:lang w:eastAsia="ja-JP"/>
        </w:rPr>
        <w:t xml:space="preserve"> </w:t>
      </w:r>
      <w:r w:rsidRPr="008A5E08">
        <w:rPr>
          <w:rFonts w:eastAsiaTheme="minorEastAsia"/>
          <w:lang w:eastAsia="ja-JP"/>
        </w:rPr>
        <w:t>This section will highlight the need for increased investment in health as a significant economic priority.</w:t>
      </w:r>
    </w:p>
    <w:p w14:paraId="4755AD97" w14:textId="77777777" w:rsidR="00173BC6" w:rsidRDefault="008A5E08" w:rsidP="00173BC6">
      <w:pPr>
        <w:spacing w:after="120" w:line="240" w:lineRule="auto"/>
        <w:jc w:val="both"/>
        <w:rPr>
          <w:rFonts w:eastAsiaTheme="minorEastAsia"/>
          <w:lang w:eastAsia="ja-JP"/>
        </w:rPr>
      </w:pPr>
      <w:r w:rsidRPr="008A5E08">
        <w:rPr>
          <w:rFonts w:eastAsiaTheme="minorEastAsia"/>
          <w:b/>
          <w:lang w:eastAsia="ja-JP"/>
        </w:rPr>
        <w:t>The COVID-19 pandemic has highlighted the urgent need to strengthen Somalia’s health system as a national economic and security priority</w:t>
      </w:r>
      <w:r w:rsidRPr="008A5E08">
        <w:rPr>
          <w:rFonts w:eastAsiaTheme="minorEastAsia"/>
          <w:lang w:eastAsia="ja-JP"/>
        </w:rPr>
        <w:t>. As of February 2021, Somalia reported 4,814 confirmed coronavirus cases and 132 deaths. With less than 27,000 tests conducted and only 15 ICU beds for a population of 15 million people, the government’s capacity to adequately test, trace, and report cases of COVID-19 infections and deaths is limited, suggesting that the COVID-19 fatality rates are higher than reported. The Government’s response to the COVID-19 pandemic also suggests that Somalia is among the least prepared countries to detect, manage, and report disease outbreaks to prevent their global spread. The ability to manage epidemics is often linked to civil unrest, political instability and ultimately a weakened economy,</w:t>
      </w:r>
      <w:r w:rsidRPr="008A5E08">
        <w:rPr>
          <w:rFonts w:eastAsiaTheme="minorEastAsia"/>
          <w:vertAlign w:val="superscript"/>
          <w:lang w:eastAsia="ja-JP"/>
        </w:rPr>
        <w:footnoteReference w:id="24"/>
      </w:r>
      <w:r w:rsidRPr="008A5E08">
        <w:rPr>
          <w:rFonts w:eastAsiaTheme="minorEastAsia"/>
          <w:lang w:eastAsia="ja-JP"/>
        </w:rPr>
        <w:t xml:space="preserve"> demonstrating that investing in the Somali health system is not only an urgent political and economic consideration, but also foundational to reducing fragility and enhancing economic development.</w:t>
      </w:r>
    </w:p>
    <w:p w14:paraId="49F64ECA" w14:textId="1379EBBF" w:rsidR="008A5E08" w:rsidRPr="008A5E08" w:rsidRDefault="008A5E08" w:rsidP="00173BC6">
      <w:pPr>
        <w:spacing w:after="120" w:line="240" w:lineRule="auto"/>
        <w:jc w:val="both"/>
        <w:rPr>
          <w:rFonts w:eastAsiaTheme="minorEastAsia"/>
          <w:lang w:eastAsia="ja-JP"/>
        </w:rPr>
      </w:pPr>
      <w:r w:rsidRPr="008A5E08">
        <w:rPr>
          <w:rFonts w:eastAsiaTheme="minorEastAsia"/>
          <w:b/>
          <w:lang w:eastAsia="ja-JP"/>
        </w:rPr>
        <w:t xml:space="preserve">Investments in health are inextricably tied to Somalia’s long-term economic growth and development. </w:t>
      </w:r>
      <w:r w:rsidRPr="008A5E08">
        <w:rPr>
          <w:rFonts w:eastAsiaTheme="minorEastAsia"/>
          <w:lang w:eastAsia="ja-JP"/>
        </w:rPr>
        <w:t xml:space="preserve">Healthier workers are more innovative and productive. Improvements in life expectancy tend to make people more forward-looking, which incentivizes saving for retirement and physical capital accumulation, contributing to improved labor productivity and economic growth. </w:t>
      </w:r>
      <w:r w:rsidRPr="008A5E08">
        <w:rPr>
          <w:rFonts w:eastAsia="Segoe UI" w:cstheme="minorHAnsi"/>
          <w:lang w:eastAsia="ja-JP"/>
        </w:rPr>
        <w:t>In low-income countries, it is estimated that an increase in life expectancy from 50 to 70 years will increase GDP per capita by 1.4 percent.</w:t>
      </w:r>
      <w:r w:rsidRPr="008A5E08">
        <w:rPr>
          <w:rFonts w:eastAsia="Segoe UI" w:cstheme="minorHAnsi"/>
          <w:vertAlign w:val="superscript"/>
          <w:lang w:eastAsia="ja-JP"/>
        </w:rPr>
        <w:footnoteReference w:id="25"/>
      </w:r>
      <w:r w:rsidRPr="008A5E08">
        <w:rPr>
          <w:rFonts w:eastAsia="Segoe UI" w:cstheme="minorHAnsi"/>
          <w:lang w:eastAsia="ja-JP"/>
        </w:rPr>
        <w:t xml:space="preserve"> </w:t>
      </w:r>
      <w:r w:rsidRPr="008A5E08">
        <w:rPr>
          <w:rFonts w:eastAsiaTheme="minorEastAsia"/>
          <w:lang w:eastAsia="ja-JP"/>
        </w:rPr>
        <w:t>In Sub-Saharan Africa (SSA), it is estimated that improvements in labor productivity resulting from better childbirth practices and treatment and prevention of high-burden infectious disease would result in regional GDP increases of 0.2 percent annually.</w:t>
      </w:r>
      <w:r w:rsidRPr="008A5E08">
        <w:rPr>
          <w:rFonts w:eastAsiaTheme="minorEastAsia"/>
          <w:lang w:eastAsia="ja-JP"/>
        </w:rPr>
        <w:fldChar w:fldCharType="begin"/>
      </w:r>
      <w:r w:rsidRPr="008A5E08">
        <w:rPr>
          <w:rFonts w:eastAsiaTheme="minorEastAsia"/>
          <w:lang w:eastAsia="ja-JP"/>
        </w:rPr>
        <w:instrText xml:space="preserve"> NOTEREF _Ref69322654 \f \h  \* MERGEFORMAT </w:instrText>
      </w:r>
      <w:r w:rsidRPr="008A5E08">
        <w:rPr>
          <w:rFonts w:eastAsiaTheme="minorEastAsia"/>
          <w:lang w:eastAsia="ja-JP"/>
        </w:rPr>
      </w:r>
      <w:r w:rsidRPr="008A5E08">
        <w:rPr>
          <w:rFonts w:eastAsiaTheme="minorEastAsia"/>
          <w:lang w:eastAsia="ja-JP"/>
        </w:rPr>
        <w:fldChar w:fldCharType="separate"/>
      </w:r>
      <w:r w:rsidRPr="008A5E08">
        <w:rPr>
          <w:rFonts w:eastAsiaTheme="minorEastAsia"/>
          <w:vertAlign w:val="superscript"/>
          <w:lang w:eastAsia="ja-JP"/>
        </w:rPr>
        <w:t>1</w:t>
      </w:r>
      <w:r w:rsidRPr="008A5E08">
        <w:rPr>
          <w:rFonts w:eastAsiaTheme="minorEastAsia"/>
          <w:lang w:eastAsia="ja-JP"/>
        </w:rPr>
        <w:fldChar w:fldCharType="end"/>
      </w:r>
      <w:r w:rsidRPr="008A5E08">
        <w:rPr>
          <w:rFonts w:eastAsiaTheme="minorEastAsia"/>
          <w:lang w:eastAsia="ja-JP"/>
        </w:rPr>
        <w:t xml:space="preserve"> As communicable diseases, reproductive, maternal and neonatal disorders are responsible for most of the premature deaths in Somalia, highly cost-effective investments in reducing DALYs caused by communicable, reproductive, maternal and child heath disorders will be key to Somalia’s long-term economic growth.</w:t>
      </w:r>
      <w:r w:rsidRPr="008A5E08">
        <w:rPr>
          <w:rFonts w:eastAsiaTheme="minorEastAsia"/>
          <w:vertAlign w:val="superscript"/>
          <w:lang w:eastAsia="ja-JP"/>
        </w:rPr>
        <w:footnoteReference w:id="26"/>
      </w:r>
    </w:p>
    <w:p w14:paraId="2D5F2D42" w14:textId="77777777" w:rsidR="00173BC6" w:rsidRDefault="008A5E08" w:rsidP="00173BC6">
      <w:pPr>
        <w:spacing w:after="120" w:line="240" w:lineRule="auto"/>
        <w:jc w:val="both"/>
        <w:textAlignment w:val="baseline"/>
        <w:rPr>
          <w:rFonts w:eastAsiaTheme="minorEastAsia"/>
          <w:lang w:eastAsia="ja-JP"/>
        </w:rPr>
      </w:pPr>
      <w:r w:rsidRPr="008A5E08">
        <w:rPr>
          <w:rFonts w:eastAsiaTheme="minorEastAsia"/>
          <w:b/>
          <w:lang w:eastAsia="ja-JP"/>
        </w:rPr>
        <w:t xml:space="preserve">Investments in quality and reliable health service provision will enhance the visibility of the government, demonstrate the state’s governance capacity, and reinforce its legitimacy. </w:t>
      </w:r>
      <w:r w:rsidRPr="008A5E08">
        <w:rPr>
          <w:rFonts w:eastAsiaTheme="minorEastAsia"/>
          <w:lang w:eastAsia="ja-JP"/>
        </w:rPr>
        <w:t xml:space="preserve">The provision of public goods and services offers a fundamental pathway to stabilization, </w:t>
      </w:r>
      <w:proofErr w:type="gramStart"/>
      <w:r w:rsidRPr="008A5E08">
        <w:rPr>
          <w:rFonts w:eastAsiaTheme="minorEastAsia"/>
          <w:lang w:eastAsia="ja-JP"/>
        </w:rPr>
        <w:t>reconstruction</w:t>
      </w:r>
      <w:proofErr w:type="gramEnd"/>
      <w:r w:rsidRPr="008A5E08">
        <w:rPr>
          <w:rFonts w:eastAsiaTheme="minorEastAsia"/>
          <w:lang w:eastAsia="ja-JP"/>
        </w:rPr>
        <w:t xml:space="preserve"> and nation-building in fragile post-conflict environments. Service provision contributes to stabilization and nation-</w:t>
      </w:r>
      <w:r w:rsidRPr="008A5E08">
        <w:rPr>
          <w:rFonts w:eastAsiaTheme="minorEastAsia"/>
          <w:lang w:eastAsia="ja-JP"/>
        </w:rPr>
        <w:lastRenderedPageBreak/>
        <w:t>building by legitimizing the role of Governments. Enhanced legitimacy will then lead to a self-enforcing cycle of increased sociopolitical stability and improved service provision, facilitated by the government’s bolstered role.</w:t>
      </w:r>
      <w:r w:rsidRPr="008A5E08">
        <w:rPr>
          <w:rFonts w:eastAsiaTheme="minorEastAsia"/>
          <w:vertAlign w:val="superscript"/>
          <w:lang w:eastAsia="ja-JP"/>
        </w:rPr>
        <w:footnoteReference w:id="27"/>
      </w:r>
      <w:r w:rsidRPr="008A5E08">
        <w:rPr>
          <w:rFonts w:eastAsiaTheme="minorEastAsia"/>
          <w:lang w:eastAsia="ja-JP"/>
        </w:rPr>
        <w:t xml:space="preserve"> </w:t>
      </w:r>
    </w:p>
    <w:p w14:paraId="164014E5" w14:textId="77777777" w:rsidR="00173BC6" w:rsidRDefault="008A5E08" w:rsidP="00173BC6">
      <w:pPr>
        <w:spacing w:after="120" w:line="240" w:lineRule="auto"/>
        <w:jc w:val="both"/>
        <w:textAlignment w:val="baseline"/>
        <w:rPr>
          <w:rFonts w:eastAsiaTheme="minorEastAsia"/>
          <w:lang w:eastAsia="ja-JP"/>
        </w:rPr>
      </w:pPr>
      <w:r w:rsidRPr="008A5E08">
        <w:rPr>
          <w:rFonts w:eastAsiaTheme="minorEastAsia"/>
          <w:b/>
          <w:bCs/>
          <w:lang w:eastAsia="ja-JP"/>
        </w:rPr>
        <w:t xml:space="preserve">Investing </w:t>
      </w:r>
      <w:r w:rsidRPr="008A5E08">
        <w:rPr>
          <w:rFonts w:eastAsiaTheme="minorEastAsia"/>
          <w:b/>
          <w:lang w:eastAsia="ja-JP"/>
        </w:rPr>
        <w:t>in the health sector will increase economic opportunities, especially for women whose labor force participation has far-reaching implications for Somalia’s human capital growth.</w:t>
      </w:r>
      <w:r w:rsidRPr="008A5E08">
        <w:rPr>
          <w:rFonts w:eastAsiaTheme="minorEastAsia"/>
          <w:vertAlign w:val="superscript"/>
          <w:lang w:eastAsia="ja-JP"/>
        </w:rPr>
        <w:footnoteReference w:id="28"/>
      </w:r>
      <w:r w:rsidRPr="008A5E08">
        <w:rPr>
          <w:rFonts w:eastAsiaTheme="minorEastAsia"/>
          <w:lang w:eastAsia="ja-JP"/>
        </w:rPr>
        <w:t xml:space="preserve">  Around the world, the health and social services sector employs more women than any other sector. In SSA, 65 percent of all nurses are women. Investing in the health sector provides an opportunity to increase female labor force participation in Somalia where just about 7.4 percent of all women aged 15–49 have some form of employment.</w:t>
      </w:r>
      <w:r w:rsidRPr="008A5E08">
        <w:rPr>
          <w:rFonts w:eastAsiaTheme="minorEastAsia"/>
          <w:vertAlign w:val="superscript"/>
          <w:lang w:eastAsia="ja-JP"/>
        </w:rPr>
        <w:footnoteReference w:id="29"/>
      </w:r>
      <w:r w:rsidRPr="008A5E08">
        <w:rPr>
          <w:rFonts w:eastAsiaTheme="minorEastAsia"/>
          <w:lang w:eastAsia="ja-JP"/>
        </w:rPr>
        <w:t xml:space="preserve"> Investments in health can catalyze women’s economic empowerment with several downstream effects on human capital accumulation, especially during childhood, and help promote equitable, inclusive and sustainable economic growth.</w:t>
      </w:r>
      <w:r w:rsidRPr="008A5E08">
        <w:rPr>
          <w:rFonts w:eastAsiaTheme="minorEastAsia"/>
          <w:vertAlign w:val="superscript"/>
          <w:lang w:eastAsia="ja-JP"/>
        </w:rPr>
        <w:footnoteReference w:id="30"/>
      </w:r>
      <w:r w:rsidRPr="008A5E08">
        <w:rPr>
          <w:rFonts w:eastAsiaTheme="minorEastAsia"/>
          <w:vertAlign w:val="superscript"/>
          <w:lang w:eastAsia="ja-JP"/>
        </w:rPr>
        <w:footnoteReference w:id="31"/>
      </w:r>
    </w:p>
    <w:p w14:paraId="14CF6F33" w14:textId="76076F27" w:rsidR="00173BC6" w:rsidRDefault="008A5E08" w:rsidP="00173BC6">
      <w:pPr>
        <w:spacing w:after="120" w:line="240" w:lineRule="auto"/>
        <w:jc w:val="both"/>
        <w:textAlignment w:val="baseline"/>
        <w:rPr>
          <w:rFonts w:eastAsiaTheme="minorEastAsia"/>
          <w:lang w:eastAsia="ja-JP"/>
        </w:rPr>
      </w:pPr>
      <w:r w:rsidRPr="008A5E08">
        <w:rPr>
          <w:rFonts w:eastAsia="Calibri"/>
          <w:b/>
        </w:rPr>
        <w:t>Taken together, investments in health will set Somalia on a path to reaping substantial demographic dividends from improvements in the life expectancy and reductions in the fertility rate</w:t>
      </w:r>
      <w:r w:rsidRPr="008A5E08">
        <w:rPr>
          <w:rFonts w:eastAsiaTheme="minorEastAsia"/>
          <w:lang w:eastAsia="ja-JP"/>
        </w:rPr>
        <w:t xml:space="preserve">. Persistently high fertility contributes to maternal mortality, household poverty, childhood malnutrition and lower workforce participation among women. </w:t>
      </w:r>
      <w:r w:rsidRPr="008A5E08">
        <w:rPr>
          <w:rFonts w:eastAsia="Wingdings"/>
          <w:lang w:eastAsia="ja-JP"/>
        </w:rPr>
        <w:t>There are substantial benefits to having smaller family sizes both at the micro and macro levels. At the household level, families will face continuing challenges to ensure that their children are educated, nourished, and healthy, in an environment where several generations are deprived of access to basic services. At the national level, Somali authorities will continue to face enormous pressure to educate additional cohorts of schoolchildren, and the rise in demand for health and social services will further outstrip the capacity of the fragile systems in the country</w:t>
      </w:r>
      <w:r w:rsidRPr="008A5E08">
        <w:rPr>
          <w:rFonts w:eastAsiaTheme="minorEastAsia"/>
          <w:lang w:eastAsia="ja-JP"/>
        </w:rPr>
        <w:t>.</w:t>
      </w:r>
      <w:r w:rsidRPr="008A5E08" w:rsidDel="009B6088">
        <w:rPr>
          <w:rFonts w:eastAsia="Wingdings"/>
          <w:lang w:eastAsia="ja-JP"/>
        </w:rPr>
        <w:t xml:space="preserve"> </w:t>
      </w:r>
      <w:r w:rsidRPr="008A5E08">
        <w:rPr>
          <w:rFonts w:eastAsia="Wingdings"/>
          <w:lang w:eastAsia="ja-JP"/>
        </w:rPr>
        <w:t>Somalia’s high dependency ratio (97 percent</w:t>
      </w:r>
      <w:r w:rsidRPr="008A5E08">
        <w:rPr>
          <w:rFonts w:eastAsiaTheme="minorEastAsia"/>
          <w:lang w:eastAsia="ja-JP"/>
        </w:rPr>
        <w:t xml:space="preserve">) </w:t>
      </w:r>
      <w:r w:rsidRPr="008A5E08">
        <w:rPr>
          <w:rFonts w:eastAsia="Wingdings"/>
          <w:lang w:eastAsia="ja-JP"/>
        </w:rPr>
        <w:t>indicates a low working share of the population.</w:t>
      </w:r>
      <w:r w:rsidRPr="008A5E08">
        <w:rPr>
          <w:rFonts w:eastAsia="Wingdings"/>
          <w:lang w:eastAsia="ja-JP"/>
        </w:rPr>
        <w:fldChar w:fldCharType="begin"/>
      </w:r>
      <w:r w:rsidRPr="008A5E08">
        <w:rPr>
          <w:rFonts w:eastAsia="Wingdings"/>
          <w:lang w:eastAsia="ja-JP"/>
        </w:rPr>
        <w:instrText xml:space="preserve"> NOTEREF _Ref69896657 \f \h  \* MERGEFORMAT </w:instrText>
      </w:r>
      <w:r w:rsidRPr="008A5E08">
        <w:rPr>
          <w:rFonts w:eastAsia="Wingdings"/>
          <w:lang w:eastAsia="ja-JP"/>
        </w:rPr>
      </w:r>
      <w:r w:rsidRPr="008A5E08">
        <w:rPr>
          <w:rFonts w:eastAsia="Wingdings"/>
          <w:lang w:eastAsia="ja-JP"/>
        </w:rPr>
        <w:fldChar w:fldCharType="separate"/>
      </w:r>
      <w:r w:rsidRPr="008A5E08">
        <w:rPr>
          <w:rFonts w:eastAsia="Wingdings"/>
          <w:vertAlign w:val="superscript"/>
          <w:lang w:eastAsia="ja-JP"/>
        </w:rPr>
        <w:t>11</w:t>
      </w:r>
      <w:r w:rsidRPr="008A5E08">
        <w:rPr>
          <w:rFonts w:eastAsia="Wingdings"/>
          <w:lang w:eastAsia="ja-JP"/>
        </w:rPr>
        <w:fldChar w:fldCharType="end"/>
      </w:r>
      <w:r w:rsidRPr="008A5E08">
        <w:rPr>
          <w:rFonts w:eastAsia="Wingdings"/>
          <w:lang w:eastAsia="ja-JP"/>
        </w:rPr>
        <w:t xml:space="preserve"> </w:t>
      </w:r>
      <w:r w:rsidRPr="008A5E08">
        <w:rPr>
          <w:rFonts w:eastAsiaTheme="minorEastAsia"/>
          <w:lang w:eastAsia="ja-JP"/>
        </w:rPr>
        <w:t>A recent study finds that a one percentage point reduction in the child dependency ratio is associated with a roughly 0.4 percentage point drop in the poverty headcount rate.</w:t>
      </w:r>
      <w:r w:rsidRPr="008A5E08">
        <w:rPr>
          <w:rFonts w:eastAsiaTheme="minorEastAsia" w:cstheme="minorHAnsi"/>
          <w:vertAlign w:val="superscript"/>
          <w:lang w:eastAsia="ja-JP"/>
        </w:rPr>
        <w:footnoteReference w:id="32"/>
      </w:r>
      <w:r w:rsidRPr="008A5E08">
        <w:rPr>
          <w:rFonts w:eastAsiaTheme="minorEastAsia"/>
          <w:lang w:eastAsia="ja-JP"/>
        </w:rPr>
        <w:t xml:space="preserve"> This underlines the economic importance of investments targeted at reducing fertility rates and improving female labor force participation. </w:t>
      </w:r>
    </w:p>
    <w:p w14:paraId="66688A24" w14:textId="22B6C035" w:rsidR="008A5E08" w:rsidRPr="008A5E08" w:rsidRDefault="00D90325" w:rsidP="00173BC6">
      <w:pPr>
        <w:spacing w:after="0" w:line="240" w:lineRule="auto"/>
        <w:jc w:val="both"/>
        <w:textAlignment w:val="baseline"/>
        <w:rPr>
          <w:rFonts w:eastAsiaTheme="minorEastAsia"/>
          <w:i/>
          <w:color w:val="FF0000"/>
          <w:lang w:eastAsia="ja-JP"/>
        </w:rPr>
      </w:pPr>
      <w:r>
        <w:rPr>
          <w:rFonts w:eastAsiaTheme="minorEastAsia"/>
          <w:lang w:eastAsia="ja-JP"/>
        </w:rPr>
        <w:t>The Special Focus</w:t>
      </w:r>
      <w:r w:rsidR="008A5E08" w:rsidRPr="008A5E08">
        <w:rPr>
          <w:rFonts w:eastAsiaTheme="minorEastAsia"/>
          <w:lang w:eastAsia="ja-JP"/>
        </w:rPr>
        <w:t xml:space="preserve"> of this issue provides an overview of the Somali health sector, with special emphasis on: i) health outcomes in Somalia; and ii) the major system bottlenecks faced by the health sector and how they affect the efficiency of the health system, service utilization, and outcomes. Chapter 3 provides a set of recommendations on how the Somali health sector can be strengthened to better respond to the country’s health needs over the short to medium term. </w:t>
      </w:r>
    </w:p>
    <w:p w14:paraId="53886B7B" w14:textId="77777777" w:rsidR="008A5E08" w:rsidRPr="008A5E08" w:rsidRDefault="008A5E08" w:rsidP="000D1D64">
      <w:pPr>
        <w:pStyle w:val="Heading2"/>
        <w:spacing w:before="120" w:after="120"/>
        <w:rPr>
          <w:sz w:val="32"/>
          <w:szCs w:val="32"/>
          <w:lang w:eastAsia="ja-JP"/>
        </w:rPr>
      </w:pPr>
      <w:bookmarkStart w:id="102" w:name="_Toc71725902"/>
      <w:r w:rsidRPr="008A5E08">
        <w:rPr>
          <w:lang w:eastAsia="ja-JP"/>
        </w:rPr>
        <w:t>The Current Situation with the Somali Health Sector</w:t>
      </w:r>
      <w:bookmarkEnd w:id="102"/>
    </w:p>
    <w:p w14:paraId="339036CF" w14:textId="7FF7E72B" w:rsidR="008A5E08" w:rsidRPr="008A5E08" w:rsidRDefault="000D1D64" w:rsidP="00D90325">
      <w:pPr>
        <w:pStyle w:val="Heading3"/>
        <w:spacing w:before="120" w:after="120"/>
        <w:rPr>
          <w:lang w:eastAsia="ja-JP"/>
        </w:rPr>
      </w:pPr>
      <w:bookmarkStart w:id="103" w:name="_Toc71574643"/>
      <w:bookmarkStart w:id="104" w:name="_Toc71574818"/>
      <w:bookmarkStart w:id="105" w:name="_Toc71617942"/>
      <w:bookmarkStart w:id="106" w:name="_Toc71618677"/>
      <w:bookmarkStart w:id="107" w:name="_Toc71725903"/>
      <w:r w:rsidRPr="000D1D64">
        <w:rPr>
          <w:lang w:eastAsia="ja-JP"/>
        </w:rPr>
        <w:t>Building a responsive, fair, and efficient health system through coordination</w:t>
      </w:r>
      <w:bookmarkEnd w:id="103"/>
      <w:bookmarkEnd w:id="104"/>
      <w:bookmarkEnd w:id="105"/>
      <w:bookmarkEnd w:id="106"/>
      <w:bookmarkEnd w:id="107"/>
    </w:p>
    <w:p w14:paraId="3A47E4C8"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b/>
          <w:lang w:eastAsia="ja-JP"/>
        </w:rPr>
        <w:t xml:space="preserve">Following Somalia’s independence in 1960, the country had a rudimentary but functioning health system, which achieved several important milestones. </w:t>
      </w:r>
      <w:r w:rsidRPr="008A5E08">
        <w:rPr>
          <w:rFonts w:eastAsiaTheme="minorEastAsia"/>
          <w:lang w:eastAsia="ja-JP"/>
        </w:rPr>
        <w:t xml:space="preserve">By 1970, two nursing schools had been established - one in Hargeisa, and another in Mogadishu. A faculty of medicine and surgery was established in Mogadishu in 1973 to boost human resources for health. By the mid-1970s, primary health care had been introduced with the help of the Finnish International Development Agency (FINIDA). As of </w:t>
      </w:r>
      <w:r w:rsidRPr="008A5E08">
        <w:rPr>
          <w:rFonts w:eastAsiaTheme="minorEastAsia"/>
          <w:lang w:eastAsia="ja-JP"/>
        </w:rPr>
        <w:lastRenderedPageBreak/>
        <w:t>1977, Somalia eradicated the smallpox disease, becoming the final country to report a naturally occurring smallpox case. These achievements resulted in further inflow of foreign assistance, which helped to establish medical training institutions with emphasis on respiratory diseases.</w:t>
      </w:r>
      <w:r w:rsidRPr="008A5E08">
        <w:rPr>
          <w:rFonts w:eastAsiaTheme="minorEastAsia"/>
          <w:vertAlign w:val="superscript"/>
          <w:lang w:eastAsia="ja-JP"/>
        </w:rPr>
        <w:footnoteReference w:id="33"/>
      </w:r>
    </w:p>
    <w:p w14:paraId="73209A94"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b/>
          <w:lang w:eastAsia="ja-JP"/>
        </w:rPr>
        <w:t xml:space="preserve">Decades of political instability and prolonged conflict destroyed health infrastructure, leading to a deterioration in health outcomes of the Somali people, particularly among women and children. </w:t>
      </w:r>
      <w:r w:rsidRPr="008A5E08">
        <w:rPr>
          <w:rFonts w:eastAsiaTheme="minorEastAsia"/>
          <w:lang w:eastAsia="ja-JP"/>
        </w:rPr>
        <w:t>Prior to the military regime of Siad Barre in 1969, private medical practice existed concurrently with public healthcare. However, the socialist government ended private medical practices in 1972, which reduced the quality of care as health workers grew increasingly dissatisfied with government wages.</w:t>
      </w:r>
      <w:r w:rsidRPr="008A5E08">
        <w:rPr>
          <w:rFonts w:eastAsiaTheme="minorEastAsia"/>
          <w:vertAlign w:val="superscript"/>
          <w:lang w:eastAsia="ja-JP"/>
        </w:rPr>
        <w:t xml:space="preserve"> </w:t>
      </w:r>
      <w:r w:rsidRPr="008A5E08">
        <w:rPr>
          <w:rFonts w:eastAsiaTheme="minorEastAsia"/>
          <w:vertAlign w:val="superscript"/>
          <w:lang w:eastAsia="ja-JP"/>
        </w:rPr>
        <w:footnoteReference w:id="34"/>
      </w:r>
      <w:r w:rsidRPr="008A5E08">
        <w:rPr>
          <w:rFonts w:eastAsiaTheme="minorEastAsia"/>
          <w:lang w:eastAsia="ja-JP"/>
        </w:rPr>
        <w:t xml:space="preserve"> Sustained conflict between 1991 and 2012 destroyed the health system, sanitation, and safe drinking water systems, creating fertile grounds for a rise in infectious disease. Women and children are most affected, as Somalia has one of the highest fertility rates in the world, while maternal and child health services barely exist. The high burden of communicable, reproductive, maternal, newborn, child and adolescent disorders highlights the need for immediate investments in health to focus on reproductive, maternal and child health services as well as enhancing surveillance, </w:t>
      </w:r>
      <w:proofErr w:type="gramStart"/>
      <w:r w:rsidRPr="008A5E08">
        <w:rPr>
          <w:rFonts w:eastAsiaTheme="minorEastAsia"/>
          <w:lang w:eastAsia="ja-JP"/>
        </w:rPr>
        <w:t>prevention</w:t>
      </w:r>
      <w:proofErr w:type="gramEnd"/>
      <w:r w:rsidRPr="008A5E08">
        <w:rPr>
          <w:rFonts w:eastAsiaTheme="minorEastAsia"/>
          <w:lang w:eastAsia="ja-JP"/>
        </w:rPr>
        <w:t xml:space="preserve"> and treatment of preventable infectious diseases.</w:t>
      </w:r>
      <w:r w:rsidRPr="008A5E08">
        <w:rPr>
          <w:rFonts w:eastAsiaTheme="minorEastAsia"/>
          <w:vertAlign w:val="superscript"/>
          <w:lang w:eastAsia="ja-JP"/>
        </w:rPr>
        <w:footnoteReference w:id="35"/>
      </w:r>
    </w:p>
    <w:p w14:paraId="44D71C5F" w14:textId="77777777" w:rsidR="008A5E08" w:rsidRPr="008A5E08" w:rsidRDefault="008A5E08" w:rsidP="008A5E08">
      <w:pPr>
        <w:spacing w:line="240" w:lineRule="auto"/>
        <w:jc w:val="both"/>
        <w:rPr>
          <w:rFonts w:eastAsiaTheme="minorEastAsia"/>
          <w:lang w:eastAsia="ja-JP"/>
        </w:rPr>
      </w:pPr>
      <w:r w:rsidRPr="008A5E08">
        <w:rPr>
          <w:rFonts w:eastAsiaTheme="minorEastAsia"/>
          <w:b/>
          <w:lang w:eastAsia="ja-JP"/>
        </w:rPr>
        <w:t xml:space="preserve">Out of the conflict, a vibrant private sector emerged, but significant health needs remain unmet. </w:t>
      </w:r>
      <w:r w:rsidRPr="008A5E08">
        <w:rPr>
          <w:rFonts w:eastAsiaTheme="minorEastAsia"/>
          <w:lang w:eastAsia="ja-JP"/>
        </w:rPr>
        <w:t>At least 60 percent of health services and 70 percent of Somalia’s medicines are estimated to be delivered by the private sector, concentrated in urban areas.</w:t>
      </w:r>
      <w:bookmarkStart w:id="108" w:name="_Ref69373710"/>
      <w:r w:rsidRPr="008A5E08">
        <w:rPr>
          <w:rFonts w:eastAsiaTheme="minorEastAsia"/>
          <w:vertAlign w:val="superscript"/>
          <w:lang w:eastAsia="ja-JP"/>
        </w:rPr>
        <w:footnoteReference w:id="36"/>
      </w:r>
      <w:bookmarkEnd w:id="108"/>
      <w:r w:rsidRPr="008A5E08">
        <w:rPr>
          <w:rFonts w:eastAsiaTheme="minorEastAsia"/>
          <w:b/>
          <w:lang w:eastAsia="ja-JP"/>
        </w:rPr>
        <w:t xml:space="preserve"> </w:t>
      </w:r>
      <w:r w:rsidRPr="008A5E08">
        <w:rPr>
          <w:rFonts w:eastAsiaTheme="minorEastAsia"/>
          <w:lang w:eastAsia="ja-JP"/>
        </w:rPr>
        <w:t>However, Somalia’s private sector is informal and unregulated due to constraints on the government’s regulatory capacity.</w:t>
      </w:r>
      <w:r w:rsidRPr="008A5E08">
        <w:rPr>
          <w:rFonts w:eastAsiaTheme="minorEastAsia"/>
          <w:lang w:eastAsia="ja-JP"/>
        </w:rPr>
        <w:fldChar w:fldCharType="begin"/>
      </w:r>
      <w:r w:rsidRPr="008A5E08">
        <w:rPr>
          <w:rFonts w:eastAsiaTheme="minorEastAsia"/>
          <w:lang w:eastAsia="ja-JP"/>
        </w:rPr>
        <w:instrText xml:space="preserve"> NOTEREF _Ref69373710 \f \h  \* MERGEFORMAT </w:instrText>
      </w:r>
      <w:r w:rsidRPr="008A5E08">
        <w:rPr>
          <w:rFonts w:eastAsiaTheme="minorEastAsia"/>
          <w:lang w:eastAsia="ja-JP"/>
        </w:rPr>
      </w:r>
      <w:r w:rsidRPr="008A5E08">
        <w:rPr>
          <w:rFonts w:eastAsiaTheme="minorEastAsia"/>
          <w:lang w:eastAsia="ja-JP"/>
        </w:rPr>
        <w:fldChar w:fldCharType="separate"/>
      </w:r>
      <w:r w:rsidRPr="008A5E08">
        <w:rPr>
          <w:rFonts w:eastAsiaTheme="minorEastAsia"/>
          <w:vertAlign w:val="superscript"/>
          <w:lang w:eastAsia="ja-JP"/>
        </w:rPr>
        <w:t>24</w:t>
      </w:r>
      <w:r w:rsidRPr="008A5E08">
        <w:rPr>
          <w:rFonts w:eastAsiaTheme="minorEastAsia"/>
          <w:lang w:eastAsia="ja-JP"/>
        </w:rPr>
        <w:fldChar w:fldCharType="end"/>
      </w:r>
      <w:r w:rsidRPr="008A5E08">
        <w:rPr>
          <w:rFonts w:eastAsiaTheme="minorEastAsia"/>
          <w:lang w:eastAsia="ja-JP"/>
        </w:rPr>
        <w:t xml:space="preserve"> As a result, there are no quality and safety standards in place for health services or pharmaceutical products in Somalia. In such an environment, the full potential of the private sector is not realized as the supply of unsafe health services undermines efforts to improve health outcomes.  While the private sector has no formal organization, several private sector networks have emerged to coordinate private sector health providers in the country.  </w:t>
      </w:r>
    </w:p>
    <w:p w14:paraId="0B68450D" w14:textId="77777777" w:rsidR="008A5E08" w:rsidRPr="008A5E08" w:rsidRDefault="008A5E08" w:rsidP="008A5E08">
      <w:pPr>
        <w:spacing w:line="240" w:lineRule="auto"/>
        <w:jc w:val="both"/>
        <w:rPr>
          <w:rFonts w:eastAsiaTheme="minorEastAsia"/>
          <w:lang w:eastAsia="ja-JP"/>
        </w:rPr>
      </w:pPr>
      <w:r w:rsidRPr="008A5E08">
        <w:rPr>
          <w:rFonts w:eastAsiaTheme="minorEastAsia"/>
          <w:b/>
          <w:bCs/>
          <w:lang w:eastAsia="ja-JP"/>
        </w:rPr>
        <w:t>Alongside Somalia’s large private sector, a multiplicity of non-Governmental organizations emerged providing humanitarian health services.</w:t>
      </w:r>
      <w:r w:rsidRPr="008A5E08">
        <w:rPr>
          <w:rFonts w:eastAsiaTheme="minorEastAsia"/>
          <w:lang w:eastAsia="ja-JP"/>
        </w:rPr>
        <w:t xml:space="preserve">  Numerous international and national non-Governmental organizations provided health services, with funding sources ranging from donor organizations, the diaspora, and other private sources.  Exact numbers of NGOs providing humanitarian health services are not available and the sector is fluid, with organizations leaving and new actors emerging.  While there is limited coordination of the humanitarian health sector, the UN health cluster system provides some coordination. </w:t>
      </w:r>
    </w:p>
    <w:p w14:paraId="3A2DC3B6"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b/>
          <w:bCs/>
          <w:lang w:eastAsia="ja-JP"/>
        </w:rPr>
        <w:t>Government health service delivery is limited in Somalia.</w:t>
      </w:r>
      <w:r w:rsidRPr="008A5E08">
        <w:rPr>
          <w:rFonts w:eastAsiaTheme="minorEastAsia"/>
          <w:lang w:eastAsia="ja-JP"/>
        </w:rPr>
        <w:t xml:space="preserve">  Puntland and Somaliland manage some health services on a limited basis.  The FGS delivers some hospital services in Mogadishu.  The overwhelming majority of health services are delivered by NGO.</w:t>
      </w:r>
    </w:p>
    <w:p w14:paraId="08B9FB9B"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In 2013, the Joint Health and Nutrition Program (JHNP) and the Health Consortium for Somali People began implementing an essential package of health services (EPHS), coordinating donors and NGOs to provide services</w:t>
      </w:r>
      <w:r w:rsidRPr="008A5E08">
        <w:rPr>
          <w:rFonts w:eastAsiaTheme="minorEastAsia" w:cstheme="minorHAnsi"/>
          <w:lang w:eastAsia="ja-JP"/>
        </w:rPr>
        <w:t xml:space="preserve">. Somalia’s 2009 EPHS included six core programs (maternal, reproductive and newborn </w:t>
      </w:r>
      <w:r w:rsidRPr="008A5E08">
        <w:rPr>
          <w:rFonts w:eastAsiaTheme="minorEastAsia" w:cstheme="minorHAnsi"/>
          <w:lang w:eastAsia="ja-JP"/>
        </w:rPr>
        <w:lastRenderedPageBreak/>
        <w:t xml:space="preserve">health; child health; communicable disease surveillance and control, first aid and critical care; treatment of common illnesses, and HIV, STIs &amp; TB) as well as four additional programs (Chronic disease management; mental health &amp; mental disability; dental health; and eye health). Due to limited resources, JHNP did not cover the nationwide or the full components of the EPHS.  However, JHNP improved coordination between health service delivery partners. </w:t>
      </w:r>
    </w:p>
    <w:p w14:paraId="61F61EA8"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After the closure of the JHNP in 2016, largely due to the end UK Foreign Commonwealth and Development Office (FCDO) financial support, partner fragmentation resumed, with partial geographic coverage and varying package components supported by different partners.</w:t>
      </w:r>
      <w:r w:rsidRPr="008A5E08">
        <w:rPr>
          <w:rFonts w:eastAsiaTheme="minorEastAsia" w:cstheme="minorHAnsi"/>
          <w:lang w:eastAsia="ja-JP"/>
        </w:rPr>
        <w:t xml:space="preserve"> According to 2017 WHO figures, following JHNP’s closure approximately 47 out of 89 districts (5.7 million people) had access to part of the EPHS, representing 41 percent of the population. Numerous humanitarian health service providers operate in the country with limited information on who covers which services in which locations. Several larger donors, including Germany, Sweden, and FCDO support larger geographic swaths of the country, coordinating with the Government, although the financing they provide is not on the Government’s budget.   </w:t>
      </w:r>
    </w:p>
    <w:p w14:paraId="3A02F975"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The Federal Government of Somalia (FGS) is making efforts to coordinate development partners as an urgent and necessary step to address the leading causes of mortality and morbidity.  </w:t>
      </w:r>
      <w:r w:rsidRPr="008A5E08">
        <w:rPr>
          <w:rFonts w:eastAsiaTheme="minorEastAsia" w:cstheme="minorHAnsi"/>
          <w:lang w:eastAsia="ja-JP"/>
        </w:rPr>
        <w:t>The Government holds regular health sector coordination meetings to bring together health sector development partners.</w:t>
      </w:r>
      <w:r w:rsidRPr="008A5E08">
        <w:rPr>
          <w:rFonts w:eastAsiaTheme="minorEastAsia" w:cstheme="minorHAnsi"/>
          <w:b/>
          <w:bCs/>
          <w:lang w:eastAsia="ja-JP"/>
        </w:rPr>
        <w:t xml:space="preserve"> </w:t>
      </w:r>
      <w:r w:rsidRPr="008A5E08">
        <w:rPr>
          <w:rFonts w:eastAsiaTheme="minorEastAsia" w:cstheme="minorHAnsi"/>
          <w:lang w:eastAsia="ja-JP"/>
        </w:rPr>
        <w:t xml:space="preserve">In 2020, the government revised the EPHS, developing a comprehensive package of health and nutrition services with the aim to align fragmented donor financing around the implementation of the revised EPHS. The upcoming </w:t>
      </w:r>
      <w:proofErr w:type="spellStart"/>
      <w:r w:rsidRPr="008A5E08">
        <w:rPr>
          <w:rFonts w:eastAsiaTheme="minorEastAsia" w:cstheme="minorHAnsi"/>
          <w:lang w:eastAsia="ja-JP"/>
        </w:rPr>
        <w:t>Damal</w:t>
      </w:r>
      <w:proofErr w:type="spellEnd"/>
      <w:r w:rsidRPr="008A5E08">
        <w:rPr>
          <w:rFonts w:eastAsiaTheme="minorEastAsia" w:cstheme="minorHAnsi"/>
          <w:lang w:eastAsia="ja-JP"/>
        </w:rPr>
        <w:t xml:space="preserve"> </w:t>
      </w:r>
      <w:proofErr w:type="spellStart"/>
      <w:r w:rsidRPr="008A5E08">
        <w:rPr>
          <w:rFonts w:eastAsiaTheme="minorEastAsia" w:cstheme="minorHAnsi"/>
          <w:lang w:eastAsia="ja-JP"/>
        </w:rPr>
        <w:t>Caafimaad</w:t>
      </w:r>
      <w:proofErr w:type="spellEnd"/>
      <w:r w:rsidRPr="008A5E08">
        <w:rPr>
          <w:rFonts w:eastAsiaTheme="minorEastAsia" w:cstheme="minorHAnsi"/>
          <w:lang w:eastAsia="ja-JP"/>
        </w:rPr>
        <w:t xml:space="preserve"> Project, currently in preparation to be supported by the World Bank and Global Financing Facility (GFF),  will help the government quickly expand access to high-impact, essential health and nutrition services to address the leading causes of mortality in Somalia. It will also further strengthen the health systems and the institutional capacities of federal and state health ministries to </w:t>
      </w:r>
      <w:proofErr w:type="gramStart"/>
      <w:r w:rsidRPr="008A5E08">
        <w:rPr>
          <w:rFonts w:eastAsiaTheme="minorEastAsia" w:cstheme="minorHAnsi"/>
          <w:lang w:eastAsia="ja-JP"/>
        </w:rPr>
        <w:t>more efficiently coordinate, pool and utilize health resources for improving health outcomes of the Somali people</w:t>
      </w:r>
      <w:proofErr w:type="gramEnd"/>
      <w:r w:rsidRPr="008A5E08">
        <w:rPr>
          <w:rFonts w:eastAsiaTheme="minorEastAsia" w:cstheme="minorHAnsi"/>
          <w:lang w:eastAsia="ja-JP"/>
        </w:rPr>
        <w:t xml:space="preserve">. </w:t>
      </w:r>
    </w:p>
    <w:p w14:paraId="1F28E2F6" w14:textId="77777777" w:rsidR="008A5E08" w:rsidRPr="008A5E08" w:rsidRDefault="008A5E08" w:rsidP="00D90325">
      <w:pPr>
        <w:pStyle w:val="Heading3"/>
        <w:spacing w:before="120" w:after="120"/>
        <w:rPr>
          <w:lang w:eastAsia="ja-JP"/>
        </w:rPr>
      </w:pPr>
      <w:bookmarkStart w:id="109" w:name="_Toc71574644"/>
      <w:bookmarkStart w:id="110" w:name="_Toc71574819"/>
      <w:bookmarkStart w:id="111" w:name="_Toc71617943"/>
      <w:bookmarkStart w:id="112" w:name="_Toc71618678"/>
      <w:bookmarkStart w:id="113" w:name="_Toc71725904"/>
      <w:r w:rsidRPr="008A5E08">
        <w:rPr>
          <w:lang w:eastAsia="ja-JP"/>
        </w:rPr>
        <w:t>Somalia’s Health Outcomes</w:t>
      </w:r>
      <w:bookmarkEnd w:id="109"/>
      <w:bookmarkEnd w:id="110"/>
      <w:bookmarkEnd w:id="111"/>
      <w:bookmarkEnd w:id="112"/>
      <w:bookmarkEnd w:id="113"/>
    </w:p>
    <w:p w14:paraId="7E97A897" w14:textId="77777777" w:rsidR="008A5E08" w:rsidRPr="008A5E08" w:rsidRDefault="008A5E08" w:rsidP="008A5E08">
      <w:pPr>
        <w:spacing w:line="240" w:lineRule="auto"/>
        <w:jc w:val="both"/>
        <w:rPr>
          <w:rFonts w:eastAsia="Times New Roman" w:cstheme="minorHAnsi"/>
          <w:color w:val="000000"/>
          <w:shd w:val="clear" w:color="auto" w:fill="FFFFFF"/>
        </w:rPr>
      </w:pPr>
      <w:r w:rsidRPr="008A5E08">
        <w:rPr>
          <w:rFonts w:eastAsia="Times New Roman" w:cstheme="minorHAnsi"/>
          <w:color w:val="000000"/>
          <w:shd w:val="clear" w:color="auto" w:fill="FFFFFF"/>
        </w:rPr>
        <w:t xml:space="preserve">This section provide an analysis of the current health outcomes in Somalia through the lens of i) Somalia’s fertility rate, which is currently one of the highest in the world and its implications for maternal and child health outcomes; and ii) the substantial communicable disease burden amidst a rising incidence of non-communicable and mental health disorders. The section concludes by highlighting the socioeconomic disparities in health-seeking behavior and health outcomes, and their implications for inclusive growth and sustainable development in Somalia. </w:t>
      </w:r>
    </w:p>
    <w:p w14:paraId="1B2BB606" w14:textId="77777777" w:rsidR="008A5E08" w:rsidRPr="008A5E08" w:rsidRDefault="008A5E08" w:rsidP="008A5E08">
      <w:pPr>
        <w:spacing w:line="240" w:lineRule="auto"/>
        <w:jc w:val="both"/>
        <w:rPr>
          <w:rFonts w:eastAsia="Times New Roman" w:cstheme="minorHAnsi"/>
          <w:color w:val="000000"/>
          <w:u w:val="single"/>
          <w:shd w:val="clear" w:color="auto" w:fill="FFFFFF"/>
        </w:rPr>
      </w:pPr>
      <w:r w:rsidRPr="008A5E08">
        <w:rPr>
          <w:rFonts w:eastAsia="Times New Roman" w:cstheme="minorHAnsi"/>
          <w:color w:val="000000"/>
          <w:u w:val="single"/>
          <w:shd w:val="clear" w:color="auto" w:fill="FFFFFF"/>
        </w:rPr>
        <w:t xml:space="preserve">Life expectancy and fertility </w:t>
      </w:r>
    </w:p>
    <w:p w14:paraId="76F2BFBF" w14:textId="137FA1B1" w:rsidR="008A5E08" w:rsidRPr="008A5E08" w:rsidRDefault="008A5E08" w:rsidP="008A5E08">
      <w:pPr>
        <w:spacing w:line="240" w:lineRule="auto"/>
        <w:jc w:val="both"/>
        <w:rPr>
          <w:rFonts w:eastAsiaTheme="minorEastAsia"/>
          <w:lang w:eastAsia="ja-JP"/>
        </w:rPr>
      </w:pPr>
      <w:r w:rsidRPr="008A5E08">
        <w:rPr>
          <w:rFonts w:eastAsiaTheme="minorEastAsia" w:cstheme="minorHAnsi"/>
          <w:b/>
          <w:bCs/>
          <w:lang w:eastAsia="ja-JP"/>
        </w:rPr>
        <w:t xml:space="preserve">Although life expectancy has improved over the last three decades, Somalia’s life expectancy is lower than the SSA average. </w:t>
      </w:r>
      <w:r w:rsidRPr="008A5E08">
        <w:rPr>
          <w:rFonts w:eastAsiaTheme="minorEastAsia" w:cstheme="minorHAnsi"/>
          <w:lang w:eastAsia="ja-JP"/>
        </w:rPr>
        <w:t xml:space="preserve">At present, the average child born in Somalia can expect to live up to 57.1 years, up from 50.4 years in 2000 and 45.3 years in 1990. This compares to 66.3 years in neighboring Kenya and the SSA average of 61.3 years. </w:t>
      </w:r>
      <w:r w:rsidRPr="008A5E08">
        <w:rPr>
          <w:rFonts w:eastAsiaTheme="minorEastAsia"/>
          <w:lang w:eastAsia="ja-JP"/>
        </w:rPr>
        <w:t xml:space="preserve">Similarly, the Disability Adjusted Life Years (DALY) rate which measures the overall disease burden is 64,069 per 100,000 population in Somalia, compared to the SSA average of 47,359 per 100,000 population (see </w:t>
      </w:r>
      <w:r w:rsidR="00D90325" w:rsidRPr="00D90325">
        <w:rPr>
          <w:rFonts w:eastAsiaTheme="minorEastAsia"/>
          <w:lang w:eastAsia="ja-JP"/>
        </w:rPr>
        <w:fldChar w:fldCharType="begin"/>
      </w:r>
      <w:r w:rsidR="00D90325" w:rsidRPr="00D90325">
        <w:rPr>
          <w:rFonts w:eastAsiaTheme="minorEastAsia"/>
          <w:lang w:eastAsia="ja-JP"/>
        </w:rPr>
        <w:instrText xml:space="preserve"> REF _Ref71569280 \h  \* MERGEFORMAT </w:instrText>
      </w:r>
      <w:r w:rsidR="00D90325" w:rsidRPr="00D90325">
        <w:rPr>
          <w:rFonts w:eastAsiaTheme="minorEastAsia"/>
          <w:lang w:eastAsia="ja-JP"/>
        </w:rPr>
      </w:r>
      <w:r w:rsidR="00D90325" w:rsidRPr="00D90325">
        <w:rPr>
          <w:rFonts w:eastAsiaTheme="minorEastAsia"/>
          <w:lang w:eastAsia="ja-JP"/>
        </w:rPr>
        <w:fldChar w:fldCharType="separate"/>
      </w:r>
      <w:r w:rsidR="006D6F0B" w:rsidRPr="006D6F0B">
        <w:rPr>
          <w:color w:val="000000" w:themeColor="text1"/>
        </w:rPr>
        <w:t xml:space="preserve">Figure </w:t>
      </w:r>
      <w:r w:rsidR="006D6F0B" w:rsidRPr="006D6F0B">
        <w:rPr>
          <w:noProof/>
          <w:color w:val="000000" w:themeColor="text1"/>
        </w:rPr>
        <w:t>21</w:t>
      </w:r>
      <w:r w:rsidR="00D90325" w:rsidRPr="00D90325">
        <w:rPr>
          <w:rFonts w:eastAsiaTheme="minorEastAsia"/>
          <w:lang w:eastAsia="ja-JP"/>
        </w:rPr>
        <w:fldChar w:fldCharType="end"/>
      </w:r>
      <w:r w:rsidRPr="008A5E08">
        <w:rPr>
          <w:rFonts w:eastAsiaTheme="minorEastAsia"/>
          <w:lang w:eastAsia="ja-JP"/>
        </w:rPr>
        <w:t>).</w:t>
      </w:r>
      <w:r w:rsidRPr="008A5E08">
        <w:rPr>
          <w:rFonts w:eastAsiaTheme="minorEastAsia"/>
          <w:vertAlign w:val="superscript"/>
          <w:lang w:eastAsia="ja-JP"/>
        </w:rPr>
        <w:footnoteReference w:id="37"/>
      </w:r>
      <w:r w:rsidRPr="008A5E08">
        <w:rPr>
          <w:rFonts w:eastAsiaTheme="minorEastAsia"/>
          <w:lang w:eastAsia="ja-JP"/>
        </w:rPr>
        <w:t xml:space="preserve"> </w:t>
      </w:r>
      <w:r w:rsidRPr="008A5E08">
        <w:rPr>
          <w:rFonts w:eastAsiaTheme="minorEastAsia" w:cstheme="minorHAnsi"/>
          <w:lang w:eastAsia="ja-JP"/>
        </w:rPr>
        <w:t>This means that critical labor needed for development is lost to death and disability at a very high rate.</w:t>
      </w:r>
      <w:r w:rsidRPr="008A5E08">
        <w:rPr>
          <w:rFonts w:eastAsiaTheme="minorEastAsia"/>
          <w:lang w:eastAsia="ja-JP"/>
        </w:rPr>
        <w:t xml:space="preserve"> </w:t>
      </w:r>
    </w:p>
    <w:p w14:paraId="59B2EBBC" w14:textId="1BA951D1" w:rsidR="008A5E08" w:rsidRPr="008A5E08" w:rsidRDefault="00D90325" w:rsidP="008A5E08">
      <w:pPr>
        <w:keepNext/>
        <w:spacing w:after="0" w:line="276" w:lineRule="auto"/>
        <w:jc w:val="both"/>
        <w:rPr>
          <w:rFonts w:eastAsiaTheme="minorEastAsia" w:cstheme="minorHAnsi"/>
          <w:b/>
          <w:bCs/>
          <w:color w:val="000000" w:themeColor="text1"/>
          <w:lang w:eastAsia="ja-JP"/>
        </w:rPr>
      </w:pPr>
      <w:bookmarkStart w:id="114" w:name="_Ref71569280"/>
      <w:bookmarkStart w:id="115" w:name="_Toc71725939"/>
      <w:r w:rsidRPr="00D90325">
        <w:rPr>
          <w:b/>
          <w:bCs/>
          <w:color w:val="000000" w:themeColor="text1"/>
        </w:rPr>
        <w:lastRenderedPageBreak/>
        <w:t xml:space="preserve">Figure </w:t>
      </w:r>
      <w:r w:rsidRPr="00D90325">
        <w:rPr>
          <w:b/>
          <w:bCs/>
          <w:color w:val="000000" w:themeColor="text1"/>
        </w:rPr>
        <w:fldChar w:fldCharType="begin"/>
      </w:r>
      <w:r w:rsidRPr="00D90325">
        <w:rPr>
          <w:b/>
          <w:bCs/>
          <w:color w:val="000000" w:themeColor="text1"/>
        </w:rPr>
        <w:instrText xml:space="preserve"> SEQ Figure \* ARABIC </w:instrText>
      </w:r>
      <w:r w:rsidRPr="00D90325">
        <w:rPr>
          <w:b/>
          <w:bCs/>
          <w:color w:val="000000" w:themeColor="text1"/>
        </w:rPr>
        <w:fldChar w:fldCharType="separate"/>
      </w:r>
      <w:r w:rsidR="006D6F0B">
        <w:rPr>
          <w:b/>
          <w:bCs/>
          <w:noProof/>
          <w:color w:val="000000" w:themeColor="text1"/>
        </w:rPr>
        <w:t>21</w:t>
      </w:r>
      <w:r w:rsidRPr="00D90325">
        <w:rPr>
          <w:b/>
          <w:bCs/>
          <w:color w:val="000000" w:themeColor="text1"/>
        </w:rPr>
        <w:fldChar w:fldCharType="end"/>
      </w:r>
      <w:bookmarkEnd w:id="114"/>
      <w:r w:rsidRPr="00D90325">
        <w:rPr>
          <w:b/>
          <w:bCs/>
          <w:color w:val="000000" w:themeColor="text1"/>
        </w:rPr>
        <w:t xml:space="preserve">: </w:t>
      </w:r>
      <w:r w:rsidR="008A5E08" w:rsidRPr="008A5E08">
        <w:rPr>
          <w:rFonts w:eastAsiaTheme="minorEastAsia" w:cstheme="minorHAnsi"/>
          <w:b/>
          <w:bCs/>
          <w:color w:val="000000" w:themeColor="text1"/>
          <w:lang w:eastAsia="ja-JP"/>
        </w:rPr>
        <w:t>Disability Adjusted Life Years (DALY) per 100,000 population</w:t>
      </w:r>
      <w:bookmarkEnd w:id="115"/>
    </w:p>
    <w:p w14:paraId="400A741F" w14:textId="77777777" w:rsidR="008A5E08" w:rsidRPr="008A5E08" w:rsidRDefault="008A5E08" w:rsidP="008A5E08">
      <w:pPr>
        <w:keepNext/>
        <w:spacing w:after="0" w:line="276" w:lineRule="auto"/>
        <w:jc w:val="both"/>
        <w:rPr>
          <w:rFonts w:eastAsiaTheme="minorEastAsia" w:cstheme="minorHAnsi"/>
          <w:lang w:eastAsia="ja-JP"/>
        </w:rPr>
      </w:pPr>
      <w:r w:rsidRPr="008A5E08">
        <w:rPr>
          <w:rFonts w:eastAsiaTheme="minorEastAsia"/>
          <w:noProof/>
          <w:lang w:eastAsia="ja-JP"/>
        </w:rPr>
        <w:t xml:space="preserve"> </w:t>
      </w:r>
      <w:r w:rsidRPr="008A5E08">
        <w:rPr>
          <w:rFonts w:eastAsiaTheme="minorEastAsia"/>
          <w:noProof/>
          <w:lang w:eastAsia="ja-JP"/>
        </w:rPr>
        <w:drawing>
          <wp:inline distT="0" distB="0" distL="0" distR="0" wp14:anchorId="1E6050FC" wp14:editId="700F8C0A">
            <wp:extent cx="3657600" cy="3975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9">
                      <a:extLst>
                        <a:ext uri="{28A0092B-C50C-407E-A947-70E740481C1C}">
                          <a14:useLocalDpi xmlns:a14="http://schemas.microsoft.com/office/drawing/2010/main" val="0"/>
                        </a:ext>
                      </a:extLst>
                    </a:blip>
                    <a:stretch>
                      <a:fillRect/>
                    </a:stretch>
                  </pic:blipFill>
                  <pic:spPr>
                    <a:xfrm>
                      <a:off x="0" y="0"/>
                      <a:ext cx="3657600" cy="3975100"/>
                    </a:xfrm>
                    <a:prstGeom prst="rect">
                      <a:avLst/>
                    </a:prstGeom>
                  </pic:spPr>
                </pic:pic>
              </a:graphicData>
            </a:graphic>
          </wp:inline>
        </w:drawing>
      </w:r>
    </w:p>
    <w:p w14:paraId="15C8867D" w14:textId="77777777" w:rsidR="008A5E08" w:rsidRPr="008A5E08" w:rsidRDefault="008A5E08" w:rsidP="00D90325">
      <w:pPr>
        <w:spacing w:after="120" w:line="276" w:lineRule="auto"/>
        <w:jc w:val="both"/>
        <w:rPr>
          <w:rFonts w:eastAsia="Wingdings" w:cstheme="minorHAnsi"/>
          <w:sz w:val="24"/>
          <w:szCs w:val="24"/>
          <w:lang w:eastAsia="ja-JP"/>
        </w:rPr>
      </w:pPr>
      <w:r w:rsidRPr="008A5E08">
        <w:rPr>
          <w:rFonts w:eastAsiaTheme="minorEastAsia" w:cstheme="minorHAnsi"/>
          <w:i/>
          <w:iCs/>
          <w:sz w:val="20"/>
          <w:szCs w:val="20"/>
          <w:lang w:eastAsia="ja-JP"/>
        </w:rPr>
        <w:t xml:space="preserve">Data source: Global Burden of Disease (GBD) 2019. </w:t>
      </w:r>
      <w:r w:rsidRPr="008A5E08">
        <w:rPr>
          <w:rFonts w:eastAsia="Wingdings" w:cstheme="minorHAnsi"/>
          <w:i/>
          <w:iCs/>
          <w:sz w:val="20"/>
          <w:szCs w:val="20"/>
          <w:lang w:eastAsia="ja-JP"/>
        </w:rPr>
        <w:t>Map production: World Bank Health Team</w:t>
      </w:r>
      <w:r w:rsidRPr="008A5E08">
        <w:rPr>
          <w:rFonts w:eastAsiaTheme="minorEastAsia" w:cstheme="minorHAnsi"/>
          <w:i/>
          <w:iCs/>
          <w:sz w:val="20"/>
          <w:szCs w:val="20"/>
          <w:lang w:eastAsia="ja-JP"/>
        </w:rPr>
        <w:t>.</w:t>
      </w:r>
    </w:p>
    <w:p w14:paraId="430D16F1" w14:textId="0195915C" w:rsidR="008A5E08" w:rsidRPr="008A5E08" w:rsidRDefault="008A5E08" w:rsidP="008A5E08">
      <w:pPr>
        <w:spacing w:line="240" w:lineRule="auto"/>
        <w:jc w:val="both"/>
        <w:rPr>
          <w:rFonts w:eastAsiaTheme="minorEastAsia" w:cstheme="minorHAnsi"/>
          <w:lang w:eastAsia="ja-JP"/>
        </w:rPr>
      </w:pPr>
      <w:r w:rsidRPr="008A5E08">
        <w:rPr>
          <w:rFonts w:eastAsiaTheme="minorEastAsia"/>
          <w:b/>
          <w:lang w:eastAsia="ja-JP"/>
        </w:rPr>
        <w:t xml:space="preserve">The inability of the economy to create jobs for the country’s fast-growing youth population, spurred by high fertility rates, has contributed to rising unemployment in Somalia. </w:t>
      </w:r>
      <w:r w:rsidRPr="008A5E08">
        <w:rPr>
          <w:rFonts w:eastAsiaTheme="minorEastAsia"/>
          <w:bCs/>
          <w:lang w:eastAsia="ja-JP"/>
        </w:rPr>
        <w:t xml:space="preserve">As seen in Figure 3, </w:t>
      </w:r>
      <w:r w:rsidRPr="008A5E08">
        <w:rPr>
          <w:rFonts w:eastAsiaTheme="minorEastAsia"/>
          <w:lang w:eastAsia="ja-JP"/>
        </w:rPr>
        <w:t>the average number of children per woman in Somalia as of 2020 was 6.9 compared to the SSA average of 4.6 children per woman (</w:t>
      </w:r>
      <w:r w:rsidR="00DD4F2E" w:rsidRPr="00DD4F2E">
        <w:rPr>
          <w:rFonts w:eastAsiaTheme="minorEastAsia"/>
          <w:lang w:eastAsia="ja-JP"/>
        </w:rPr>
        <w:fldChar w:fldCharType="begin"/>
      </w:r>
      <w:r w:rsidR="00DD4F2E" w:rsidRPr="00DD4F2E">
        <w:rPr>
          <w:rFonts w:eastAsiaTheme="minorEastAsia"/>
          <w:lang w:eastAsia="ja-JP"/>
        </w:rPr>
        <w:instrText xml:space="preserve"> REF _Ref71571762 \h  \* MERGEFORMAT </w:instrText>
      </w:r>
      <w:r w:rsidR="00DD4F2E" w:rsidRPr="00DD4F2E">
        <w:rPr>
          <w:rFonts w:eastAsiaTheme="minorEastAsia"/>
          <w:lang w:eastAsia="ja-JP"/>
        </w:rPr>
      </w:r>
      <w:r w:rsidR="00DD4F2E" w:rsidRPr="00DD4F2E">
        <w:rPr>
          <w:rFonts w:eastAsiaTheme="minorEastAsia"/>
          <w:lang w:eastAsia="ja-JP"/>
        </w:rPr>
        <w:fldChar w:fldCharType="separate"/>
      </w:r>
      <w:r w:rsidR="006D6F0B" w:rsidRPr="006D6F0B">
        <w:rPr>
          <w:color w:val="000000" w:themeColor="text1"/>
        </w:rPr>
        <w:t xml:space="preserve">Figure </w:t>
      </w:r>
      <w:r w:rsidR="006D6F0B" w:rsidRPr="006D6F0B">
        <w:rPr>
          <w:noProof/>
          <w:color w:val="000000" w:themeColor="text1"/>
        </w:rPr>
        <w:t>22</w:t>
      </w:r>
      <w:r w:rsidR="00DD4F2E" w:rsidRPr="00DD4F2E">
        <w:rPr>
          <w:rFonts w:eastAsiaTheme="minorEastAsia"/>
          <w:lang w:eastAsia="ja-JP"/>
        </w:rPr>
        <w:fldChar w:fldCharType="end"/>
      </w:r>
      <w:r w:rsidRPr="008A5E08">
        <w:rPr>
          <w:rFonts w:eastAsiaTheme="minorEastAsia"/>
          <w:lang w:eastAsia="ja-JP"/>
        </w:rPr>
        <w:t>).</w:t>
      </w:r>
      <w:r w:rsidRPr="008A5E08">
        <w:rPr>
          <w:rFonts w:eastAsiaTheme="minorEastAsia"/>
          <w:vertAlign w:val="superscript"/>
          <w:lang w:eastAsia="ja-JP"/>
        </w:rPr>
        <w:footnoteReference w:id="38"/>
      </w:r>
      <w:r w:rsidRPr="008A5E08">
        <w:rPr>
          <w:rFonts w:eastAsiaTheme="minorEastAsia"/>
          <w:lang w:eastAsia="ja-JP"/>
        </w:rPr>
        <w:t xml:space="preserve"> Somalia has an estimated annual population growth rate of 2.9 percent and an annual GDP growth rate of about 2.8 percent, resulting in the doubling of the population every 24 years. This implies that the economy is barely able to generate enough economic opportunities to meet the needs of a rising population. Consequently, Somalia has a high unemployment rate of 13.4 percent compared to the SSA average of 6.6 percent.</w:t>
      </w:r>
      <w:bookmarkStart w:id="116" w:name="_Ref69385542"/>
      <w:r w:rsidRPr="008A5E08">
        <w:rPr>
          <w:rFonts w:eastAsiaTheme="minorEastAsia"/>
          <w:vertAlign w:val="superscript"/>
          <w:lang w:eastAsia="ja-JP"/>
        </w:rPr>
        <w:footnoteReference w:id="39"/>
      </w:r>
      <w:bookmarkEnd w:id="116"/>
      <w:r w:rsidRPr="008A5E08">
        <w:rPr>
          <w:rFonts w:eastAsiaTheme="minorEastAsia"/>
          <w:lang w:eastAsia="ja-JP"/>
        </w:rPr>
        <w:t xml:space="preserve"> The high level of unemployment can increase the vulnerability of unemployed youth to armed groups, making them more likely to participate in systemic violence and exacerbating insecurity.</w:t>
      </w:r>
      <w:r w:rsidRPr="008A5E08">
        <w:rPr>
          <w:rFonts w:eastAsiaTheme="minorEastAsia"/>
          <w:vertAlign w:val="superscript"/>
          <w:lang w:eastAsia="ja-JP"/>
        </w:rPr>
        <w:footnoteReference w:id="40"/>
      </w:r>
      <w:r w:rsidRPr="008A5E08">
        <w:rPr>
          <w:rFonts w:eastAsiaTheme="minorEastAsia"/>
          <w:lang w:eastAsia="ja-JP"/>
        </w:rPr>
        <w:t xml:space="preserve"> </w:t>
      </w:r>
    </w:p>
    <w:p w14:paraId="6835F995" w14:textId="1CAC4288" w:rsidR="008A5E08" w:rsidRPr="008A5E08" w:rsidRDefault="00DD4F2E" w:rsidP="008A5E08">
      <w:pPr>
        <w:keepNext/>
        <w:spacing w:line="240" w:lineRule="auto"/>
        <w:rPr>
          <w:rFonts w:eastAsiaTheme="minorEastAsia" w:cstheme="minorHAnsi"/>
          <w:b/>
          <w:bCs/>
          <w:color w:val="000000" w:themeColor="text1"/>
          <w:lang w:eastAsia="ja-JP"/>
        </w:rPr>
      </w:pPr>
      <w:bookmarkStart w:id="117" w:name="_Ref71571762"/>
      <w:bookmarkStart w:id="118" w:name="_Toc71725940"/>
      <w:r w:rsidRPr="00DD4F2E">
        <w:rPr>
          <w:b/>
          <w:bCs/>
          <w:color w:val="000000" w:themeColor="text1"/>
        </w:rPr>
        <w:lastRenderedPageBreak/>
        <w:t xml:space="preserve">Figure </w:t>
      </w:r>
      <w:r w:rsidRPr="00DD4F2E">
        <w:rPr>
          <w:b/>
          <w:bCs/>
          <w:color w:val="000000" w:themeColor="text1"/>
        </w:rPr>
        <w:fldChar w:fldCharType="begin"/>
      </w:r>
      <w:r w:rsidRPr="00DD4F2E">
        <w:rPr>
          <w:b/>
          <w:bCs/>
          <w:color w:val="000000" w:themeColor="text1"/>
        </w:rPr>
        <w:instrText xml:space="preserve"> SEQ Figure \* ARABIC </w:instrText>
      </w:r>
      <w:r w:rsidRPr="00DD4F2E">
        <w:rPr>
          <w:b/>
          <w:bCs/>
          <w:color w:val="000000" w:themeColor="text1"/>
        </w:rPr>
        <w:fldChar w:fldCharType="separate"/>
      </w:r>
      <w:r w:rsidR="006D6F0B">
        <w:rPr>
          <w:b/>
          <w:bCs/>
          <w:noProof/>
          <w:color w:val="000000" w:themeColor="text1"/>
        </w:rPr>
        <w:t>22</w:t>
      </w:r>
      <w:r w:rsidRPr="00DD4F2E">
        <w:rPr>
          <w:b/>
          <w:bCs/>
          <w:color w:val="000000" w:themeColor="text1"/>
        </w:rPr>
        <w:fldChar w:fldCharType="end"/>
      </w:r>
      <w:bookmarkEnd w:id="117"/>
      <w:r w:rsidR="008A5E08" w:rsidRPr="008A5E08">
        <w:rPr>
          <w:rFonts w:eastAsiaTheme="minorEastAsia" w:cstheme="minorHAnsi"/>
          <w:b/>
          <w:bCs/>
          <w:color w:val="000000" w:themeColor="text1"/>
          <w:lang w:eastAsia="ja-JP"/>
        </w:rPr>
        <w:t>: Total fertility rates for selected countries</w:t>
      </w:r>
      <w:bookmarkEnd w:id="118"/>
    </w:p>
    <w:p w14:paraId="79B4C7C1" w14:textId="77777777" w:rsidR="008A5E08" w:rsidRPr="008A5E08" w:rsidRDefault="008A5E08" w:rsidP="008A5E08">
      <w:pPr>
        <w:spacing w:line="240" w:lineRule="auto"/>
        <w:jc w:val="both"/>
        <w:rPr>
          <w:rFonts w:eastAsiaTheme="minorEastAsia" w:cstheme="minorHAnsi"/>
          <w:i/>
          <w:iCs/>
          <w:sz w:val="20"/>
          <w:szCs w:val="20"/>
          <w:lang w:eastAsia="ja-JP"/>
        </w:rPr>
      </w:pPr>
      <w:r w:rsidRPr="008A5E08">
        <w:rPr>
          <w:rFonts w:eastAsiaTheme="minorEastAsia"/>
          <w:noProof/>
          <w:lang w:eastAsia="ja-JP"/>
        </w:rPr>
        <w:drawing>
          <wp:anchor distT="0" distB="0" distL="114300" distR="114300" simplePos="0" relativeHeight="251664384" behindDoc="0" locked="0" layoutInCell="1" allowOverlap="1" wp14:anchorId="1F7C5A30" wp14:editId="1DF18BD5">
            <wp:simplePos x="0" y="0"/>
            <wp:positionH relativeFrom="column">
              <wp:posOffset>0</wp:posOffset>
            </wp:positionH>
            <wp:positionV relativeFrom="paragraph">
              <wp:posOffset>-4058</wp:posOffset>
            </wp:positionV>
            <wp:extent cx="5413375" cy="2426329"/>
            <wp:effectExtent l="0" t="0" r="0" b="0"/>
            <wp:wrapThrough wrapText="bothSides">
              <wp:wrapPolygon edited="0">
                <wp:start x="0" y="0"/>
                <wp:lineTo x="0" y="21374"/>
                <wp:lineTo x="21511" y="21374"/>
                <wp:lineTo x="21511" y="0"/>
                <wp:lineTo x="0" y="0"/>
              </wp:wrapPolygon>
            </wp:wrapThrough>
            <wp:docPr id="4" name="Chart 4">
              <a:extLst xmlns:a="http://schemas.openxmlformats.org/drawingml/2006/main">
                <a:ext uri="{FF2B5EF4-FFF2-40B4-BE49-F238E27FC236}">
                  <a16:creationId xmlns:a16="http://schemas.microsoft.com/office/drawing/2014/main" id="{2BFC3AE9-8894-4132-9580-61B4C33D5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7603645" w14:textId="77777777" w:rsidR="008A5E08" w:rsidRPr="008A5E08" w:rsidRDefault="008A5E08" w:rsidP="008A5E08">
      <w:pPr>
        <w:spacing w:line="240" w:lineRule="auto"/>
        <w:jc w:val="both"/>
        <w:rPr>
          <w:rFonts w:eastAsiaTheme="minorEastAsia" w:cstheme="minorHAnsi"/>
          <w:i/>
          <w:iCs/>
          <w:sz w:val="20"/>
          <w:szCs w:val="20"/>
          <w:lang w:eastAsia="ja-JP"/>
        </w:rPr>
      </w:pPr>
    </w:p>
    <w:p w14:paraId="310EB1FC" w14:textId="77777777" w:rsidR="008A5E08" w:rsidRPr="008A5E08" w:rsidRDefault="008A5E08" w:rsidP="008A5E08">
      <w:pPr>
        <w:spacing w:line="240" w:lineRule="auto"/>
        <w:jc w:val="both"/>
        <w:rPr>
          <w:rFonts w:eastAsiaTheme="minorEastAsia" w:cstheme="minorHAnsi"/>
          <w:i/>
          <w:iCs/>
          <w:sz w:val="20"/>
          <w:szCs w:val="20"/>
          <w:lang w:eastAsia="ja-JP"/>
        </w:rPr>
      </w:pPr>
    </w:p>
    <w:p w14:paraId="1BCEDDE0" w14:textId="77777777" w:rsidR="008A5E08" w:rsidRPr="008A5E08" w:rsidRDefault="008A5E08" w:rsidP="008A5E08">
      <w:pPr>
        <w:spacing w:line="240" w:lineRule="auto"/>
        <w:jc w:val="both"/>
        <w:rPr>
          <w:rFonts w:eastAsiaTheme="minorEastAsia" w:cstheme="minorHAnsi"/>
          <w:i/>
          <w:iCs/>
          <w:sz w:val="20"/>
          <w:szCs w:val="20"/>
          <w:lang w:eastAsia="ja-JP"/>
        </w:rPr>
      </w:pPr>
    </w:p>
    <w:p w14:paraId="6A229F3B" w14:textId="77777777" w:rsidR="008A5E08" w:rsidRPr="008A5E08" w:rsidRDefault="008A5E08" w:rsidP="008A5E08">
      <w:pPr>
        <w:spacing w:line="240" w:lineRule="auto"/>
        <w:jc w:val="both"/>
        <w:rPr>
          <w:rFonts w:eastAsiaTheme="minorEastAsia" w:cstheme="minorHAnsi"/>
          <w:i/>
          <w:iCs/>
          <w:sz w:val="20"/>
          <w:szCs w:val="20"/>
          <w:lang w:eastAsia="ja-JP"/>
        </w:rPr>
      </w:pPr>
    </w:p>
    <w:p w14:paraId="4D4397DD" w14:textId="77777777" w:rsidR="008A5E08" w:rsidRPr="008A5E08" w:rsidRDefault="008A5E08" w:rsidP="008A5E08">
      <w:pPr>
        <w:spacing w:line="240" w:lineRule="auto"/>
        <w:jc w:val="both"/>
        <w:rPr>
          <w:rFonts w:eastAsiaTheme="minorEastAsia" w:cstheme="minorHAnsi"/>
          <w:i/>
          <w:iCs/>
          <w:sz w:val="20"/>
          <w:szCs w:val="20"/>
          <w:lang w:eastAsia="ja-JP"/>
        </w:rPr>
      </w:pPr>
    </w:p>
    <w:p w14:paraId="3525D5AC" w14:textId="77777777" w:rsidR="008A5E08" w:rsidRPr="008A5E08" w:rsidRDefault="008A5E08" w:rsidP="008A5E08">
      <w:pPr>
        <w:spacing w:line="240" w:lineRule="auto"/>
        <w:jc w:val="both"/>
        <w:rPr>
          <w:rFonts w:eastAsiaTheme="minorEastAsia" w:cstheme="minorHAnsi"/>
          <w:i/>
          <w:iCs/>
          <w:sz w:val="20"/>
          <w:szCs w:val="20"/>
          <w:lang w:eastAsia="ja-JP"/>
        </w:rPr>
      </w:pPr>
    </w:p>
    <w:p w14:paraId="0782FFE7" w14:textId="77777777" w:rsidR="008A5E08" w:rsidRPr="008A5E08" w:rsidRDefault="008A5E08" w:rsidP="008A5E08">
      <w:pPr>
        <w:spacing w:line="240" w:lineRule="auto"/>
        <w:jc w:val="both"/>
        <w:rPr>
          <w:rFonts w:eastAsiaTheme="minorEastAsia" w:cstheme="minorHAnsi"/>
          <w:i/>
          <w:iCs/>
          <w:sz w:val="20"/>
          <w:szCs w:val="20"/>
          <w:lang w:eastAsia="ja-JP"/>
        </w:rPr>
      </w:pPr>
    </w:p>
    <w:p w14:paraId="47A00148" w14:textId="77777777" w:rsidR="008A5E08" w:rsidRPr="008A5E08" w:rsidRDefault="008A5E08" w:rsidP="008A5E08">
      <w:pPr>
        <w:spacing w:line="240" w:lineRule="auto"/>
        <w:jc w:val="both"/>
        <w:rPr>
          <w:rFonts w:eastAsiaTheme="minorEastAsia" w:cstheme="minorHAnsi"/>
          <w:i/>
          <w:iCs/>
          <w:sz w:val="20"/>
          <w:szCs w:val="20"/>
          <w:lang w:eastAsia="ja-JP"/>
        </w:rPr>
      </w:pPr>
    </w:p>
    <w:p w14:paraId="605E021E" w14:textId="77777777" w:rsidR="008A5E08" w:rsidRPr="008A5E08" w:rsidRDefault="008A5E08" w:rsidP="008A5E08">
      <w:pPr>
        <w:spacing w:line="240" w:lineRule="auto"/>
        <w:jc w:val="both"/>
        <w:rPr>
          <w:rFonts w:eastAsiaTheme="minorEastAsia" w:cstheme="minorHAnsi"/>
          <w:i/>
          <w:iCs/>
          <w:sz w:val="20"/>
          <w:szCs w:val="20"/>
          <w:lang w:eastAsia="ja-JP"/>
        </w:rPr>
      </w:pPr>
    </w:p>
    <w:p w14:paraId="1184265F" w14:textId="77777777" w:rsidR="008A5E08" w:rsidRPr="008A5E08" w:rsidRDefault="008A5E08" w:rsidP="008A5E08">
      <w:pPr>
        <w:spacing w:line="240" w:lineRule="auto"/>
        <w:jc w:val="both"/>
        <w:rPr>
          <w:rFonts w:eastAsiaTheme="minorEastAsia" w:cstheme="minorHAnsi"/>
          <w:i/>
          <w:iCs/>
          <w:sz w:val="20"/>
          <w:szCs w:val="20"/>
          <w:lang w:eastAsia="ja-JP"/>
        </w:rPr>
      </w:pPr>
      <w:r w:rsidRPr="008A5E08">
        <w:rPr>
          <w:rFonts w:eastAsiaTheme="minorEastAsia" w:cstheme="minorHAnsi"/>
          <w:i/>
          <w:iCs/>
          <w:sz w:val="20"/>
          <w:szCs w:val="20"/>
          <w:lang w:eastAsia="ja-JP"/>
        </w:rPr>
        <w:t>Note: Each column represents the average number of children to women aged 15</w:t>
      </w:r>
      <w:r w:rsidRPr="008A5E08">
        <w:rPr>
          <w:rFonts w:eastAsiaTheme="minorEastAsia" w:cstheme="minorHAnsi"/>
          <w:i/>
          <w:iCs/>
          <w:sz w:val="20"/>
          <w:szCs w:val="20"/>
          <w:lang w:eastAsia="ja-JP"/>
        </w:rPr>
        <w:softHyphen/>
        <w:t xml:space="preserve">–49. Data sources: Somalia Health and Demographic Survey (2020), </w:t>
      </w:r>
      <w:r w:rsidRPr="008A5E08">
        <w:rPr>
          <w:rFonts w:eastAsiaTheme="minorEastAsia" w:cstheme="minorHAnsi"/>
          <w:i/>
          <w:sz w:val="20"/>
          <w:szCs w:val="20"/>
          <w:lang w:eastAsia="ja-JP"/>
        </w:rPr>
        <w:t>World Development Indicators (estimates for 2019).</w:t>
      </w:r>
      <w:r w:rsidRPr="008A5E08">
        <w:rPr>
          <w:rFonts w:eastAsiaTheme="minorEastAsia" w:cstheme="minorHAnsi"/>
          <w:i/>
          <w:iCs/>
          <w:sz w:val="20"/>
          <w:szCs w:val="20"/>
          <w:lang w:eastAsia="ja-JP"/>
        </w:rPr>
        <w:t xml:space="preserve"> </w:t>
      </w:r>
    </w:p>
    <w:p w14:paraId="20702BA0" w14:textId="77777777" w:rsidR="008A5E08" w:rsidRPr="008A5E08" w:rsidRDefault="008A5E08" w:rsidP="008A5E08">
      <w:pPr>
        <w:spacing w:line="240" w:lineRule="auto"/>
        <w:jc w:val="both"/>
        <w:rPr>
          <w:rFonts w:eastAsia="Times New Roman" w:cstheme="minorHAnsi"/>
          <w:color w:val="000000"/>
          <w:u w:val="single"/>
          <w:shd w:val="clear" w:color="auto" w:fill="FFFFFF"/>
        </w:rPr>
      </w:pPr>
      <w:r w:rsidRPr="008A5E08">
        <w:rPr>
          <w:rFonts w:eastAsia="Times New Roman" w:cstheme="minorHAnsi"/>
          <w:color w:val="000000"/>
          <w:u w:val="single"/>
          <w:shd w:val="clear" w:color="auto" w:fill="FFFFFF"/>
        </w:rPr>
        <w:t xml:space="preserve">Maternal, child and reproductive health outcomes </w:t>
      </w:r>
    </w:p>
    <w:p w14:paraId="0A46566C" w14:textId="77777777" w:rsidR="008A5E08" w:rsidRPr="008A5E08" w:rsidRDefault="008A5E08" w:rsidP="008A5E08">
      <w:pPr>
        <w:spacing w:line="240" w:lineRule="auto"/>
        <w:jc w:val="both"/>
        <w:rPr>
          <w:rFonts w:eastAsia="Times New Roman" w:cstheme="minorHAnsi"/>
          <w:color w:val="000000"/>
          <w:shd w:val="clear" w:color="auto" w:fill="FFFFFF"/>
        </w:rPr>
      </w:pPr>
      <w:r w:rsidRPr="008A5E08">
        <w:rPr>
          <w:rFonts w:eastAsia="Times New Roman" w:cstheme="minorHAnsi"/>
          <w:b/>
          <w:bCs/>
          <w:color w:val="000000"/>
          <w:shd w:val="clear" w:color="auto" w:fill="FFFFFF"/>
        </w:rPr>
        <w:t xml:space="preserve">Access to birth spacing services in Somalia is severely limited. </w:t>
      </w:r>
      <w:r w:rsidRPr="008A5E08">
        <w:rPr>
          <w:rFonts w:eastAsia="Times New Roman" w:cstheme="minorHAnsi"/>
          <w:color w:val="000000"/>
          <w:shd w:val="clear" w:color="auto" w:fill="FFFFFF"/>
        </w:rPr>
        <w:t>According to the 2020 SHDS, 32 percent of all births to women aged 15–49 between 2015 and 2020 were unwanted at the time of conception, and 37 percent of currently married women reported having unmet birth spacing and limiting needs (i.e., s</w:t>
      </w:r>
      <w:r w:rsidRPr="008A5E08">
        <w:rPr>
          <w:rFonts w:eastAsiaTheme="minorEastAsia"/>
          <w:lang w:eastAsia="ja-JP"/>
        </w:rPr>
        <w:t xml:space="preserve">hort and long-acting contraceptive methods)  that can help couples space out children. </w:t>
      </w:r>
      <w:r w:rsidRPr="008A5E08" w:rsidDel="00793291">
        <w:rPr>
          <w:rFonts w:eastAsia="Times New Roman" w:cstheme="minorHAnsi"/>
          <w:color w:val="000000"/>
          <w:shd w:val="clear" w:color="auto" w:fill="FFFFFF"/>
        </w:rPr>
        <w:t xml:space="preserve"> </w:t>
      </w:r>
    </w:p>
    <w:p w14:paraId="476E10AD" w14:textId="41579603" w:rsidR="008A5E08" w:rsidRPr="008A5E08" w:rsidRDefault="008A5E08" w:rsidP="008A5E08">
      <w:pPr>
        <w:spacing w:line="240" w:lineRule="auto"/>
        <w:jc w:val="both"/>
        <w:rPr>
          <w:rFonts w:eastAsiaTheme="minorEastAsia" w:cstheme="minorHAnsi"/>
          <w:lang w:eastAsia="ja-JP"/>
        </w:rPr>
      </w:pPr>
      <w:r w:rsidRPr="008A5E08">
        <w:rPr>
          <w:rFonts w:eastAsia="Times New Roman" w:cstheme="minorHAnsi"/>
          <w:b/>
          <w:color w:val="000000"/>
          <w:shd w:val="clear" w:color="auto" w:fill="FFFFFF"/>
        </w:rPr>
        <w:t xml:space="preserve">The high fertility rate and inadequate availability of birth spacing services are compounded by the absence of maternal and child health services. </w:t>
      </w:r>
      <w:r w:rsidRPr="008A5E08">
        <w:rPr>
          <w:rFonts w:eastAsia="Times New Roman" w:cstheme="minorHAnsi"/>
          <w:color w:val="000000"/>
          <w:shd w:val="clear" w:color="auto" w:fill="FFFFFF"/>
        </w:rPr>
        <w:t>During pregnancy, a</w:t>
      </w:r>
      <w:r w:rsidRPr="008A5E08">
        <w:rPr>
          <w:rFonts w:eastAsiaTheme="minorEastAsia" w:cstheme="minorHAnsi"/>
          <w:lang w:eastAsia="ja-JP"/>
        </w:rPr>
        <w:t>ntenatal care (ANC), which refers to the prenatal health services that a pregnant woman receives from a trained provider can play a vital role in reducing the risk of morbidity and mortality of both the expectant mother and the newborn child.</w:t>
      </w:r>
      <w:r w:rsidRPr="008A5E08">
        <w:rPr>
          <w:rFonts w:eastAsia="Times New Roman" w:cstheme="minorHAnsi"/>
          <w:color w:val="000000" w:themeColor="text1"/>
        </w:rPr>
        <w:t xml:space="preserve"> In Somalia</w:t>
      </w:r>
      <w:r w:rsidRPr="008A5E08">
        <w:rPr>
          <w:rFonts w:eastAsiaTheme="minorEastAsia" w:cstheme="minorHAnsi"/>
          <w:lang w:eastAsia="ja-JP"/>
        </w:rPr>
        <w:t xml:space="preserve">, only eight percent of women receive the WHO-recommended four ANC visits with a trained provider during pregnancy, while only 32 percent of all births are delivered with the assistance of a skilled provider </w:t>
      </w:r>
      <w:r w:rsidRPr="008A5E08">
        <w:rPr>
          <w:rFonts w:eastAsiaTheme="minorEastAsia"/>
          <w:lang w:eastAsia="ja-JP"/>
        </w:rPr>
        <w:t>(</w:t>
      </w:r>
      <w:r w:rsidR="00DD4F2E" w:rsidRPr="00DD4F2E">
        <w:rPr>
          <w:rFonts w:eastAsiaTheme="minorEastAsia"/>
          <w:lang w:eastAsia="ja-JP"/>
        </w:rPr>
        <w:fldChar w:fldCharType="begin"/>
      </w:r>
      <w:r w:rsidR="00DD4F2E" w:rsidRPr="00DD4F2E">
        <w:rPr>
          <w:rFonts w:eastAsiaTheme="minorEastAsia"/>
          <w:lang w:eastAsia="ja-JP"/>
        </w:rPr>
        <w:instrText xml:space="preserve"> REF _Ref71571849 \h  \* MERGEFORMAT </w:instrText>
      </w:r>
      <w:r w:rsidR="00DD4F2E" w:rsidRPr="00DD4F2E">
        <w:rPr>
          <w:rFonts w:eastAsiaTheme="minorEastAsia"/>
          <w:lang w:eastAsia="ja-JP"/>
        </w:rPr>
      </w:r>
      <w:r w:rsidR="00DD4F2E" w:rsidRPr="00DD4F2E">
        <w:rPr>
          <w:rFonts w:eastAsiaTheme="minorEastAsia"/>
          <w:lang w:eastAsia="ja-JP"/>
        </w:rPr>
        <w:fldChar w:fldCharType="separate"/>
      </w:r>
      <w:r w:rsidR="006D6F0B" w:rsidRPr="006D6F0B">
        <w:rPr>
          <w:color w:val="000000" w:themeColor="text1"/>
        </w:rPr>
        <w:t xml:space="preserve">Figure </w:t>
      </w:r>
      <w:r w:rsidR="006D6F0B" w:rsidRPr="006D6F0B">
        <w:rPr>
          <w:noProof/>
          <w:color w:val="000000" w:themeColor="text1"/>
        </w:rPr>
        <w:t>23</w:t>
      </w:r>
      <w:r w:rsidR="00DD4F2E" w:rsidRPr="00DD4F2E">
        <w:rPr>
          <w:rFonts w:eastAsiaTheme="minorEastAsia"/>
          <w:lang w:eastAsia="ja-JP"/>
        </w:rPr>
        <w:fldChar w:fldCharType="end"/>
      </w:r>
      <w:r w:rsidRPr="008A5E08">
        <w:rPr>
          <w:rFonts w:eastAsiaTheme="minorEastAsia"/>
          <w:lang w:eastAsia="ja-JP"/>
        </w:rPr>
        <w:t>)</w:t>
      </w:r>
      <w:r w:rsidRPr="008A5E08">
        <w:rPr>
          <w:rFonts w:eastAsiaTheme="minorEastAsia" w:cstheme="minorHAnsi"/>
          <w:lang w:eastAsia="ja-JP"/>
        </w:rPr>
        <w:t xml:space="preserve">. In addition, only 11 percent of all mothers had a postnatal check within the first two days after delivery according to the 2020 SHDS. </w:t>
      </w:r>
      <w:r w:rsidRPr="008A5E08">
        <w:rPr>
          <w:rFonts w:eastAsiaTheme="minorEastAsia"/>
          <w:lang w:eastAsia="ja-JP"/>
        </w:rPr>
        <w:t xml:space="preserve">Vaccination coverage is also low among children with just 11 percent of all children aged one to two years in Somalia receiving all basic childhood vaccinations.      </w:t>
      </w:r>
    </w:p>
    <w:p w14:paraId="64829376" w14:textId="42319FF1" w:rsidR="008A5E08" w:rsidRPr="008A5E08" w:rsidRDefault="00DD4F2E" w:rsidP="008A5E08">
      <w:pPr>
        <w:keepNext/>
        <w:spacing w:after="0" w:line="276" w:lineRule="auto"/>
        <w:jc w:val="both"/>
        <w:rPr>
          <w:rFonts w:eastAsiaTheme="minorEastAsia" w:cstheme="minorHAnsi"/>
          <w:b/>
          <w:bCs/>
          <w:color w:val="000000" w:themeColor="text1"/>
          <w:lang w:eastAsia="ja-JP"/>
        </w:rPr>
      </w:pPr>
      <w:bookmarkStart w:id="119" w:name="_Ref71571849"/>
      <w:bookmarkStart w:id="120" w:name="_Toc71725941"/>
      <w:r w:rsidRPr="00DD4F2E">
        <w:rPr>
          <w:b/>
          <w:bCs/>
          <w:color w:val="000000" w:themeColor="text1"/>
        </w:rPr>
        <w:lastRenderedPageBreak/>
        <w:t xml:space="preserve">Figure </w:t>
      </w:r>
      <w:r w:rsidRPr="00DD4F2E">
        <w:rPr>
          <w:b/>
          <w:bCs/>
          <w:color w:val="000000" w:themeColor="text1"/>
        </w:rPr>
        <w:fldChar w:fldCharType="begin"/>
      </w:r>
      <w:r w:rsidRPr="00DD4F2E">
        <w:rPr>
          <w:b/>
          <w:bCs/>
          <w:color w:val="000000" w:themeColor="text1"/>
        </w:rPr>
        <w:instrText xml:space="preserve"> SEQ Figure \* ARABIC </w:instrText>
      </w:r>
      <w:r w:rsidRPr="00DD4F2E">
        <w:rPr>
          <w:b/>
          <w:bCs/>
          <w:color w:val="000000" w:themeColor="text1"/>
        </w:rPr>
        <w:fldChar w:fldCharType="separate"/>
      </w:r>
      <w:r w:rsidR="006D6F0B">
        <w:rPr>
          <w:b/>
          <w:bCs/>
          <w:noProof/>
          <w:color w:val="000000" w:themeColor="text1"/>
        </w:rPr>
        <w:t>23</w:t>
      </w:r>
      <w:r w:rsidRPr="00DD4F2E">
        <w:rPr>
          <w:b/>
          <w:bCs/>
          <w:color w:val="000000" w:themeColor="text1"/>
        </w:rPr>
        <w:fldChar w:fldCharType="end"/>
      </w:r>
      <w:bookmarkEnd w:id="119"/>
      <w:r w:rsidRPr="00DD4F2E">
        <w:rPr>
          <w:b/>
          <w:bCs/>
          <w:color w:val="000000" w:themeColor="text1"/>
        </w:rPr>
        <w:t xml:space="preserve">: </w:t>
      </w:r>
      <w:r w:rsidR="008A5E08" w:rsidRPr="008A5E08">
        <w:rPr>
          <w:rFonts w:eastAsiaTheme="minorEastAsia" w:cstheme="minorHAnsi"/>
          <w:b/>
          <w:bCs/>
          <w:color w:val="000000" w:themeColor="text1"/>
          <w:lang w:eastAsia="ja-JP"/>
        </w:rPr>
        <w:t>Coverage of maternal health services in Somalia</w:t>
      </w:r>
      <w:bookmarkEnd w:id="120"/>
    </w:p>
    <w:p w14:paraId="0060152D" w14:textId="77777777" w:rsidR="008A5E08" w:rsidRPr="008A5E08" w:rsidRDefault="008A5E08" w:rsidP="008A5E08">
      <w:pPr>
        <w:keepNext/>
        <w:spacing w:after="0" w:line="276" w:lineRule="auto"/>
        <w:jc w:val="both"/>
        <w:rPr>
          <w:rFonts w:eastAsiaTheme="minorEastAsia" w:cstheme="minorHAnsi"/>
          <w:b/>
          <w:bCs/>
          <w:color w:val="4472C4" w:themeColor="accent1"/>
          <w:lang w:eastAsia="ja-JP"/>
        </w:rPr>
      </w:pPr>
      <w:r w:rsidRPr="008A5E08">
        <w:rPr>
          <w:rFonts w:eastAsiaTheme="minorEastAsia"/>
          <w:noProof/>
          <w:lang w:eastAsia="ja-JP"/>
        </w:rPr>
        <w:t xml:space="preserve"> </w:t>
      </w:r>
      <w:r w:rsidRPr="008A5E08">
        <w:rPr>
          <w:rFonts w:eastAsiaTheme="minorEastAsia"/>
          <w:noProof/>
          <w:lang w:eastAsia="ja-JP"/>
        </w:rPr>
        <w:drawing>
          <wp:inline distT="0" distB="0" distL="0" distR="0" wp14:anchorId="16E56C2D" wp14:editId="06572388">
            <wp:extent cx="5645150" cy="2139950"/>
            <wp:effectExtent l="0" t="0" r="0" b="0"/>
            <wp:docPr id="27" name="Chart 27">
              <a:extLst xmlns:a="http://schemas.openxmlformats.org/drawingml/2006/main">
                <a:ext uri="{FF2B5EF4-FFF2-40B4-BE49-F238E27FC236}">
                  <a16:creationId xmlns:a16="http://schemas.microsoft.com/office/drawing/2014/main" id="{DAAAC3A9-D445-F248-9618-EB02A9BF2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11903C4" w14:textId="77777777" w:rsidR="008A5E08" w:rsidRPr="008A5E08" w:rsidRDefault="008A5E08" w:rsidP="008A5E08">
      <w:pPr>
        <w:spacing w:line="240" w:lineRule="auto"/>
        <w:jc w:val="both"/>
        <w:rPr>
          <w:rFonts w:eastAsiaTheme="minorEastAsia" w:cstheme="minorHAnsi"/>
          <w:b/>
          <w:bCs/>
          <w:sz w:val="20"/>
          <w:szCs w:val="20"/>
          <w:lang w:eastAsia="ja-JP"/>
        </w:rPr>
      </w:pPr>
      <w:r w:rsidRPr="008A5E08">
        <w:rPr>
          <w:rFonts w:eastAsiaTheme="minorEastAsia" w:cstheme="minorHAnsi"/>
          <w:i/>
          <w:iCs/>
          <w:sz w:val="20"/>
          <w:szCs w:val="20"/>
          <w:lang w:eastAsia="ja-JP"/>
        </w:rPr>
        <w:t>Note: Each column represents the percentage of all women aged 15-49 who had a live birth between 2015 and 2020</w:t>
      </w:r>
      <w:r w:rsidRPr="008A5E08">
        <w:rPr>
          <w:rFonts w:eastAsiaTheme="minorEastAsia" w:cstheme="minorHAnsi"/>
          <w:i/>
          <w:sz w:val="20"/>
          <w:szCs w:val="20"/>
          <w:lang w:eastAsia="ja-JP"/>
        </w:rPr>
        <w:t xml:space="preserve"> who received the specified health service.</w:t>
      </w:r>
      <w:r w:rsidRPr="008A5E08">
        <w:rPr>
          <w:rFonts w:eastAsiaTheme="minorEastAsia" w:cstheme="minorHAnsi"/>
          <w:b/>
          <w:bCs/>
          <w:sz w:val="20"/>
          <w:szCs w:val="20"/>
          <w:lang w:eastAsia="ja-JP"/>
        </w:rPr>
        <w:t xml:space="preserve"> </w:t>
      </w:r>
      <w:r w:rsidRPr="008A5E08">
        <w:rPr>
          <w:rFonts w:eastAsiaTheme="minorEastAsia" w:cstheme="minorHAnsi"/>
          <w:i/>
          <w:iCs/>
          <w:sz w:val="20"/>
          <w:szCs w:val="20"/>
          <w:lang w:eastAsia="ja-JP"/>
        </w:rPr>
        <w:t>Data source: The Somalia Health</w:t>
      </w:r>
      <w:r w:rsidRPr="008A5E08">
        <w:rPr>
          <w:rFonts w:eastAsiaTheme="minorEastAsia" w:cstheme="minorHAnsi"/>
          <w:i/>
          <w:sz w:val="20"/>
          <w:szCs w:val="20"/>
          <w:lang w:eastAsia="ja-JP"/>
        </w:rPr>
        <w:t xml:space="preserve"> and Demographic Survey 2020. </w:t>
      </w:r>
    </w:p>
    <w:p w14:paraId="37B23452" w14:textId="52ED177B" w:rsidR="008A5E08" w:rsidRPr="008A5E08" w:rsidRDefault="008A5E08" w:rsidP="008A5E08">
      <w:pPr>
        <w:spacing w:line="240" w:lineRule="auto"/>
        <w:jc w:val="both"/>
        <w:rPr>
          <w:rFonts w:eastAsiaTheme="minorEastAsia"/>
          <w:lang w:eastAsia="ja-JP"/>
        </w:rPr>
      </w:pPr>
      <w:r w:rsidRPr="008A5E08">
        <w:rPr>
          <w:rFonts w:eastAsiaTheme="minorEastAsia"/>
          <w:b/>
          <w:lang w:eastAsia="ja-JP"/>
        </w:rPr>
        <w:t xml:space="preserve">Consequently, maternal and child mortality rates in Somalia are among the highest in the world. </w:t>
      </w:r>
      <w:r w:rsidRPr="008A5E08">
        <w:rPr>
          <w:rFonts w:eastAsiaTheme="minorEastAsia"/>
          <w:lang w:eastAsia="ja-JP"/>
        </w:rPr>
        <w:t xml:space="preserve">Due to the high fertility rate, Somali women are frequently pregnant, resulting in increased exposure to pregnancy’s associated risks in a context with gaps in service delivery availability and quality. Frequent and close births also make women more susceptible to disease, </w:t>
      </w:r>
      <w:proofErr w:type="gramStart"/>
      <w:r w:rsidRPr="008A5E08">
        <w:rPr>
          <w:rFonts w:eastAsiaTheme="minorEastAsia"/>
          <w:lang w:eastAsia="ja-JP"/>
        </w:rPr>
        <w:t>disability</w:t>
      </w:r>
      <w:proofErr w:type="gramEnd"/>
      <w:r w:rsidRPr="008A5E08">
        <w:rPr>
          <w:rFonts w:eastAsiaTheme="minorEastAsia"/>
          <w:lang w:eastAsia="ja-JP"/>
        </w:rPr>
        <w:t xml:space="preserve"> and malnutrition. Though declining over time, Somalia’s maternal mortality ratio remains high at 692 per 100,000 births compared to the SSA average of 534 per 100,000 live births (</w:t>
      </w:r>
      <w:r w:rsidR="00C62531" w:rsidRPr="00C62531">
        <w:rPr>
          <w:rFonts w:eastAsiaTheme="minorEastAsia"/>
          <w:lang w:eastAsia="ja-JP"/>
        </w:rPr>
        <w:fldChar w:fldCharType="begin"/>
      </w:r>
      <w:r w:rsidR="00C62531" w:rsidRPr="00C62531">
        <w:rPr>
          <w:rFonts w:eastAsiaTheme="minorEastAsia"/>
          <w:lang w:eastAsia="ja-JP"/>
        </w:rPr>
        <w:instrText xml:space="preserve"> REF _Ref71572091 \h  \* MERGEFORMAT </w:instrText>
      </w:r>
      <w:r w:rsidR="00C62531" w:rsidRPr="00C62531">
        <w:rPr>
          <w:rFonts w:eastAsiaTheme="minorEastAsia"/>
          <w:lang w:eastAsia="ja-JP"/>
        </w:rPr>
      </w:r>
      <w:r w:rsidR="00C62531" w:rsidRPr="00C62531">
        <w:rPr>
          <w:rFonts w:eastAsiaTheme="minorEastAsia"/>
          <w:lang w:eastAsia="ja-JP"/>
        </w:rPr>
        <w:fldChar w:fldCharType="separate"/>
      </w:r>
      <w:r w:rsidR="006D0562" w:rsidRPr="006D0562">
        <w:rPr>
          <w:color w:val="000000" w:themeColor="text1"/>
        </w:rPr>
        <w:t xml:space="preserve">Figure </w:t>
      </w:r>
      <w:r w:rsidR="006D0562" w:rsidRPr="006D0562">
        <w:rPr>
          <w:noProof/>
          <w:color w:val="000000" w:themeColor="text1"/>
        </w:rPr>
        <w:t>24</w:t>
      </w:r>
      <w:r w:rsidR="00C62531" w:rsidRPr="00C62531">
        <w:rPr>
          <w:rFonts w:eastAsiaTheme="minorEastAsia"/>
          <w:lang w:eastAsia="ja-JP"/>
        </w:rPr>
        <w:fldChar w:fldCharType="end"/>
      </w:r>
      <w:r w:rsidRPr="008A5E08">
        <w:rPr>
          <w:rFonts w:eastAsiaTheme="minorEastAsia"/>
          <w:lang w:eastAsia="ja-JP"/>
        </w:rPr>
        <w:t>).</w:t>
      </w:r>
      <w:bookmarkStart w:id="121" w:name="_Ref69377802"/>
      <w:r w:rsidRPr="008A5E08">
        <w:rPr>
          <w:rFonts w:eastAsiaTheme="minorEastAsia"/>
          <w:vertAlign w:val="superscript"/>
          <w:lang w:eastAsia="ja-JP"/>
        </w:rPr>
        <w:footnoteReference w:id="41"/>
      </w:r>
      <w:bookmarkEnd w:id="121"/>
      <w:r w:rsidRPr="008A5E08">
        <w:rPr>
          <w:rFonts w:eastAsiaTheme="minorEastAsia"/>
          <w:lang w:eastAsia="ja-JP"/>
        </w:rPr>
        <w:t xml:space="preserve"> The under-five mortality rate, a measure of the probability of a child before reaching the age of five, is 117 per 1,000 live births— higher than the SSA average of 76 deaths per 1,000 live births.</w:t>
      </w:r>
      <w:r w:rsidRPr="008A5E08">
        <w:rPr>
          <w:rFonts w:eastAsiaTheme="minorEastAsia"/>
          <w:vertAlign w:val="superscript"/>
          <w:lang w:eastAsia="ja-JP"/>
        </w:rPr>
        <w:footnoteReference w:id="42"/>
      </w:r>
      <w:r w:rsidRPr="008A5E08">
        <w:rPr>
          <w:rFonts w:eastAsiaTheme="minorEastAsia"/>
          <w:lang w:eastAsia="ja-JP"/>
        </w:rPr>
        <w:t xml:space="preserve">  </w:t>
      </w:r>
    </w:p>
    <w:p w14:paraId="4A8E05E4" w14:textId="202B1146" w:rsidR="008A5E08" w:rsidRPr="008A5E08" w:rsidRDefault="00DD4F2E" w:rsidP="00DD4F2E">
      <w:pPr>
        <w:keepNext/>
        <w:spacing w:after="0" w:line="240" w:lineRule="auto"/>
        <w:rPr>
          <w:rFonts w:eastAsiaTheme="minorEastAsia" w:cstheme="minorHAnsi"/>
          <w:b/>
          <w:i/>
          <w:iCs/>
          <w:color w:val="000000" w:themeColor="text1"/>
          <w:lang w:eastAsia="ja-JP"/>
        </w:rPr>
      </w:pPr>
      <w:bookmarkStart w:id="122" w:name="_Ref71572091"/>
      <w:bookmarkStart w:id="123" w:name="_Toc71725942"/>
      <w:r w:rsidRPr="00DD4F2E">
        <w:rPr>
          <w:b/>
          <w:color w:val="000000" w:themeColor="text1"/>
        </w:rPr>
        <w:lastRenderedPageBreak/>
        <w:t xml:space="preserve">Figure </w:t>
      </w:r>
      <w:r w:rsidRPr="00DD4F2E">
        <w:rPr>
          <w:b/>
          <w:color w:val="000000" w:themeColor="text1"/>
        </w:rPr>
        <w:fldChar w:fldCharType="begin"/>
      </w:r>
      <w:r w:rsidRPr="00DD4F2E">
        <w:rPr>
          <w:b/>
          <w:color w:val="000000" w:themeColor="text1"/>
        </w:rPr>
        <w:instrText xml:space="preserve"> SEQ Figure \* ARABIC </w:instrText>
      </w:r>
      <w:r w:rsidRPr="00DD4F2E">
        <w:rPr>
          <w:b/>
          <w:color w:val="000000" w:themeColor="text1"/>
        </w:rPr>
        <w:fldChar w:fldCharType="separate"/>
      </w:r>
      <w:r w:rsidR="006D6F0B">
        <w:rPr>
          <w:b/>
          <w:noProof/>
          <w:color w:val="000000" w:themeColor="text1"/>
        </w:rPr>
        <w:t>24</w:t>
      </w:r>
      <w:r w:rsidRPr="00DD4F2E">
        <w:rPr>
          <w:b/>
          <w:color w:val="000000" w:themeColor="text1"/>
        </w:rPr>
        <w:fldChar w:fldCharType="end"/>
      </w:r>
      <w:bookmarkEnd w:id="122"/>
      <w:r w:rsidR="008A5E08" w:rsidRPr="008A5E08">
        <w:rPr>
          <w:rFonts w:eastAsiaTheme="minorEastAsia" w:cstheme="minorHAnsi"/>
          <w:b/>
          <w:color w:val="000000" w:themeColor="text1"/>
          <w:lang w:eastAsia="ja-JP"/>
        </w:rPr>
        <w:t>: Maternal mortality ratio in selected East African countries</w:t>
      </w:r>
      <w:r w:rsidRPr="008A5E08">
        <w:rPr>
          <w:rFonts w:eastAsiaTheme="minorEastAsia"/>
          <w:b/>
          <w:noProof/>
          <w:color w:val="000000" w:themeColor="text1"/>
          <w:lang w:eastAsia="ja-JP"/>
        </w:rPr>
        <w:drawing>
          <wp:anchor distT="0" distB="0" distL="114300" distR="114300" simplePos="0" relativeHeight="251661312" behindDoc="0" locked="0" layoutInCell="1" allowOverlap="1" wp14:anchorId="45083BFF" wp14:editId="46428748">
            <wp:simplePos x="0" y="0"/>
            <wp:positionH relativeFrom="margin">
              <wp:align>left</wp:align>
            </wp:positionH>
            <wp:positionV relativeFrom="paragraph">
              <wp:posOffset>179705</wp:posOffset>
            </wp:positionV>
            <wp:extent cx="3236595" cy="3336290"/>
            <wp:effectExtent l="0" t="0" r="1905" b="5715"/>
            <wp:wrapSquare wrapText="bothSides"/>
            <wp:docPr id="8379889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3236595" cy="333629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heme="minorHAnsi"/>
          <w:b/>
          <w:color w:val="000000" w:themeColor="text1"/>
          <w:lang w:eastAsia="ja-JP"/>
        </w:rPr>
        <w:t xml:space="preserve"> </w:t>
      </w:r>
      <w:r w:rsidR="008A5E08" w:rsidRPr="008A5E08">
        <w:rPr>
          <w:rFonts w:eastAsiaTheme="minorEastAsia" w:cstheme="minorHAnsi"/>
          <w:b/>
          <w:color w:val="000000" w:themeColor="text1"/>
          <w:lang w:eastAsia="ja-JP"/>
        </w:rPr>
        <w:t>(maternal deaths per 100,000 live births)</w:t>
      </w:r>
      <w:bookmarkEnd w:id="123"/>
    </w:p>
    <w:p w14:paraId="1EE74D76" w14:textId="77777777" w:rsidR="00DD4F2E" w:rsidRDefault="008A5E08" w:rsidP="00DD4F2E">
      <w:pPr>
        <w:spacing w:after="0" w:line="240" w:lineRule="auto"/>
        <w:jc w:val="both"/>
        <w:rPr>
          <w:rFonts w:eastAsiaTheme="minorEastAsia" w:cstheme="minorHAnsi"/>
          <w:i/>
          <w:iCs/>
          <w:sz w:val="20"/>
          <w:szCs w:val="20"/>
          <w:lang w:eastAsia="ja-JP"/>
        </w:rPr>
      </w:pPr>
      <w:r w:rsidRPr="008A5E08">
        <w:rPr>
          <w:rFonts w:eastAsia="Times New Roman"/>
          <w:b/>
          <w:color w:val="000000"/>
          <w:shd w:val="clear" w:color="auto" w:fill="FFFFFF"/>
        </w:rPr>
        <w:t xml:space="preserve">Although the communicable disease burden has declined from the 2009 levels of 52 percent (as a share of all DALYs), </w:t>
      </w:r>
      <w:r w:rsidRPr="008A5E08">
        <w:rPr>
          <w:rFonts w:eastAsia="Times New Roman"/>
          <w:b/>
          <w:color w:val="000000" w:themeColor="text1"/>
        </w:rPr>
        <w:t>Somalia’s communicable disease burden is</w:t>
      </w:r>
      <w:r w:rsidRPr="008A5E08">
        <w:rPr>
          <w:rFonts w:eastAsia="Times New Roman"/>
          <w:b/>
          <w:color w:val="000000"/>
          <w:shd w:val="clear" w:color="auto" w:fill="FFFFFF"/>
        </w:rPr>
        <w:t xml:space="preserve"> still relatively high</w:t>
      </w:r>
      <w:r w:rsidRPr="008A5E08">
        <w:rPr>
          <w:rFonts w:eastAsia="Times New Roman"/>
          <w:b/>
          <w:color w:val="000000" w:themeColor="text1"/>
        </w:rPr>
        <w:t xml:space="preserve"> at</w:t>
      </w:r>
      <w:r w:rsidRPr="008A5E08">
        <w:rPr>
          <w:rFonts w:eastAsia="Times New Roman"/>
          <w:b/>
          <w:color w:val="000000"/>
          <w:shd w:val="clear" w:color="auto" w:fill="FFFFFF"/>
        </w:rPr>
        <w:t xml:space="preserve"> 47 percent</w:t>
      </w:r>
      <w:r w:rsidRPr="008A5E08">
        <w:rPr>
          <w:rFonts w:eastAsia="Times New Roman"/>
          <w:b/>
          <w:color w:val="000000" w:themeColor="text1"/>
        </w:rPr>
        <w:t xml:space="preserve"> in 2019,</w:t>
      </w:r>
      <w:r w:rsidRPr="008A5E08">
        <w:rPr>
          <w:rFonts w:eastAsia="Times New Roman"/>
          <w:b/>
          <w:color w:val="000000"/>
          <w:shd w:val="clear" w:color="auto" w:fill="FFFFFF"/>
        </w:rPr>
        <w:t xml:space="preserve"> compared to the East-African subregional average of 40 percent.</w:t>
      </w:r>
      <w:r w:rsidRPr="008A5E08">
        <w:rPr>
          <w:rFonts w:eastAsia="Times New Roman"/>
          <w:bCs/>
          <w:color w:val="000000"/>
          <w:shd w:val="clear" w:color="auto" w:fill="FFFFFF"/>
          <w:vertAlign w:val="superscript"/>
        </w:rPr>
        <w:footnoteReference w:id="43"/>
      </w:r>
      <w:r w:rsidRPr="008A5E08">
        <w:rPr>
          <w:rFonts w:eastAsia="Times New Roman"/>
          <w:color w:val="000000"/>
          <w:shd w:val="clear" w:color="auto" w:fill="FFFFFF"/>
        </w:rPr>
        <w:t xml:space="preserve"> Tuberculosis, meningitis, acute hepatitis, measles, and other respiratory and infectious diseases account for the majority (37 percent) of the entire communicable disease burden.</w:t>
      </w:r>
      <w:bookmarkStart w:id="124" w:name="_Ref69377556"/>
      <w:r w:rsidRPr="008A5E08">
        <w:rPr>
          <w:rFonts w:eastAsia="Times New Roman"/>
          <w:color w:val="000000"/>
          <w:shd w:val="clear" w:color="auto" w:fill="FFFFFF"/>
          <w:vertAlign w:val="superscript"/>
        </w:rPr>
        <w:footnoteReference w:id="44"/>
      </w:r>
      <w:bookmarkEnd w:id="124"/>
      <w:r w:rsidRPr="008A5E08">
        <w:rPr>
          <w:rFonts w:eastAsia="Times New Roman"/>
          <w:color w:val="000000"/>
          <w:shd w:val="clear" w:color="auto" w:fill="FFFFFF"/>
        </w:rPr>
        <w:t xml:space="preserve"> The prevalence of</w:t>
      </w:r>
      <w:r w:rsidRPr="008A5E08">
        <w:rPr>
          <w:rFonts w:eastAsia="Times New Roman"/>
          <w:b/>
          <w:color w:val="000000"/>
          <w:shd w:val="clear" w:color="auto" w:fill="FFFFFF"/>
        </w:rPr>
        <w:t xml:space="preserve"> </w:t>
      </w:r>
      <w:r w:rsidRPr="008A5E08">
        <w:rPr>
          <w:rFonts w:eastAsia="Times New Roman"/>
          <w:color w:val="000000"/>
          <w:shd w:val="clear" w:color="auto" w:fill="FFFFFF"/>
        </w:rPr>
        <w:t xml:space="preserve">vaccine-preventable diseases such as measle is a result of Somalia’s low vaccination rate ; according to the 2020 SHDS, </w:t>
      </w:r>
      <w:r w:rsidRPr="008A5E08">
        <w:rPr>
          <w:rFonts w:eastAsiaTheme="minorEastAsia"/>
          <w:lang w:eastAsia="ja-JP"/>
        </w:rPr>
        <w:t>only 11 percent of all Somali children aged one to two years have received all basic childhood vaccinations.</w:t>
      </w:r>
      <w:r w:rsidR="00DD4F2E" w:rsidRPr="00DD4F2E">
        <w:rPr>
          <w:rFonts w:eastAsiaTheme="minorEastAsia" w:cstheme="minorHAnsi"/>
          <w:i/>
          <w:iCs/>
          <w:sz w:val="20"/>
          <w:szCs w:val="20"/>
          <w:lang w:eastAsia="ja-JP"/>
        </w:rPr>
        <w:t xml:space="preserve"> </w:t>
      </w:r>
    </w:p>
    <w:p w14:paraId="734D2CB9" w14:textId="77777777" w:rsidR="00C62531" w:rsidRDefault="00C62531" w:rsidP="00DD4F2E">
      <w:pPr>
        <w:spacing w:after="0" w:line="240" w:lineRule="auto"/>
        <w:jc w:val="both"/>
        <w:rPr>
          <w:rFonts w:eastAsiaTheme="minorEastAsia" w:cstheme="minorHAnsi"/>
          <w:i/>
          <w:iCs/>
          <w:sz w:val="20"/>
          <w:szCs w:val="20"/>
          <w:lang w:eastAsia="ja-JP"/>
        </w:rPr>
      </w:pPr>
    </w:p>
    <w:p w14:paraId="55387F84" w14:textId="77777777" w:rsidR="00C62531" w:rsidRDefault="00C62531" w:rsidP="00DD4F2E">
      <w:pPr>
        <w:spacing w:after="0" w:line="240" w:lineRule="auto"/>
        <w:jc w:val="both"/>
        <w:rPr>
          <w:rFonts w:eastAsiaTheme="minorEastAsia" w:cstheme="minorHAnsi"/>
          <w:i/>
          <w:iCs/>
          <w:sz w:val="20"/>
          <w:szCs w:val="20"/>
          <w:lang w:eastAsia="ja-JP"/>
        </w:rPr>
      </w:pPr>
    </w:p>
    <w:p w14:paraId="5B399129" w14:textId="77777777" w:rsidR="00C62531" w:rsidRDefault="00DD4F2E" w:rsidP="00C62531">
      <w:pPr>
        <w:spacing w:after="120" w:line="240" w:lineRule="auto"/>
        <w:jc w:val="both"/>
        <w:rPr>
          <w:rFonts w:eastAsiaTheme="minorEastAsia" w:cstheme="minorHAnsi"/>
          <w:i/>
          <w:iCs/>
          <w:sz w:val="20"/>
          <w:szCs w:val="20"/>
          <w:lang w:eastAsia="ja-JP"/>
        </w:rPr>
      </w:pPr>
      <w:r w:rsidRPr="008A5E08">
        <w:rPr>
          <w:rFonts w:eastAsiaTheme="minorEastAsia" w:cstheme="minorHAnsi"/>
          <w:i/>
          <w:iCs/>
          <w:sz w:val="20"/>
          <w:szCs w:val="20"/>
          <w:lang w:eastAsia="ja-JP"/>
        </w:rPr>
        <w:t xml:space="preserve">Data source: The Somalia Health and Demographic Survey, 2020 &amp; United Nations Maternal Mortality Estimation Inter-Agency Group, 2017. </w:t>
      </w:r>
    </w:p>
    <w:p w14:paraId="28562062" w14:textId="34BBECBA" w:rsidR="008A5E08" w:rsidRPr="008A5E08" w:rsidRDefault="008A5E08" w:rsidP="00C62531">
      <w:pPr>
        <w:spacing w:after="120" w:line="240" w:lineRule="auto"/>
        <w:jc w:val="both"/>
        <w:rPr>
          <w:rFonts w:eastAsiaTheme="minorEastAsia" w:cstheme="minorHAnsi"/>
          <w:lang w:eastAsia="ja-JP"/>
        </w:rPr>
      </w:pPr>
      <w:r w:rsidRPr="008A5E08">
        <w:rPr>
          <w:rFonts w:eastAsia="Times New Roman"/>
          <w:b/>
          <w:color w:val="000000"/>
          <w:shd w:val="clear" w:color="auto" w:fill="FFFFFF"/>
        </w:rPr>
        <w:t xml:space="preserve">Simultaneously, there has been an upward trend in the burden of non-communicable diseases, which has increased from 19 percent in 2009 to 23 percent in 2019. </w:t>
      </w:r>
      <w:r w:rsidRPr="008A5E08">
        <w:rPr>
          <w:rFonts w:eastAsia="Times New Roman"/>
          <w:color w:val="000000"/>
          <w:shd w:val="clear" w:color="auto" w:fill="FFFFFF"/>
        </w:rPr>
        <w:t>Cardiovascular diseases, diabetes, congenital birth defects, urinary and gynecological diseases</w:t>
      </w:r>
      <w:r w:rsidRPr="008A5E08">
        <w:rPr>
          <w:rFonts w:eastAsia="Times New Roman"/>
          <w:color w:val="000000" w:themeColor="text1"/>
        </w:rPr>
        <w:t>,</w:t>
      </w:r>
      <w:r w:rsidRPr="008A5E08">
        <w:rPr>
          <w:rFonts w:eastAsia="Times New Roman"/>
          <w:color w:val="000000"/>
          <w:shd w:val="clear" w:color="auto" w:fill="FFFFFF"/>
        </w:rPr>
        <w:t xml:space="preserve"> and mental disorders account for more than half of all non-communicable diseases related DALYs in Somalia.</w:t>
      </w:r>
      <w:r w:rsidRPr="008A5E08">
        <w:rPr>
          <w:rFonts w:eastAsia="Times New Roman"/>
          <w:color w:val="000000"/>
          <w:shd w:val="clear" w:color="auto" w:fill="FFFFFF"/>
          <w:vertAlign w:val="superscript"/>
        </w:rPr>
        <w:footnoteReference w:id="45"/>
      </w:r>
      <w:r w:rsidRPr="008A5E08">
        <w:rPr>
          <w:rFonts w:eastAsia="Times New Roman"/>
          <w:color w:val="000000"/>
          <w:shd w:val="clear" w:color="auto" w:fill="FFFFFF"/>
        </w:rPr>
        <w:t xml:space="preserve"> The </w:t>
      </w:r>
      <w:proofErr w:type="gramStart"/>
      <w:r w:rsidRPr="008A5E08">
        <w:rPr>
          <w:rFonts w:eastAsia="Times New Roman"/>
          <w:color w:val="000000"/>
          <w:shd w:val="clear" w:color="auto" w:fill="FFFFFF"/>
        </w:rPr>
        <w:t>most commonly diagnosed</w:t>
      </w:r>
      <w:proofErr w:type="gramEnd"/>
      <w:r w:rsidRPr="008A5E08">
        <w:rPr>
          <w:rFonts w:eastAsia="Times New Roman"/>
          <w:color w:val="000000"/>
          <w:shd w:val="clear" w:color="auto" w:fill="FFFFFF"/>
        </w:rPr>
        <w:t xml:space="preserve"> chronic health problems in Somalia are hypertension</w:t>
      </w:r>
      <w:r w:rsidRPr="008A5E08">
        <w:rPr>
          <w:rFonts w:eastAsiaTheme="minorEastAsia"/>
          <w:lang w:eastAsia="ja-JP"/>
        </w:rPr>
        <w:t xml:space="preserve"> and diabetes. Approximately 33 percent of all individuals have high blood pressure, while 20 percent have diabetes diagnosed by a physician according to the SHDS 2020. While regular checks for blood pressure can help with their management, these services are not always available at health facilities in Somalia.</w:t>
      </w:r>
      <w:bookmarkStart w:id="125" w:name="_Ref69385697"/>
      <w:r w:rsidRPr="008A5E08">
        <w:rPr>
          <w:rFonts w:eastAsiaTheme="minorEastAsia"/>
          <w:vertAlign w:val="superscript"/>
          <w:lang w:eastAsia="ja-JP"/>
        </w:rPr>
        <w:footnoteReference w:id="46"/>
      </w:r>
      <w:bookmarkEnd w:id="125"/>
      <w:r w:rsidRPr="008A5E08">
        <w:rPr>
          <w:rFonts w:eastAsiaTheme="minorEastAsia"/>
          <w:lang w:eastAsia="ja-JP"/>
        </w:rPr>
        <w:t xml:space="preserve"> </w:t>
      </w:r>
      <w:r w:rsidR="00643B84" w:rsidRPr="006D0562">
        <w:rPr>
          <w:rFonts w:eastAsiaTheme="minorEastAsia"/>
          <w:lang w:eastAsia="ja-JP"/>
        </w:rPr>
        <w:fldChar w:fldCharType="begin"/>
      </w:r>
      <w:r w:rsidR="00643B84" w:rsidRPr="006D0562">
        <w:rPr>
          <w:rFonts w:eastAsiaTheme="minorEastAsia"/>
          <w:lang w:eastAsia="ja-JP"/>
        </w:rPr>
        <w:instrText xml:space="preserve"> REF _Ref71572248 \h </w:instrText>
      </w:r>
      <w:r w:rsidR="006D0562" w:rsidRPr="006D0562">
        <w:rPr>
          <w:rFonts w:eastAsiaTheme="minorEastAsia"/>
          <w:lang w:eastAsia="ja-JP"/>
        </w:rPr>
        <w:instrText xml:space="preserve"> \* MERGEFORMAT </w:instrText>
      </w:r>
      <w:r w:rsidR="00643B84" w:rsidRPr="006D0562">
        <w:rPr>
          <w:rFonts w:eastAsiaTheme="minorEastAsia"/>
          <w:lang w:eastAsia="ja-JP"/>
        </w:rPr>
      </w:r>
      <w:r w:rsidR="00643B84" w:rsidRPr="006D0562">
        <w:rPr>
          <w:rFonts w:eastAsiaTheme="minorEastAsia"/>
          <w:lang w:eastAsia="ja-JP"/>
        </w:rPr>
        <w:fldChar w:fldCharType="separate"/>
      </w:r>
      <w:r w:rsidR="006D0562" w:rsidRPr="006D0562">
        <w:rPr>
          <w:color w:val="000000" w:themeColor="text1"/>
        </w:rPr>
        <w:t xml:space="preserve">Figures </w:t>
      </w:r>
      <w:r w:rsidR="006D0562" w:rsidRPr="006D0562">
        <w:rPr>
          <w:noProof/>
          <w:color w:val="000000" w:themeColor="text1"/>
        </w:rPr>
        <w:t>25</w:t>
      </w:r>
      <w:r w:rsidR="00643B84" w:rsidRPr="006D0562">
        <w:rPr>
          <w:rFonts w:eastAsiaTheme="minorEastAsia"/>
          <w:lang w:eastAsia="ja-JP"/>
        </w:rPr>
        <w:fldChar w:fldCharType="end"/>
      </w:r>
      <w:r w:rsidR="00643B84" w:rsidRPr="006D0562">
        <w:rPr>
          <w:rFonts w:eastAsiaTheme="minorEastAsia"/>
          <w:lang w:eastAsia="ja-JP"/>
        </w:rPr>
        <w:t xml:space="preserve"> </w:t>
      </w:r>
      <w:r w:rsidRPr="006D0562">
        <w:rPr>
          <w:rFonts w:eastAsiaTheme="minorEastAsia"/>
          <w:lang w:eastAsia="ja-JP"/>
        </w:rPr>
        <w:t xml:space="preserve">and </w:t>
      </w:r>
      <w:r w:rsidR="00643B84" w:rsidRPr="006D0562">
        <w:rPr>
          <w:rFonts w:eastAsiaTheme="minorEastAsia"/>
          <w:lang w:eastAsia="ja-JP"/>
        </w:rPr>
        <w:fldChar w:fldCharType="begin"/>
      </w:r>
      <w:r w:rsidR="00643B84" w:rsidRPr="006D0562">
        <w:rPr>
          <w:rFonts w:eastAsiaTheme="minorEastAsia"/>
          <w:lang w:eastAsia="ja-JP"/>
        </w:rPr>
        <w:instrText xml:space="preserve"> REF _Ref71572270 \h </w:instrText>
      </w:r>
      <w:r w:rsidR="006D0562" w:rsidRPr="006D0562">
        <w:rPr>
          <w:rFonts w:eastAsiaTheme="minorEastAsia"/>
          <w:lang w:eastAsia="ja-JP"/>
        </w:rPr>
        <w:instrText xml:space="preserve"> \* MERGEFORMAT </w:instrText>
      </w:r>
      <w:r w:rsidR="00643B84" w:rsidRPr="006D0562">
        <w:rPr>
          <w:rFonts w:eastAsiaTheme="minorEastAsia"/>
          <w:lang w:eastAsia="ja-JP"/>
        </w:rPr>
      </w:r>
      <w:r w:rsidR="00643B84" w:rsidRPr="006D0562">
        <w:rPr>
          <w:rFonts w:eastAsiaTheme="minorEastAsia"/>
          <w:lang w:eastAsia="ja-JP"/>
        </w:rPr>
        <w:fldChar w:fldCharType="separate"/>
      </w:r>
      <w:r w:rsidR="006D0562" w:rsidRPr="006D0562">
        <w:rPr>
          <w:color w:val="000000" w:themeColor="text1"/>
        </w:rPr>
        <w:t xml:space="preserve"> </w:t>
      </w:r>
      <w:r w:rsidR="006D0562" w:rsidRPr="006D0562">
        <w:rPr>
          <w:noProof/>
          <w:color w:val="000000" w:themeColor="text1"/>
        </w:rPr>
        <w:t>26</w:t>
      </w:r>
      <w:r w:rsidR="00643B84" w:rsidRPr="006D0562">
        <w:rPr>
          <w:rFonts w:eastAsiaTheme="minorEastAsia"/>
          <w:lang w:eastAsia="ja-JP"/>
        </w:rPr>
        <w:fldChar w:fldCharType="end"/>
      </w:r>
      <w:r w:rsidR="00643B84" w:rsidRPr="006D0562">
        <w:rPr>
          <w:rFonts w:eastAsiaTheme="minorEastAsia"/>
          <w:lang w:eastAsia="ja-JP"/>
        </w:rPr>
        <w:t xml:space="preserve"> </w:t>
      </w:r>
      <w:r w:rsidRPr="006D0562">
        <w:rPr>
          <w:rFonts w:eastAsiaTheme="minorEastAsia"/>
          <w:lang w:eastAsia="ja-JP"/>
        </w:rPr>
        <w:t>show</w:t>
      </w:r>
      <w:r w:rsidRPr="008A5E08">
        <w:rPr>
          <w:rFonts w:eastAsiaTheme="minorEastAsia"/>
          <w:lang w:eastAsia="ja-JP"/>
        </w:rPr>
        <w:t xml:space="preserve"> the distribution of the disease burden in Somalia.</w:t>
      </w:r>
    </w:p>
    <w:p w14:paraId="0B252759" w14:textId="42C89E2A" w:rsidR="008A5E08" w:rsidRPr="008A5E08" w:rsidRDefault="00C62531" w:rsidP="00C62531">
      <w:pPr>
        <w:keepNext/>
        <w:spacing w:after="0" w:line="240" w:lineRule="auto"/>
        <w:jc w:val="both"/>
        <w:rPr>
          <w:rFonts w:eastAsiaTheme="minorEastAsia" w:cstheme="minorHAnsi"/>
          <w:b/>
          <w:bCs/>
          <w:color w:val="000000" w:themeColor="text1"/>
          <w:lang w:eastAsia="ja-JP"/>
        </w:rPr>
      </w:pPr>
      <w:bookmarkStart w:id="126" w:name="_Ref71572248"/>
      <w:bookmarkStart w:id="127" w:name="_Toc71725943"/>
      <w:r w:rsidRPr="00C62531">
        <w:rPr>
          <w:b/>
          <w:color w:val="000000" w:themeColor="text1"/>
        </w:rPr>
        <w:lastRenderedPageBreak/>
        <w:t xml:space="preserve">Figure </w:t>
      </w:r>
      <w:r w:rsidRPr="00C62531">
        <w:rPr>
          <w:b/>
          <w:color w:val="000000" w:themeColor="text1"/>
        </w:rPr>
        <w:fldChar w:fldCharType="begin"/>
      </w:r>
      <w:r w:rsidRPr="00C62531">
        <w:rPr>
          <w:b/>
          <w:color w:val="000000" w:themeColor="text1"/>
        </w:rPr>
        <w:instrText xml:space="preserve"> SEQ Figure \* ARABIC </w:instrText>
      </w:r>
      <w:r w:rsidRPr="00C62531">
        <w:rPr>
          <w:b/>
          <w:color w:val="000000" w:themeColor="text1"/>
        </w:rPr>
        <w:fldChar w:fldCharType="separate"/>
      </w:r>
      <w:r w:rsidR="006D6F0B">
        <w:rPr>
          <w:b/>
          <w:noProof/>
          <w:color w:val="000000" w:themeColor="text1"/>
        </w:rPr>
        <w:t>25</w:t>
      </w:r>
      <w:r w:rsidRPr="00C62531">
        <w:rPr>
          <w:b/>
          <w:color w:val="000000" w:themeColor="text1"/>
        </w:rPr>
        <w:fldChar w:fldCharType="end"/>
      </w:r>
      <w:bookmarkEnd w:id="126"/>
      <w:r w:rsidR="008A5E08" w:rsidRPr="008A5E08">
        <w:rPr>
          <w:rFonts w:eastAsiaTheme="minorEastAsia" w:cstheme="minorHAnsi"/>
          <w:b/>
          <w:bCs/>
          <w:color w:val="000000" w:themeColor="text1"/>
          <w:lang w:eastAsia="ja-JP"/>
        </w:rPr>
        <w:t>: Distribution of total DALYs in Somalia by type of disease</w:t>
      </w:r>
      <w:bookmarkEnd w:id="127"/>
    </w:p>
    <w:p w14:paraId="2B632958" w14:textId="77777777" w:rsidR="008A5E08" w:rsidRPr="008A5E08" w:rsidRDefault="008A5E08" w:rsidP="00C62531">
      <w:pPr>
        <w:keepNext/>
        <w:spacing w:after="0" w:line="240" w:lineRule="auto"/>
        <w:jc w:val="both"/>
        <w:rPr>
          <w:rFonts w:eastAsia="Yu Gothic Light" w:cstheme="minorHAnsi"/>
          <w:b/>
          <w:color w:val="4472C4" w:themeColor="accent1"/>
          <w:lang w:eastAsia="ja-JP"/>
        </w:rPr>
      </w:pPr>
      <w:r w:rsidRPr="008A5E08">
        <w:rPr>
          <w:rFonts w:eastAsiaTheme="minorEastAsia" w:cstheme="minorHAnsi"/>
          <w:noProof/>
          <w:lang w:eastAsia="ja-JP"/>
        </w:rPr>
        <mc:AlternateContent>
          <mc:Choice Requires="cx1">
            <w:drawing>
              <wp:inline distT="0" distB="0" distL="0" distR="0" wp14:anchorId="5B9B8DCE" wp14:editId="22472D03">
                <wp:extent cx="5343277" cy="2790908"/>
                <wp:effectExtent l="0" t="0" r="10160" b="9525"/>
                <wp:docPr id="7" name="Chart 7">
                  <a:extLst xmlns:a="http://schemas.openxmlformats.org/drawingml/2006/main">
                    <a:ext uri="{FF2B5EF4-FFF2-40B4-BE49-F238E27FC236}">
                      <a16:creationId xmlns:a16="http://schemas.microsoft.com/office/drawing/2014/main" id="{58101C46-1BE8-4A41-AA96-9853C1E7ECE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3"/>
                  </a:graphicData>
                </a:graphic>
              </wp:inline>
            </w:drawing>
          </mc:Choice>
          <mc:Fallback>
            <w:drawing>
              <wp:inline distT="0" distB="0" distL="0" distR="0" wp14:anchorId="5B9B8DCE" wp14:editId="22472D03">
                <wp:extent cx="5343277" cy="2790908"/>
                <wp:effectExtent l="0" t="0" r="10160" b="9525"/>
                <wp:docPr id="7" name="Chart 7">
                  <a:extLst xmlns:a="http://schemas.openxmlformats.org/drawingml/2006/main">
                    <a:ext uri="{FF2B5EF4-FFF2-40B4-BE49-F238E27FC236}">
                      <a16:creationId xmlns:a16="http://schemas.microsoft.com/office/drawing/2014/main" id="{58101C46-1BE8-4A41-AA96-9853C1E7ECE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a:extLst>
                            <a:ext uri="{FF2B5EF4-FFF2-40B4-BE49-F238E27FC236}">
                              <a16:creationId xmlns:a16="http://schemas.microsoft.com/office/drawing/2014/main" id="{58101C46-1BE8-4A41-AA96-9853C1E7ECEC}"/>
                            </a:ext>
                          </a:extLst>
                        </pic:cNvPr>
                        <pic:cNvPicPr>
                          <a:picLocks noGrp="1" noRot="1" noChangeAspect="1" noMove="1" noResize="1" noEditPoints="1" noAdjustHandles="1" noChangeArrowheads="1" noChangeShapeType="1"/>
                        </pic:cNvPicPr>
                      </pic:nvPicPr>
                      <pic:blipFill>
                        <a:blip r:embed="rId54"/>
                        <a:stretch>
                          <a:fillRect/>
                        </a:stretch>
                      </pic:blipFill>
                      <pic:spPr>
                        <a:xfrm>
                          <a:off x="0" y="0"/>
                          <a:ext cx="5342890" cy="2790825"/>
                        </a:xfrm>
                        <a:prstGeom prst="rect">
                          <a:avLst/>
                        </a:prstGeom>
                      </pic:spPr>
                    </pic:pic>
                  </a:graphicData>
                </a:graphic>
              </wp:inline>
            </w:drawing>
          </mc:Fallback>
        </mc:AlternateContent>
      </w:r>
    </w:p>
    <w:p w14:paraId="1635EEA9" w14:textId="77777777" w:rsidR="008A5E08" w:rsidRPr="008A5E08" w:rsidRDefault="008A5E08" w:rsidP="00C62531">
      <w:pPr>
        <w:spacing w:after="0" w:line="240" w:lineRule="auto"/>
        <w:jc w:val="both"/>
        <w:rPr>
          <w:rFonts w:eastAsiaTheme="minorEastAsia" w:cstheme="minorHAnsi"/>
          <w:i/>
          <w:sz w:val="20"/>
          <w:szCs w:val="20"/>
          <w:lang w:eastAsia="ja-JP"/>
        </w:rPr>
      </w:pPr>
      <w:r w:rsidRPr="008A5E08">
        <w:rPr>
          <w:rFonts w:eastAsiaTheme="minorEastAsia" w:cstheme="minorHAnsi"/>
          <w:i/>
          <w:sz w:val="20"/>
          <w:szCs w:val="20"/>
          <w:lang w:eastAsia="ja-JP"/>
        </w:rPr>
        <w:t>Note:</w:t>
      </w:r>
      <w:r w:rsidRPr="008A5E08">
        <w:rPr>
          <w:rFonts w:eastAsiaTheme="minorEastAsia" w:cstheme="minorHAnsi"/>
          <w:b/>
          <w:i/>
          <w:sz w:val="20"/>
          <w:szCs w:val="20"/>
          <w:lang w:eastAsia="ja-JP"/>
        </w:rPr>
        <w:t xml:space="preserve"> </w:t>
      </w:r>
      <w:r w:rsidRPr="008A5E08">
        <w:rPr>
          <w:rFonts w:eastAsiaTheme="minorEastAsia" w:cstheme="minorHAnsi"/>
          <w:i/>
          <w:sz w:val="20"/>
          <w:szCs w:val="20"/>
          <w:lang w:eastAsia="ja-JP"/>
        </w:rPr>
        <w:t xml:space="preserve">Each </w:t>
      </w:r>
      <w:r w:rsidRPr="008A5E08">
        <w:rPr>
          <w:rFonts w:eastAsiaTheme="minorEastAsia" w:cstheme="minorHAnsi"/>
          <w:i/>
          <w:iCs/>
          <w:sz w:val="20"/>
          <w:szCs w:val="20"/>
          <w:lang w:eastAsia="ja-JP"/>
        </w:rPr>
        <w:t>sector of the circle</w:t>
      </w:r>
      <w:r w:rsidRPr="008A5E08">
        <w:rPr>
          <w:rFonts w:eastAsiaTheme="minorEastAsia" w:cstheme="minorHAnsi"/>
          <w:i/>
          <w:sz w:val="20"/>
          <w:szCs w:val="20"/>
          <w:lang w:eastAsia="ja-JP"/>
        </w:rPr>
        <w:t xml:space="preserve"> represents the percentage of DALYs caused by the </w:t>
      </w:r>
      <w:proofErr w:type="gramStart"/>
      <w:r w:rsidRPr="008A5E08">
        <w:rPr>
          <w:rFonts w:eastAsiaTheme="minorEastAsia" w:cstheme="minorHAnsi"/>
          <w:i/>
          <w:sz w:val="20"/>
          <w:szCs w:val="20"/>
          <w:lang w:eastAsia="ja-JP"/>
        </w:rPr>
        <w:t>particular group</w:t>
      </w:r>
      <w:proofErr w:type="gramEnd"/>
      <w:r w:rsidRPr="008A5E08">
        <w:rPr>
          <w:rFonts w:eastAsiaTheme="minorEastAsia" w:cstheme="minorHAnsi"/>
          <w:i/>
          <w:sz w:val="20"/>
          <w:szCs w:val="20"/>
          <w:lang w:eastAsia="ja-JP"/>
        </w:rPr>
        <w:t xml:space="preserve"> of diseases. </w:t>
      </w:r>
      <w:r w:rsidRPr="008A5E08">
        <w:rPr>
          <w:rFonts w:eastAsiaTheme="minorEastAsia" w:cstheme="minorHAnsi"/>
          <w:i/>
          <w:iCs/>
          <w:sz w:val="20"/>
          <w:szCs w:val="20"/>
          <w:lang w:eastAsia="ja-JP"/>
        </w:rPr>
        <w:t xml:space="preserve">Data </w:t>
      </w:r>
      <w:r w:rsidRPr="008A5E08">
        <w:rPr>
          <w:rFonts w:eastAsiaTheme="minorEastAsia" w:cstheme="minorHAnsi"/>
          <w:i/>
          <w:sz w:val="20"/>
          <w:szCs w:val="20"/>
          <w:lang w:eastAsia="ja-JP"/>
        </w:rPr>
        <w:t>source: Global Burden of Diseases, 2019.</w:t>
      </w:r>
    </w:p>
    <w:p w14:paraId="2E118D22" w14:textId="12CACB4B" w:rsidR="008A5E08" w:rsidRPr="008A5E08" w:rsidRDefault="00C62531" w:rsidP="00C62531">
      <w:pPr>
        <w:spacing w:before="120" w:after="0" w:line="240" w:lineRule="auto"/>
        <w:jc w:val="both"/>
        <w:rPr>
          <w:rFonts w:eastAsiaTheme="minorEastAsia" w:cstheme="minorHAnsi"/>
          <w:color w:val="000000" w:themeColor="text1"/>
          <w:lang w:eastAsia="ja-JP"/>
        </w:rPr>
      </w:pPr>
      <w:bookmarkStart w:id="128" w:name="_Ref71572270"/>
      <w:bookmarkStart w:id="129" w:name="_Toc71725944"/>
      <w:r w:rsidRPr="00C62531">
        <w:rPr>
          <w:b/>
          <w:color w:val="000000" w:themeColor="text1"/>
        </w:rPr>
        <w:t xml:space="preserve">Figure </w:t>
      </w:r>
      <w:r w:rsidRPr="00C62531">
        <w:rPr>
          <w:b/>
          <w:color w:val="000000" w:themeColor="text1"/>
        </w:rPr>
        <w:fldChar w:fldCharType="begin"/>
      </w:r>
      <w:r w:rsidRPr="00C62531">
        <w:rPr>
          <w:b/>
          <w:color w:val="000000" w:themeColor="text1"/>
        </w:rPr>
        <w:instrText xml:space="preserve"> SEQ Figure \* ARABIC </w:instrText>
      </w:r>
      <w:r w:rsidRPr="00C62531">
        <w:rPr>
          <w:b/>
          <w:color w:val="000000" w:themeColor="text1"/>
        </w:rPr>
        <w:fldChar w:fldCharType="separate"/>
      </w:r>
      <w:r w:rsidR="006D6F0B">
        <w:rPr>
          <w:b/>
          <w:noProof/>
          <w:color w:val="000000" w:themeColor="text1"/>
        </w:rPr>
        <w:t>26</w:t>
      </w:r>
      <w:r w:rsidRPr="00C62531">
        <w:rPr>
          <w:b/>
          <w:color w:val="000000" w:themeColor="text1"/>
        </w:rPr>
        <w:fldChar w:fldCharType="end"/>
      </w:r>
      <w:bookmarkEnd w:id="128"/>
      <w:r w:rsidR="008A5E08" w:rsidRPr="008A5E08">
        <w:rPr>
          <w:rFonts w:eastAsia="Segoe UI" w:cstheme="minorHAnsi"/>
          <w:b/>
          <w:color w:val="000000" w:themeColor="text1"/>
          <w:lang w:eastAsia="ja-JP"/>
        </w:rPr>
        <w:t>: Somalia’s burden of diseases, 2019</w:t>
      </w:r>
      <w:bookmarkEnd w:id="129"/>
    </w:p>
    <w:p w14:paraId="72600C9E"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noProof/>
          <w:lang w:eastAsia="ja-JP"/>
        </w:rPr>
        <w:drawing>
          <wp:inline distT="0" distB="0" distL="0" distR="0" wp14:anchorId="6E4E4E9F" wp14:editId="4D2B197B">
            <wp:extent cx="5550572" cy="3219450"/>
            <wp:effectExtent l="0" t="0" r="0" b="0"/>
            <wp:docPr id="11" name="Content Placeholder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5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BEDD23D3-563F-4060-8994-6955B3DE7BB5}"/>
                        </a:ext>
                      </a:extLst>
                    </a:blip>
                    <a:stretch>
                      <a:fillRect/>
                    </a:stretch>
                  </pic:blipFill>
                  <pic:spPr>
                    <a:xfrm>
                      <a:off x="0" y="0"/>
                      <a:ext cx="5551228" cy="3219830"/>
                    </a:xfrm>
                    <a:prstGeom prst="rect">
                      <a:avLst/>
                    </a:prstGeom>
                  </pic:spPr>
                </pic:pic>
              </a:graphicData>
            </a:graphic>
          </wp:inline>
        </w:drawing>
      </w:r>
    </w:p>
    <w:p w14:paraId="69D0FD3C" w14:textId="77777777" w:rsidR="008A5E08" w:rsidRPr="008A5E08" w:rsidRDefault="008A5E08" w:rsidP="008A5E08">
      <w:pPr>
        <w:spacing w:after="0" w:line="240" w:lineRule="auto"/>
        <w:rPr>
          <w:rFonts w:eastAsia="Segoe UI" w:cstheme="minorHAnsi"/>
          <w:i/>
          <w:sz w:val="20"/>
          <w:szCs w:val="20"/>
          <w:lang w:eastAsia="ja-JP"/>
        </w:rPr>
      </w:pPr>
      <w:r w:rsidRPr="008A5E08">
        <w:rPr>
          <w:rFonts w:eastAsia="Segoe UI" w:cstheme="minorHAnsi"/>
          <w:i/>
          <w:sz w:val="20"/>
          <w:szCs w:val="20"/>
          <w:lang w:eastAsia="ja-JP"/>
        </w:rPr>
        <w:t xml:space="preserve">Data source: IHME GBD Compare. Data for Somalia retrieved on April 16, 2021 from </w:t>
      </w:r>
      <w:hyperlink r:id="rId56" w:history="1">
        <w:r w:rsidRPr="008A5E08">
          <w:rPr>
            <w:rFonts w:eastAsia="Segoe UI" w:cstheme="minorHAnsi"/>
            <w:i/>
            <w:color w:val="0000FF"/>
            <w:sz w:val="20"/>
            <w:szCs w:val="20"/>
            <w:u w:val="single"/>
            <w:lang w:eastAsia="ja-JP"/>
          </w:rPr>
          <w:t>https://vizhub.healthdata.org/gbd-compare/</w:t>
        </w:r>
      </w:hyperlink>
      <w:r w:rsidRPr="008A5E08">
        <w:rPr>
          <w:rFonts w:eastAsia="Segoe UI" w:cstheme="minorHAnsi"/>
          <w:i/>
          <w:sz w:val="20"/>
          <w:szCs w:val="20"/>
          <w:lang w:eastAsia="ja-JP"/>
        </w:rPr>
        <w:t>. Note: The orange shaded region represents the communicable, maternal, neonatal, child health and nutritional disease burden. The blue shaded region represents the non-communicable disease burden while the green shaded areas represent injuries. For each region, darker shades represent an increase in the disease burden from 1990 to 2019.</w:t>
      </w:r>
    </w:p>
    <w:p w14:paraId="118FE01C" w14:textId="77777777" w:rsidR="008A5E08" w:rsidRPr="008A5E08" w:rsidRDefault="008A5E08" w:rsidP="008A5E08">
      <w:pPr>
        <w:spacing w:line="240" w:lineRule="auto"/>
        <w:jc w:val="both"/>
        <w:rPr>
          <w:rFonts w:eastAsiaTheme="minorEastAsia" w:cstheme="minorHAnsi"/>
          <w:i/>
          <w:iCs/>
          <w:lang w:eastAsia="ja-JP"/>
        </w:rPr>
      </w:pPr>
    </w:p>
    <w:p w14:paraId="5564F208" w14:textId="77777777" w:rsidR="00643B84" w:rsidRDefault="008A5E08" w:rsidP="00643B84">
      <w:pPr>
        <w:spacing w:after="120" w:line="240" w:lineRule="auto"/>
        <w:jc w:val="both"/>
        <w:rPr>
          <w:rFonts w:eastAsiaTheme="minorEastAsia"/>
          <w:lang w:eastAsia="ja-JP"/>
        </w:rPr>
      </w:pPr>
      <w:r w:rsidRPr="008A5E08">
        <w:rPr>
          <w:rFonts w:eastAsiaTheme="minorEastAsia"/>
          <w:b/>
          <w:lang w:eastAsia="ja-JP"/>
        </w:rPr>
        <w:lastRenderedPageBreak/>
        <w:t>Mental disorders are estimated to cause 13 percent of all Years Lived with Disability (YLD)</w:t>
      </w:r>
      <w:r w:rsidRPr="008A5E08">
        <w:rPr>
          <w:rFonts w:eastAsiaTheme="minorEastAsia"/>
          <w:b/>
          <w:vertAlign w:val="superscript"/>
          <w:lang w:eastAsia="ja-JP"/>
        </w:rPr>
        <w:footnoteReference w:id="47"/>
      </w:r>
      <w:r w:rsidRPr="008A5E08">
        <w:rPr>
          <w:rFonts w:eastAsiaTheme="minorEastAsia"/>
          <w:b/>
          <w:lang w:eastAsia="ja-JP"/>
        </w:rPr>
        <w:t xml:space="preserve"> in Somalia, but there is a lack of mental health services. </w:t>
      </w:r>
      <w:r w:rsidRPr="008A5E08">
        <w:rPr>
          <w:rFonts w:eastAsiaTheme="minorEastAsia"/>
          <w:lang w:eastAsia="ja-JP"/>
        </w:rPr>
        <w:t>As of 2020, only 4.3 percent of all individuals were diagnosed with mental illness by a physician (SHDS 2020), although the actual prevalence is estimated to be higher at 14 percent.</w:t>
      </w:r>
      <w:r w:rsidRPr="008A5E08">
        <w:rPr>
          <w:rFonts w:eastAsiaTheme="minorEastAsia"/>
          <w:vertAlign w:val="superscript"/>
          <w:lang w:eastAsia="ja-JP"/>
        </w:rPr>
        <w:footnoteReference w:id="48"/>
      </w:r>
      <w:r w:rsidRPr="008A5E08">
        <w:rPr>
          <w:rFonts w:eastAsiaTheme="minorEastAsia"/>
          <w:lang w:eastAsia="ja-JP"/>
        </w:rPr>
        <w:t xml:space="preserve"> However, care and support for individuals with disability, including mental illness, is lacking with an estimated 42 percent of individuals receiving no form of support at all and only 56 percent receiving medical support.</w:t>
      </w:r>
      <w:r w:rsidRPr="008A5E08">
        <w:rPr>
          <w:rFonts w:eastAsiaTheme="minorEastAsia"/>
          <w:vertAlign w:val="superscript"/>
          <w:lang w:eastAsia="ja-JP"/>
        </w:rPr>
        <w:footnoteReference w:id="49"/>
      </w:r>
      <w:r w:rsidRPr="008A5E08" w:rsidDel="00686189">
        <w:rPr>
          <w:rFonts w:eastAsiaTheme="minorEastAsia"/>
          <w:lang w:eastAsia="ja-JP"/>
        </w:rPr>
        <w:t xml:space="preserve"> </w:t>
      </w:r>
    </w:p>
    <w:p w14:paraId="150DDDF0" w14:textId="3094BEB5" w:rsidR="008A5E08" w:rsidRPr="008A5E08" w:rsidRDefault="008A5E08" w:rsidP="00643B84">
      <w:pPr>
        <w:spacing w:after="120" w:line="240" w:lineRule="auto"/>
        <w:jc w:val="both"/>
        <w:rPr>
          <w:rFonts w:eastAsiaTheme="minorEastAsia" w:cstheme="minorHAnsi"/>
          <w:b/>
          <w:bCs/>
          <w:lang w:eastAsia="ja-JP"/>
        </w:rPr>
      </w:pPr>
      <w:r w:rsidRPr="008A5E08">
        <w:rPr>
          <w:rFonts w:eastAsiaTheme="minorEastAsia" w:cstheme="minorHAnsi"/>
          <w:b/>
          <w:bCs/>
          <w:lang w:eastAsia="ja-JP"/>
        </w:rPr>
        <w:t xml:space="preserve">Nearly all women in Somalia have undergone female genital mutilation/circumcision (FGM/C) and attitudes towards the practice are less favorable among educated women and women in higher income households. </w:t>
      </w:r>
      <w:r w:rsidRPr="008A5E08">
        <w:rPr>
          <w:rFonts w:eastAsiaTheme="minorEastAsia" w:cstheme="minorHAnsi"/>
          <w:lang w:eastAsia="ja-JP"/>
        </w:rPr>
        <w:t>The practice has substantial support from women in Somalia: an estimated 72 percent of all women agree that the practice should continue while 19 percent oppose the practice. However, support for female circumcision declines with educational and income status: 78 percent of all women with no formal education support the practice, compared to only 44 percent of those with higher education.</w:t>
      </w:r>
      <w:r w:rsidRPr="008A5E08">
        <w:rPr>
          <w:rFonts w:eastAsiaTheme="minorEastAsia" w:cstheme="minorHAnsi"/>
          <w:vertAlign w:val="superscript"/>
          <w:lang w:eastAsia="ja-JP"/>
        </w:rPr>
        <w:footnoteReference w:id="50"/>
      </w:r>
    </w:p>
    <w:p w14:paraId="5AF37FC0" w14:textId="77777777" w:rsidR="008A5E08" w:rsidRPr="008A5E08" w:rsidRDefault="008A5E08" w:rsidP="008A5E08">
      <w:pPr>
        <w:spacing w:line="240" w:lineRule="auto"/>
        <w:jc w:val="both"/>
        <w:rPr>
          <w:rFonts w:eastAsia="Times New Roman" w:cstheme="minorHAnsi"/>
          <w:color w:val="000000"/>
          <w:u w:val="single"/>
          <w:shd w:val="clear" w:color="auto" w:fill="FFFFFF"/>
        </w:rPr>
      </w:pPr>
      <w:r w:rsidRPr="008A5E08">
        <w:rPr>
          <w:rFonts w:eastAsia="Times New Roman" w:cstheme="minorHAnsi"/>
          <w:color w:val="000000"/>
          <w:u w:val="single"/>
          <w:shd w:val="clear" w:color="auto" w:fill="FFFFFF"/>
        </w:rPr>
        <w:t>Health disparities</w:t>
      </w:r>
    </w:p>
    <w:p w14:paraId="4A78C49D" w14:textId="721E8A6D"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There are notable health disparities in Somalia across geographic areas and socio-economic groups. </w:t>
      </w:r>
      <w:r w:rsidRPr="008A5E08">
        <w:rPr>
          <w:rFonts w:eastAsiaTheme="minorEastAsia" w:cstheme="minorHAnsi"/>
          <w:lang w:eastAsia="ja-JP"/>
        </w:rPr>
        <w:t>For example, health outcomes are worse in rural and nomadic areas. Women in nomadic and rural areas tend to have more children on average than women in urban areas, but they are less likely to have access to ANC and PNC services from a trained provider. Only nine percent of mothers in nomadic areas and 35 percent of mothers in rural areas received at least four ANC services from a trained, compared to 49 percent in urban areas. ANC coverage is only 12 percent for women in the lowest income quintile compared to 56 percent of women in the highest income quintile. In nomadic areas, the basic childhood immunization coverage is less than one percent compared to 14 percent in rural areas and 19 percent in urban areas (</w:t>
      </w:r>
      <w:r w:rsidR="00E92819" w:rsidRPr="00E92819">
        <w:rPr>
          <w:rFonts w:eastAsiaTheme="minorEastAsia" w:cstheme="minorHAnsi"/>
          <w:lang w:eastAsia="ja-JP"/>
        </w:rPr>
        <w:fldChar w:fldCharType="begin"/>
      </w:r>
      <w:r w:rsidR="00E92819" w:rsidRPr="00E92819">
        <w:rPr>
          <w:rFonts w:eastAsiaTheme="minorEastAsia" w:cstheme="minorHAnsi"/>
          <w:lang w:eastAsia="ja-JP"/>
        </w:rPr>
        <w:instrText xml:space="preserve"> REF _Ref71572364 \h  \* MERGEFORMAT </w:instrText>
      </w:r>
      <w:r w:rsidR="00E92819" w:rsidRPr="00E92819">
        <w:rPr>
          <w:rFonts w:eastAsiaTheme="minorEastAsia" w:cstheme="minorHAnsi"/>
          <w:lang w:eastAsia="ja-JP"/>
        </w:rPr>
      </w:r>
      <w:r w:rsidR="00E92819" w:rsidRPr="00E92819">
        <w:rPr>
          <w:rFonts w:eastAsiaTheme="minorEastAsia" w:cstheme="minorHAnsi"/>
          <w:lang w:eastAsia="ja-JP"/>
        </w:rPr>
        <w:fldChar w:fldCharType="separate"/>
      </w:r>
      <w:r w:rsidR="006D0562" w:rsidRPr="006D0562">
        <w:rPr>
          <w:color w:val="000000" w:themeColor="text1"/>
        </w:rPr>
        <w:t xml:space="preserve">Figure </w:t>
      </w:r>
      <w:r w:rsidR="006D0562" w:rsidRPr="006D0562">
        <w:rPr>
          <w:noProof/>
          <w:color w:val="000000" w:themeColor="text1"/>
        </w:rPr>
        <w:t>27</w:t>
      </w:r>
      <w:r w:rsidR="00E92819" w:rsidRPr="00E92819">
        <w:rPr>
          <w:rFonts w:eastAsiaTheme="minorEastAsia" w:cstheme="minorHAnsi"/>
          <w:lang w:eastAsia="ja-JP"/>
        </w:rPr>
        <w:fldChar w:fldCharType="end"/>
      </w:r>
      <w:r w:rsidRPr="008A5E08">
        <w:rPr>
          <w:rFonts w:eastAsiaTheme="minorEastAsia" w:cstheme="minorHAnsi"/>
          <w:lang w:eastAsia="ja-JP"/>
        </w:rPr>
        <w:t>). Similarly, the percentage of women (aged 15–49)</w:t>
      </w:r>
      <w:r w:rsidRPr="008A5E08">
        <w:rPr>
          <w:rFonts w:eastAsiaTheme="minorEastAsia" w:cstheme="minorHAnsi"/>
          <w:vertAlign w:val="superscript"/>
          <w:lang w:eastAsia="ja-JP"/>
        </w:rPr>
        <w:footnoteReference w:id="51"/>
      </w:r>
      <w:r w:rsidRPr="008A5E08">
        <w:rPr>
          <w:rFonts w:eastAsiaTheme="minorEastAsia" w:cstheme="minorHAnsi"/>
          <w:lang w:eastAsia="ja-JP"/>
        </w:rPr>
        <w:t xml:space="preserve"> who are underweight is 25.5 percent in nomadic areas, 16.1 percent in rural areas and 13.7 percent in urban areas. </w:t>
      </w:r>
    </w:p>
    <w:p w14:paraId="161B890A" w14:textId="1E621D4D" w:rsidR="008A5E08" w:rsidRPr="008A5E08" w:rsidRDefault="008A5E08" w:rsidP="008A5E08">
      <w:pPr>
        <w:spacing w:line="240" w:lineRule="auto"/>
        <w:jc w:val="both"/>
        <w:rPr>
          <w:rFonts w:eastAsia="Segoe UI" w:cstheme="minorHAnsi"/>
          <w:lang w:eastAsia="ja-JP"/>
        </w:rPr>
      </w:pPr>
      <w:r w:rsidRPr="008A5E08">
        <w:rPr>
          <w:rFonts w:eastAsia="Segoe UI" w:cstheme="minorHAnsi"/>
          <w:b/>
          <w:lang w:eastAsia="ja-JP"/>
        </w:rPr>
        <w:t xml:space="preserve">Maternal health outcomes are generally better in Somaliland compared to the rest of Somalia. </w:t>
      </w:r>
      <w:r w:rsidRPr="008A5E08">
        <w:rPr>
          <w:rFonts w:eastAsia="Segoe UI" w:cstheme="minorHAnsi"/>
          <w:bCs/>
          <w:lang w:eastAsia="ja-JP"/>
        </w:rPr>
        <w:t>The fertility rate in Somaliland is lower (5.7 children per woman) than the Somali average (6.9 children per woman). Antenatal care coverage and institutional delivery rates are also higher in Somaliland than most of Somalia at 20 and 40 percent respectively, compared to 11 and 21 percent respectively in the rest of Somalia (</w:t>
      </w:r>
      <w:r w:rsidR="00E92819" w:rsidRPr="00E92819">
        <w:rPr>
          <w:rFonts w:eastAsia="Segoe UI" w:cstheme="minorHAnsi"/>
          <w:bCs/>
          <w:lang w:eastAsia="ja-JP"/>
        </w:rPr>
        <w:fldChar w:fldCharType="begin"/>
      </w:r>
      <w:r w:rsidR="00E92819" w:rsidRPr="00E92819">
        <w:rPr>
          <w:rFonts w:eastAsia="Segoe UI" w:cstheme="minorHAnsi"/>
          <w:bCs/>
          <w:lang w:eastAsia="ja-JP"/>
        </w:rPr>
        <w:instrText xml:space="preserve"> REF _Ref71572547 \h  \* MERGEFORMAT </w:instrText>
      </w:r>
      <w:r w:rsidR="00E92819" w:rsidRPr="00E92819">
        <w:rPr>
          <w:rFonts w:eastAsia="Segoe UI" w:cstheme="minorHAnsi"/>
          <w:bCs/>
          <w:lang w:eastAsia="ja-JP"/>
        </w:rPr>
      </w:r>
      <w:r w:rsidR="00E92819" w:rsidRPr="00E92819">
        <w:rPr>
          <w:rFonts w:eastAsia="Segoe UI" w:cstheme="minorHAnsi"/>
          <w:bCs/>
          <w:lang w:eastAsia="ja-JP"/>
        </w:rPr>
        <w:fldChar w:fldCharType="separate"/>
      </w:r>
      <w:r w:rsidR="006D0562" w:rsidRPr="006D0562">
        <w:rPr>
          <w:bCs/>
          <w:color w:val="000000" w:themeColor="text1"/>
        </w:rPr>
        <w:t xml:space="preserve">Figure </w:t>
      </w:r>
      <w:r w:rsidR="006D0562" w:rsidRPr="006D0562">
        <w:rPr>
          <w:bCs/>
          <w:noProof/>
          <w:color w:val="000000" w:themeColor="text1"/>
        </w:rPr>
        <w:t>28</w:t>
      </w:r>
      <w:r w:rsidR="00E92819" w:rsidRPr="00E92819">
        <w:rPr>
          <w:rFonts w:eastAsia="Segoe UI" w:cstheme="minorHAnsi"/>
          <w:bCs/>
          <w:lang w:eastAsia="ja-JP"/>
        </w:rPr>
        <w:fldChar w:fldCharType="end"/>
      </w:r>
      <w:r w:rsidRPr="008A5E08">
        <w:rPr>
          <w:rFonts w:eastAsia="Segoe UI" w:cstheme="minorHAnsi"/>
          <w:bCs/>
          <w:lang w:eastAsia="ja-JP"/>
        </w:rPr>
        <w:t xml:space="preserve">). </w:t>
      </w:r>
    </w:p>
    <w:p w14:paraId="3964FB7B" w14:textId="77777777" w:rsidR="008A5E08" w:rsidRPr="008A5E08" w:rsidRDefault="008A5E08" w:rsidP="008A5E08">
      <w:pPr>
        <w:spacing w:line="240" w:lineRule="auto"/>
        <w:jc w:val="both"/>
        <w:rPr>
          <w:rFonts w:eastAsia="Segoe UI" w:cstheme="minorHAnsi"/>
          <w:b/>
          <w:color w:val="4472C4" w:themeColor="accent1"/>
          <w:lang w:eastAsia="ja-JP"/>
        </w:rPr>
      </w:pPr>
    </w:p>
    <w:p w14:paraId="72107605" w14:textId="77777777" w:rsidR="008A5E08" w:rsidRPr="008A5E08" w:rsidRDefault="008A5E08" w:rsidP="008A5E08">
      <w:pPr>
        <w:spacing w:line="240" w:lineRule="auto"/>
        <w:jc w:val="both"/>
        <w:rPr>
          <w:rFonts w:eastAsia="Segoe UI" w:cstheme="minorHAnsi"/>
          <w:b/>
          <w:color w:val="4472C4" w:themeColor="accent1"/>
          <w:lang w:eastAsia="ja-JP"/>
        </w:rPr>
      </w:pPr>
    </w:p>
    <w:p w14:paraId="7C8CA3EF" w14:textId="6DD0D47E" w:rsidR="008A5E08" w:rsidRDefault="008A5E08" w:rsidP="008A5E08">
      <w:pPr>
        <w:spacing w:line="240" w:lineRule="auto"/>
        <w:jc w:val="both"/>
        <w:rPr>
          <w:rFonts w:eastAsia="Segoe UI" w:cstheme="minorHAnsi"/>
          <w:b/>
          <w:color w:val="4472C4" w:themeColor="accent1"/>
          <w:lang w:eastAsia="ja-JP"/>
        </w:rPr>
      </w:pPr>
    </w:p>
    <w:p w14:paraId="7F74D410" w14:textId="77777777" w:rsidR="00643B84" w:rsidRPr="008A5E08" w:rsidRDefault="00643B84" w:rsidP="008A5E08">
      <w:pPr>
        <w:spacing w:line="240" w:lineRule="auto"/>
        <w:jc w:val="both"/>
        <w:rPr>
          <w:rFonts w:eastAsia="Segoe UI" w:cstheme="minorHAnsi"/>
          <w:b/>
          <w:color w:val="4472C4" w:themeColor="accent1"/>
          <w:lang w:eastAsia="ja-JP"/>
        </w:rPr>
      </w:pPr>
    </w:p>
    <w:p w14:paraId="3A7A0D6C" w14:textId="77777777" w:rsidR="008A5E08" w:rsidRPr="008A5E08" w:rsidRDefault="008A5E08" w:rsidP="008A5E08">
      <w:pPr>
        <w:spacing w:line="240" w:lineRule="auto"/>
        <w:jc w:val="both"/>
        <w:rPr>
          <w:rFonts w:eastAsia="Segoe UI" w:cstheme="minorHAnsi"/>
          <w:b/>
          <w:color w:val="4472C4" w:themeColor="accent1"/>
          <w:lang w:eastAsia="ja-JP"/>
        </w:rPr>
      </w:pPr>
    </w:p>
    <w:p w14:paraId="7761BCFA" w14:textId="77777777" w:rsidR="008A5E08" w:rsidRPr="008A5E08" w:rsidRDefault="008A5E08" w:rsidP="008A5E08">
      <w:pPr>
        <w:spacing w:line="240" w:lineRule="auto"/>
        <w:jc w:val="both"/>
        <w:rPr>
          <w:rFonts w:eastAsia="Segoe UI" w:cstheme="minorHAnsi"/>
          <w:b/>
          <w:color w:val="4472C4" w:themeColor="accent1"/>
          <w:lang w:eastAsia="ja-JP"/>
        </w:rPr>
      </w:pPr>
    </w:p>
    <w:p w14:paraId="305E9FA6" w14:textId="77777777" w:rsidR="00643B84" w:rsidRDefault="00643B84" w:rsidP="00643B84">
      <w:pPr>
        <w:spacing w:after="0" w:line="240" w:lineRule="auto"/>
        <w:jc w:val="both"/>
        <w:rPr>
          <w:b/>
          <w:color w:val="000000" w:themeColor="text1"/>
        </w:rPr>
      </w:pPr>
    </w:p>
    <w:p w14:paraId="1E56D461" w14:textId="3CFEB3E4" w:rsidR="008A5E08" w:rsidRPr="008A5E08" w:rsidRDefault="00643B84" w:rsidP="00643B84">
      <w:pPr>
        <w:spacing w:after="0" w:line="240" w:lineRule="auto"/>
        <w:jc w:val="both"/>
        <w:rPr>
          <w:rFonts w:eastAsia="Segoe UI" w:cstheme="minorHAnsi"/>
          <w:b/>
          <w:color w:val="000000" w:themeColor="text1"/>
          <w:lang w:eastAsia="ja-JP"/>
        </w:rPr>
      </w:pPr>
      <w:bookmarkStart w:id="131" w:name="_Ref71572364"/>
      <w:bookmarkStart w:id="132" w:name="_Toc71725945"/>
      <w:r w:rsidRPr="00643B84">
        <w:rPr>
          <w:b/>
          <w:color w:val="000000" w:themeColor="text1"/>
        </w:rPr>
        <w:lastRenderedPageBreak/>
        <w:t xml:space="preserve">Figure </w:t>
      </w:r>
      <w:r w:rsidRPr="00643B84">
        <w:rPr>
          <w:b/>
          <w:color w:val="000000" w:themeColor="text1"/>
        </w:rPr>
        <w:fldChar w:fldCharType="begin"/>
      </w:r>
      <w:r w:rsidRPr="00643B84">
        <w:rPr>
          <w:b/>
          <w:color w:val="000000" w:themeColor="text1"/>
        </w:rPr>
        <w:instrText xml:space="preserve"> SEQ Figure \* ARABIC </w:instrText>
      </w:r>
      <w:r w:rsidRPr="00643B84">
        <w:rPr>
          <w:b/>
          <w:color w:val="000000" w:themeColor="text1"/>
        </w:rPr>
        <w:fldChar w:fldCharType="separate"/>
      </w:r>
      <w:r w:rsidR="006D0562">
        <w:rPr>
          <w:b/>
          <w:noProof/>
          <w:color w:val="000000" w:themeColor="text1"/>
        </w:rPr>
        <w:t>27</w:t>
      </w:r>
      <w:r w:rsidRPr="00643B84">
        <w:rPr>
          <w:b/>
          <w:color w:val="000000" w:themeColor="text1"/>
        </w:rPr>
        <w:fldChar w:fldCharType="end"/>
      </w:r>
      <w:bookmarkEnd w:id="131"/>
      <w:r w:rsidR="008A5E08" w:rsidRPr="008A5E08">
        <w:rPr>
          <w:rFonts w:eastAsia="Segoe UI" w:cstheme="minorHAnsi"/>
          <w:b/>
          <w:color w:val="000000" w:themeColor="text1"/>
          <w:lang w:eastAsia="ja-JP"/>
        </w:rPr>
        <w:t>: Disparities in maternal and child health services across geographic areas</w:t>
      </w:r>
      <w:bookmarkEnd w:id="132"/>
    </w:p>
    <w:p w14:paraId="041E5001" w14:textId="77777777" w:rsidR="008A5E08" w:rsidRPr="008A5E08" w:rsidRDefault="008A5E08" w:rsidP="00643B84">
      <w:pPr>
        <w:spacing w:after="0" w:line="240" w:lineRule="auto"/>
        <w:jc w:val="both"/>
        <w:rPr>
          <w:rFonts w:eastAsia="Segoe UI" w:cstheme="minorHAnsi"/>
          <w:b/>
          <w:color w:val="4472C4" w:themeColor="accent1"/>
          <w:lang w:eastAsia="ja-JP"/>
        </w:rPr>
      </w:pPr>
      <w:r w:rsidRPr="008A5E08">
        <w:rPr>
          <w:rFonts w:eastAsiaTheme="minorEastAsia"/>
          <w:noProof/>
          <w:lang w:eastAsia="ja-JP"/>
        </w:rPr>
        <w:drawing>
          <wp:inline distT="0" distB="0" distL="0" distR="0" wp14:anchorId="097D56EF" wp14:editId="3FFAFDD5">
            <wp:extent cx="5902859" cy="3223033"/>
            <wp:effectExtent l="0" t="0" r="3175" b="0"/>
            <wp:docPr id="12" name="Chart 12">
              <a:extLst xmlns:a="http://schemas.openxmlformats.org/drawingml/2006/main">
                <a:ext uri="{FF2B5EF4-FFF2-40B4-BE49-F238E27FC236}">
                  <a16:creationId xmlns:a16="http://schemas.microsoft.com/office/drawing/2014/main" id="{5DCE6284-72A5-6241-8DC5-C56A54E0D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EFE3C6" w14:textId="77777777" w:rsidR="008A5E08" w:rsidRPr="008A5E08" w:rsidRDefault="008A5E08" w:rsidP="00643B84">
      <w:pPr>
        <w:spacing w:after="0" w:line="240" w:lineRule="auto"/>
        <w:rPr>
          <w:rFonts w:eastAsia="Segoe UI" w:cstheme="minorHAnsi"/>
          <w:bCs/>
          <w:i/>
          <w:iCs/>
          <w:sz w:val="20"/>
          <w:szCs w:val="20"/>
          <w:lang w:eastAsia="ja-JP"/>
        </w:rPr>
      </w:pPr>
      <w:r w:rsidRPr="008A5E08">
        <w:rPr>
          <w:rFonts w:eastAsia="Segoe UI" w:cstheme="minorHAnsi"/>
          <w:bCs/>
          <w:i/>
          <w:iCs/>
          <w:sz w:val="20"/>
          <w:szCs w:val="20"/>
          <w:lang w:eastAsia="ja-JP"/>
        </w:rPr>
        <w:t>Data source</w:t>
      </w:r>
      <w:r w:rsidRPr="008A5E08">
        <w:rPr>
          <w:rFonts w:eastAsia="Segoe UI" w:cstheme="minorHAnsi"/>
          <w:i/>
          <w:sz w:val="20"/>
          <w:szCs w:val="20"/>
          <w:lang w:eastAsia="ja-JP"/>
        </w:rPr>
        <w:t>: Somalia Health and Demographic Survey, 2020.</w:t>
      </w:r>
      <w:r w:rsidRPr="008A5E08">
        <w:rPr>
          <w:rFonts w:eastAsia="Segoe UI" w:cstheme="minorHAnsi"/>
          <w:bCs/>
          <w:i/>
          <w:iCs/>
          <w:sz w:val="20"/>
          <w:szCs w:val="20"/>
          <w:lang w:eastAsia="ja-JP"/>
        </w:rPr>
        <w:t xml:space="preserve"> </w:t>
      </w:r>
      <w:r w:rsidRPr="008A5E08">
        <w:rPr>
          <w:rFonts w:eastAsia="Segoe UI" w:cstheme="minorHAnsi"/>
          <w:bCs/>
          <w:i/>
          <w:iCs/>
          <w:sz w:val="20"/>
          <w:szCs w:val="20"/>
          <w:lang w:eastAsia="ja-JP"/>
        </w:rPr>
        <w:br/>
      </w:r>
    </w:p>
    <w:p w14:paraId="2301D941" w14:textId="2F2D7F6B" w:rsidR="008A5E08" w:rsidRPr="008A5E08" w:rsidRDefault="00643B84" w:rsidP="00E92819">
      <w:pPr>
        <w:spacing w:after="0" w:line="240" w:lineRule="auto"/>
        <w:jc w:val="both"/>
        <w:rPr>
          <w:rFonts w:eastAsiaTheme="minorEastAsia" w:cstheme="minorHAnsi"/>
          <w:color w:val="000000" w:themeColor="text1"/>
          <w:lang w:eastAsia="ja-JP"/>
        </w:rPr>
      </w:pPr>
      <w:bookmarkStart w:id="133" w:name="_Ref71572547"/>
      <w:bookmarkStart w:id="134" w:name="_Toc71725946"/>
      <w:r w:rsidRPr="00E92819">
        <w:rPr>
          <w:b/>
          <w:color w:val="000000" w:themeColor="text1"/>
        </w:rPr>
        <w:t xml:space="preserve">Figure </w:t>
      </w:r>
      <w:r w:rsidRPr="00E92819">
        <w:rPr>
          <w:b/>
          <w:color w:val="000000" w:themeColor="text1"/>
        </w:rPr>
        <w:fldChar w:fldCharType="begin"/>
      </w:r>
      <w:r w:rsidRPr="00E92819">
        <w:rPr>
          <w:b/>
          <w:color w:val="000000" w:themeColor="text1"/>
        </w:rPr>
        <w:instrText xml:space="preserve"> SEQ Figure \* ARABIC </w:instrText>
      </w:r>
      <w:r w:rsidRPr="00E92819">
        <w:rPr>
          <w:b/>
          <w:color w:val="000000" w:themeColor="text1"/>
        </w:rPr>
        <w:fldChar w:fldCharType="separate"/>
      </w:r>
      <w:r w:rsidR="006D0562">
        <w:rPr>
          <w:b/>
          <w:noProof/>
          <w:color w:val="000000" w:themeColor="text1"/>
        </w:rPr>
        <w:t>28</w:t>
      </w:r>
      <w:r w:rsidRPr="00E92819">
        <w:rPr>
          <w:b/>
          <w:color w:val="000000" w:themeColor="text1"/>
        </w:rPr>
        <w:fldChar w:fldCharType="end"/>
      </w:r>
      <w:bookmarkEnd w:id="133"/>
      <w:r w:rsidR="008A5E08" w:rsidRPr="008A5E08">
        <w:rPr>
          <w:rFonts w:eastAsia="Segoe UI" w:cstheme="minorHAnsi"/>
          <w:b/>
          <w:color w:val="000000" w:themeColor="text1"/>
          <w:lang w:eastAsia="ja-JP"/>
        </w:rPr>
        <w:t>: Disparities in maternal and child health services across locations</w:t>
      </w:r>
      <w:bookmarkEnd w:id="134"/>
    </w:p>
    <w:p w14:paraId="18F8608B" w14:textId="77777777" w:rsidR="008A5E08" w:rsidRPr="008A5E08" w:rsidRDefault="008A5E08" w:rsidP="005569D0">
      <w:pPr>
        <w:spacing w:after="0" w:line="240" w:lineRule="auto"/>
        <w:jc w:val="both"/>
        <w:rPr>
          <w:rFonts w:eastAsiaTheme="minorEastAsia" w:cstheme="minorHAnsi"/>
          <w:lang w:eastAsia="ja-JP"/>
        </w:rPr>
      </w:pPr>
      <w:r w:rsidRPr="008A5E08">
        <w:rPr>
          <w:rFonts w:eastAsiaTheme="minorEastAsia"/>
          <w:noProof/>
          <w:lang w:eastAsia="ja-JP"/>
        </w:rPr>
        <w:drawing>
          <wp:inline distT="0" distB="0" distL="0" distR="0" wp14:anchorId="541482B5" wp14:editId="0D5F3696">
            <wp:extent cx="5943600" cy="3032911"/>
            <wp:effectExtent l="0" t="0" r="0" b="0"/>
            <wp:docPr id="62" name="Chart 62">
              <a:extLst xmlns:a="http://schemas.openxmlformats.org/drawingml/2006/main">
                <a:ext uri="{FF2B5EF4-FFF2-40B4-BE49-F238E27FC236}">
                  <a16:creationId xmlns:a16="http://schemas.microsoft.com/office/drawing/2014/main" id="{9BC41E99-561C-5E41-AC4C-126DC884D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9C6461" w14:textId="77777777" w:rsidR="008A5E08" w:rsidRPr="008A5E08" w:rsidRDefault="008A5E08" w:rsidP="008A5E08">
      <w:pPr>
        <w:spacing w:line="240" w:lineRule="auto"/>
        <w:jc w:val="both"/>
        <w:rPr>
          <w:rFonts w:eastAsia="Segoe UI" w:cstheme="minorHAnsi"/>
          <w:bCs/>
          <w:i/>
          <w:iCs/>
          <w:sz w:val="20"/>
          <w:szCs w:val="20"/>
          <w:lang w:eastAsia="ja-JP"/>
        </w:rPr>
      </w:pPr>
      <w:r w:rsidRPr="008A5E08">
        <w:rPr>
          <w:rFonts w:eastAsia="Segoe UI" w:cstheme="minorHAnsi"/>
          <w:bCs/>
          <w:i/>
          <w:iCs/>
          <w:sz w:val="20"/>
          <w:szCs w:val="20"/>
          <w:lang w:eastAsia="ja-JP"/>
        </w:rPr>
        <w:t>Data Source: Somalia National Bureau of Statistics</w:t>
      </w:r>
    </w:p>
    <w:p w14:paraId="09C39357" w14:textId="12AF783A"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Similar disparities are seen across socio-economic groups. </w:t>
      </w:r>
      <w:r w:rsidRPr="008A5E08">
        <w:rPr>
          <w:rFonts w:eastAsiaTheme="minorEastAsia" w:cstheme="minorHAnsi"/>
          <w:lang w:eastAsia="ja-JP"/>
        </w:rPr>
        <w:t>For example, there are significant disparities between the heath-seeking behavior of low-income households and high-income households in Somalia. Households in the lowest wealth quintile are 86 percent less likely to seek treatment when sick as compared to households in the highest wealth quintile (</w:t>
      </w:r>
      <w:r w:rsidR="00E92819" w:rsidRPr="00E92819">
        <w:rPr>
          <w:rFonts w:eastAsiaTheme="minorEastAsia" w:cstheme="minorHAnsi"/>
          <w:lang w:eastAsia="ja-JP"/>
        </w:rPr>
        <w:fldChar w:fldCharType="begin"/>
      </w:r>
      <w:r w:rsidR="00E92819" w:rsidRPr="00E92819">
        <w:rPr>
          <w:rFonts w:eastAsiaTheme="minorEastAsia" w:cstheme="minorHAnsi"/>
          <w:lang w:eastAsia="ja-JP"/>
        </w:rPr>
        <w:instrText xml:space="preserve"> REF _Ref71572612 \h  \* MERGEFORMAT </w:instrText>
      </w:r>
      <w:r w:rsidR="00E92819" w:rsidRPr="00E92819">
        <w:rPr>
          <w:rFonts w:eastAsiaTheme="minorEastAsia" w:cstheme="minorHAnsi"/>
          <w:lang w:eastAsia="ja-JP"/>
        </w:rPr>
      </w:r>
      <w:r w:rsidR="00E92819" w:rsidRPr="00E92819">
        <w:rPr>
          <w:rFonts w:eastAsiaTheme="minorEastAsia" w:cstheme="minorHAnsi"/>
          <w:lang w:eastAsia="ja-JP"/>
        </w:rPr>
        <w:fldChar w:fldCharType="separate"/>
      </w:r>
      <w:r w:rsidR="006D0562" w:rsidRPr="006D0562">
        <w:rPr>
          <w:color w:val="000000" w:themeColor="text1"/>
        </w:rPr>
        <w:t xml:space="preserve">Figure </w:t>
      </w:r>
      <w:r w:rsidR="006D0562" w:rsidRPr="006D0562">
        <w:rPr>
          <w:noProof/>
          <w:color w:val="000000" w:themeColor="text1"/>
        </w:rPr>
        <w:t>29</w:t>
      </w:r>
      <w:r w:rsidR="00E92819" w:rsidRPr="00E92819">
        <w:rPr>
          <w:rFonts w:eastAsiaTheme="minorEastAsia" w:cstheme="minorHAnsi"/>
          <w:lang w:eastAsia="ja-JP"/>
        </w:rPr>
        <w:fldChar w:fldCharType="end"/>
      </w:r>
      <w:r w:rsidRPr="008A5E08">
        <w:rPr>
          <w:rFonts w:eastAsiaTheme="minorEastAsia" w:cstheme="minorHAnsi"/>
          <w:lang w:eastAsia="ja-JP"/>
        </w:rPr>
        <w:t xml:space="preserve">). Financial constraints faced by low-income households in rural and nomadic areas where majority of the households are in the lowest wealth </w:t>
      </w:r>
      <w:r w:rsidRPr="008A5E08">
        <w:rPr>
          <w:rFonts w:eastAsiaTheme="minorEastAsia" w:cstheme="minorHAnsi"/>
          <w:lang w:eastAsia="ja-JP"/>
        </w:rPr>
        <w:lastRenderedPageBreak/>
        <w:t>quintiles along with an inadequate number of facilities, are likely at the root of these disparities.</w:t>
      </w:r>
      <w:r w:rsidRPr="008A5E08">
        <w:rPr>
          <w:rFonts w:eastAsiaTheme="minorEastAsia" w:cstheme="minorHAnsi"/>
          <w:vertAlign w:val="superscript"/>
          <w:lang w:eastAsia="ja-JP"/>
        </w:rPr>
        <w:footnoteReference w:id="52"/>
      </w:r>
      <w:r w:rsidRPr="008A5E08">
        <w:rPr>
          <w:rFonts w:eastAsiaTheme="minorEastAsia" w:cstheme="minorHAnsi"/>
          <w:lang w:eastAsia="ja-JP"/>
        </w:rPr>
        <w:t xml:space="preserve"> These disparities are also reflected in health service delivery indicators, for example, the percentage of deliveries by a skilled provider is 9.7 percent in the lowest wealth quintile and 64.1 percent in the highest quintile, with progressive increases in the middle quintiles.</w:t>
      </w:r>
    </w:p>
    <w:p w14:paraId="2EF829A1" w14:textId="63B7A40E" w:rsidR="008A5E08" w:rsidRPr="008A5E08" w:rsidRDefault="00E92819" w:rsidP="008A5E08">
      <w:pPr>
        <w:spacing w:after="0" w:line="240" w:lineRule="auto"/>
        <w:rPr>
          <w:rFonts w:eastAsiaTheme="minorEastAsia" w:cstheme="minorHAnsi"/>
          <w:i/>
          <w:iCs/>
          <w:color w:val="000000" w:themeColor="text1"/>
          <w:sz w:val="24"/>
          <w:szCs w:val="24"/>
          <w:lang w:eastAsia="ja-JP"/>
        </w:rPr>
      </w:pPr>
      <w:bookmarkStart w:id="135" w:name="_Ref71572612"/>
      <w:bookmarkStart w:id="136" w:name="_Toc71725947"/>
      <w:r w:rsidRPr="00E92819">
        <w:rPr>
          <w:b/>
          <w:color w:val="000000" w:themeColor="text1"/>
        </w:rPr>
        <w:t xml:space="preserve">Figure </w:t>
      </w:r>
      <w:r w:rsidRPr="00E92819">
        <w:rPr>
          <w:b/>
          <w:color w:val="000000" w:themeColor="text1"/>
        </w:rPr>
        <w:fldChar w:fldCharType="begin"/>
      </w:r>
      <w:r w:rsidRPr="00E92819">
        <w:rPr>
          <w:b/>
          <w:color w:val="000000" w:themeColor="text1"/>
        </w:rPr>
        <w:instrText xml:space="preserve"> SEQ Figure \* ARABIC </w:instrText>
      </w:r>
      <w:r w:rsidRPr="00E92819">
        <w:rPr>
          <w:b/>
          <w:color w:val="000000" w:themeColor="text1"/>
        </w:rPr>
        <w:fldChar w:fldCharType="separate"/>
      </w:r>
      <w:r w:rsidR="006D0562">
        <w:rPr>
          <w:b/>
          <w:noProof/>
          <w:color w:val="000000" w:themeColor="text1"/>
        </w:rPr>
        <w:t>29</w:t>
      </w:r>
      <w:r w:rsidRPr="00E92819">
        <w:rPr>
          <w:b/>
          <w:color w:val="000000" w:themeColor="text1"/>
        </w:rPr>
        <w:fldChar w:fldCharType="end"/>
      </w:r>
      <w:bookmarkEnd w:id="135"/>
      <w:r w:rsidR="008A5E08" w:rsidRPr="008A5E08">
        <w:rPr>
          <w:rFonts w:eastAsiaTheme="minorEastAsia" w:cstheme="minorHAnsi"/>
          <w:b/>
          <w:color w:val="000000" w:themeColor="text1"/>
          <w:lang w:eastAsia="ja-JP"/>
        </w:rPr>
        <w:t>: Disparities in health-seeking behavior by income groups</w:t>
      </w:r>
      <w:bookmarkEnd w:id="136"/>
      <w:r w:rsidR="008A5E08" w:rsidRPr="008A5E08">
        <w:rPr>
          <w:rFonts w:eastAsiaTheme="minorEastAsia" w:cstheme="minorHAnsi"/>
          <w:b/>
          <w:color w:val="000000" w:themeColor="text1"/>
          <w:lang w:eastAsia="ja-JP"/>
        </w:rPr>
        <w:t xml:space="preserve"> </w:t>
      </w:r>
    </w:p>
    <w:p w14:paraId="0161C1BC" w14:textId="77777777" w:rsidR="008A5E08" w:rsidRPr="008A5E08" w:rsidRDefault="008A5E08" w:rsidP="00E92819">
      <w:pPr>
        <w:spacing w:after="0" w:line="240" w:lineRule="auto"/>
        <w:jc w:val="both"/>
        <w:rPr>
          <w:rFonts w:eastAsiaTheme="minorEastAsia" w:cstheme="minorHAnsi"/>
          <w:lang w:eastAsia="ja-JP"/>
        </w:rPr>
      </w:pPr>
      <w:r w:rsidRPr="008A5E08">
        <w:rPr>
          <w:rFonts w:eastAsiaTheme="minorEastAsia" w:cstheme="minorHAnsi"/>
          <w:lang w:eastAsia="ja-JP"/>
        </w:rPr>
        <w:t xml:space="preserve"> </w:t>
      </w:r>
      <w:r w:rsidRPr="008A5E08">
        <w:rPr>
          <w:rFonts w:eastAsiaTheme="minorEastAsia" w:cstheme="minorHAnsi"/>
          <w:noProof/>
          <w:lang w:eastAsia="ja-JP"/>
        </w:rPr>
        <w:drawing>
          <wp:inline distT="0" distB="0" distL="0" distR="0" wp14:anchorId="0CC48AA1" wp14:editId="2B14219F">
            <wp:extent cx="5731510" cy="2734146"/>
            <wp:effectExtent l="0" t="0" r="2540" b="0"/>
            <wp:docPr id="15" name="Chart 15">
              <a:extLst xmlns:a="http://schemas.openxmlformats.org/drawingml/2006/main">
                <a:ext uri="{FF2B5EF4-FFF2-40B4-BE49-F238E27FC236}">
                  <a16:creationId xmlns:a16="http://schemas.microsoft.com/office/drawing/2014/main" id="{B8450CE2-4DA2-A641-88F5-9611B904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E51FE46" w14:textId="77777777" w:rsidR="008A5E08" w:rsidRPr="008A5E08" w:rsidRDefault="008A5E08" w:rsidP="00E92819">
      <w:pPr>
        <w:spacing w:after="0" w:line="240" w:lineRule="auto"/>
        <w:jc w:val="both"/>
        <w:rPr>
          <w:rFonts w:eastAsia="Yu Gothic Light" w:cstheme="minorHAnsi"/>
          <w:i/>
          <w:sz w:val="20"/>
          <w:szCs w:val="20"/>
          <w:lang w:eastAsia="ja-JP"/>
        </w:rPr>
      </w:pPr>
      <w:r w:rsidRPr="008A5E08">
        <w:rPr>
          <w:rFonts w:eastAsiaTheme="minorEastAsia" w:cstheme="minorHAnsi"/>
          <w:i/>
          <w:iCs/>
          <w:sz w:val="20"/>
          <w:szCs w:val="20"/>
          <w:lang w:eastAsia="ja-JP"/>
        </w:rPr>
        <w:t xml:space="preserve">Note: Each column represents the percentage of household members. Data </w:t>
      </w:r>
      <w:r w:rsidRPr="008A5E08">
        <w:rPr>
          <w:rFonts w:eastAsia="Segoe UI" w:cstheme="minorHAnsi"/>
          <w:bCs/>
          <w:i/>
          <w:iCs/>
          <w:sz w:val="20"/>
          <w:szCs w:val="20"/>
          <w:lang w:eastAsia="ja-JP"/>
        </w:rPr>
        <w:t xml:space="preserve">source: Somalia Health and Demographic Survey, 2020. </w:t>
      </w:r>
    </w:p>
    <w:p w14:paraId="4A948704"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Disparities</w:t>
      </w:r>
      <w:r w:rsidRPr="008A5E08">
        <w:rPr>
          <w:rFonts w:eastAsiaTheme="minorEastAsia" w:cstheme="minorHAnsi"/>
          <w:b/>
          <w:lang w:eastAsia="ja-JP"/>
        </w:rPr>
        <w:t xml:space="preserve"> in </w:t>
      </w:r>
      <w:r w:rsidRPr="008A5E08">
        <w:rPr>
          <w:rFonts w:eastAsiaTheme="minorEastAsia" w:cstheme="minorHAnsi"/>
          <w:b/>
          <w:bCs/>
          <w:lang w:eastAsia="ja-JP"/>
        </w:rPr>
        <w:t>women’s health outcomes</w:t>
      </w:r>
      <w:r w:rsidRPr="008A5E08">
        <w:rPr>
          <w:rFonts w:eastAsiaTheme="minorEastAsia" w:cstheme="minorHAnsi"/>
          <w:b/>
          <w:lang w:eastAsia="ja-JP"/>
        </w:rPr>
        <w:t xml:space="preserve"> underline </w:t>
      </w:r>
      <w:r w:rsidRPr="008A5E08">
        <w:rPr>
          <w:rFonts w:eastAsiaTheme="minorEastAsia" w:cstheme="minorHAnsi"/>
          <w:b/>
          <w:bCs/>
          <w:lang w:eastAsia="ja-JP"/>
        </w:rPr>
        <w:t>the impact</w:t>
      </w:r>
      <w:r w:rsidRPr="008A5E08">
        <w:rPr>
          <w:rFonts w:eastAsiaTheme="minorEastAsia" w:cstheme="minorHAnsi"/>
          <w:b/>
          <w:lang w:eastAsia="ja-JP"/>
        </w:rPr>
        <w:t xml:space="preserve"> of </w:t>
      </w:r>
      <w:r w:rsidRPr="008A5E08">
        <w:rPr>
          <w:rFonts w:eastAsiaTheme="minorEastAsia" w:cstheme="minorHAnsi"/>
          <w:b/>
          <w:bCs/>
          <w:lang w:eastAsia="ja-JP"/>
        </w:rPr>
        <w:t xml:space="preserve">gender disparities. </w:t>
      </w:r>
      <w:r w:rsidRPr="008A5E08">
        <w:rPr>
          <w:rFonts w:eastAsiaTheme="minorEastAsia" w:cstheme="minorHAnsi"/>
          <w:lang w:eastAsia="ja-JP"/>
        </w:rPr>
        <w:t xml:space="preserve">For example, the death rate among women between 15 and 49 years is 7.6, compared to the death rate among men which is 6.7. Globally and in most countries, death rates between genders are reversed, with higher death rates among men than among women. In the context of ongoing conflict and insecurity, which generally disproportionately increases mortality rates among males, high death rates among women underline the impact of high maternal mortality rates and high fertility rates. </w:t>
      </w:r>
    </w:p>
    <w:p w14:paraId="3F0C83A6"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lang w:eastAsia="ja-JP"/>
        </w:rPr>
        <w:t>The socioeconomic disparities in health-seeking behavior and outcomes have significant implications for Somalia’s sustainable economic growth and development.</w:t>
      </w:r>
      <w:r w:rsidRPr="008A5E08">
        <w:rPr>
          <w:rFonts w:eastAsiaTheme="minorEastAsia" w:cstheme="minorHAnsi"/>
          <w:lang w:eastAsia="ja-JP"/>
        </w:rPr>
        <w:t xml:space="preserve"> These disparities underline the need for targeted actions to improve health service delivery equity. </w:t>
      </w:r>
    </w:p>
    <w:p w14:paraId="0D8217E2" w14:textId="77777777" w:rsidR="008A5E08" w:rsidRPr="008A5E08" w:rsidRDefault="008A5E08" w:rsidP="00E92819">
      <w:pPr>
        <w:pStyle w:val="Heading3"/>
        <w:spacing w:before="120" w:after="120"/>
        <w:rPr>
          <w:lang w:eastAsia="ja-JP"/>
        </w:rPr>
      </w:pPr>
      <w:bookmarkStart w:id="137" w:name="_Toc71574645"/>
      <w:bookmarkStart w:id="138" w:name="_Toc71574820"/>
      <w:bookmarkStart w:id="139" w:name="_Toc71617944"/>
      <w:bookmarkStart w:id="140" w:name="_Toc71618679"/>
      <w:bookmarkStart w:id="141" w:name="_Toc71725905"/>
      <w:r w:rsidRPr="008A5E08">
        <w:rPr>
          <w:lang w:eastAsia="ja-JP"/>
        </w:rPr>
        <w:t>Health System Bottlenecks</w:t>
      </w:r>
      <w:bookmarkEnd w:id="137"/>
      <w:bookmarkEnd w:id="138"/>
      <w:bookmarkEnd w:id="139"/>
      <w:bookmarkEnd w:id="140"/>
      <w:bookmarkEnd w:id="141"/>
    </w:p>
    <w:p w14:paraId="52DAE682" w14:textId="04ECAF58" w:rsidR="008A5E08" w:rsidRDefault="008A5E08" w:rsidP="008A5E08">
      <w:pPr>
        <w:jc w:val="both"/>
        <w:rPr>
          <w:rFonts w:eastAsiaTheme="minorEastAsia"/>
          <w:lang w:eastAsia="ja-JP"/>
        </w:rPr>
      </w:pPr>
      <w:r w:rsidRPr="008A5E08">
        <w:rPr>
          <w:rFonts w:eastAsiaTheme="minorEastAsia"/>
          <w:lang w:eastAsia="ja-JP"/>
        </w:rPr>
        <w:t>The health system in Somalia is relatively fragile, ranking 194</w:t>
      </w:r>
      <w:r w:rsidRPr="008A5E08">
        <w:rPr>
          <w:rFonts w:eastAsiaTheme="minorEastAsia"/>
          <w:vertAlign w:val="superscript"/>
          <w:lang w:eastAsia="ja-JP"/>
        </w:rPr>
        <w:t>th</w:t>
      </w:r>
      <w:r w:rsidRPr="008A5E08">
        <w:rPr>
          <w:rFonts w:eastAsiaTheme="minorEastAsia"/>
          <w:lang w:eastAsia="ja-JP"/>
        </w:rPr>
        <w:t xml:space="preserve"> out of 195 countries (behind North Korea and ahead of Equatorial Guinea) on the Global Health Index with a score of 17 out of 100 (</w:t>
      </w:r>
      <w:r w:rsidR="00E92819" w:rsidRPr="00E92819">
        <w:rPr>
          <w:rFonts w:eastAsiaTheme="minorEastAsia"/>
          <w:lang w:eastAsia="ja-JP"/>
        </w:rPr>
        <w:fldChar w:fldCharType="begin"/>
      </w:r>
      <w:r w:rsidR="00E92819" w:rsidRPr="00E92819">
        <w:rPr>
          <w:rFonts w:eastAsiaTheme="minorEastAsia"/>
          <w:lang w:eastAsia="ja-JP"/>
        </w:rPr>
        <w:instrText xml:space="preserve"> REF _Ref71572852 \h  \* MERGEFORMAT </w:instrText>
      </w:r>
      <w:r w:rsidR="00E92819" w:rsidRPr="00E92819">
        <w:rPr>
          <w:rFonts w:eastAsiaTheme="minorEastAsia"/>
          <w:lang w:eastAsia="ja-JP"/>
        </w:rPr>
      </w:r>
      <w:r w:rsidR="00E92819" w:rsidRPr="00E92819">
        <w:rPr>
          <w:rFonts w:eastAsiaTheme="minorEastAsia"/>
          <w:lang w:eastAsia="ja-JP"/>
        </w:rPr>
        <w:fldChar w:fldCharType="separate"/>
      </w:r>
      <w:r w:rsidR="00E77132" w:rsidRPr="00E77132">
        <w:rPr>
          <w:color w:val="000000" w:themeColor="text1"/>
        </w:rPr>
        <w:t xml:space="preserve">Figure </w:t>
      </w:r>
      <w:r w:rsidR="00E77132" w:rsidRPr="00E77132">
        <w:rPr>
          <w:noProof/>
          <w:color w:val="000000" w:themeColor="text1"/>
        </w:rPr>
        <w:t>30</w:t>
      </w:r>
      <w:r w:rsidR="00E92819" w:rsidRPr="00E92819">
        <w:rPr>
          <w:rFonts w:eastAsiaTheme="minorEastAsia"/>
          <w:lang w:eastAsia="ja-JP"/>
        </w:rPr>
        <w:fldChar w:fldCharType="end"/>
      </w:r>
      <w:r w:rsidRPr="008A5E08">
        <w:rPr>
          <w:rFonts w:eastAsiaTheme="minorEastAsia"/>
          <w:lang w:eastAsia="ja-JP"/>
        </w:rPr>
        <w:t>).</w:t>
      </w:r>
      <w:r w:rsidRPr="008A5E08">
        <w:rPr>
          <w:rFonts w:eastAsiaTheme="minorEastAsia"/>
          <w:vertAlign w:val="superscript"/>
          <w:lang w:eastAsia="ja-JP"/>
        </w:rPr>
        <w:footnoteReference w:id="53"/>
      </w:r>
      <w:r w:rsidRPr="008A5E08">
        <w:rPr>
          <w:rFonts w:eastAsiaTheme="minorEastAsia"/>
          <w:lang w:eastAsia="ja-JP"/>
        </w:rPr>
        <w:t xml:space="preserve">  Several institutional and systemic challenges account for the fragile and weak nature of Somalia’s health system. </w:t>
      </w:r>
    </w:p>
    <w:p w14:paraId="6C173AA9" w14:textId="77777777" w:rsidR="00E92819" w:rsidRPr="008A5E08" w:rsidRDefault="00E92819" w:rsidP="008A5E08">
      <w:pPr>
        <w:jc w:val="both"/>
        <w:rPr>
          <w:rFonts w:eastAsiaTheme="minorEastAsia"/>
          <w:lang w:eastAsia="ja-JP"/>
        </w:rPr>
      </w:pPr>
    </w:p>
    <w:p w14:paraId="32C9E5EA" w14:textId="7A08CAE7" w:rsidR="008A5E08" w:rsidRPr="008A5E08" w:rsidRDefault="00E92819" w:rsidP="008A5E08">
      <w:pPr>
        <w:spacing w:after="0" w:line="240" w:lineRule="auto"/>
        <w:jc w:val="both"/>
        <w:rPr>
          <w:rFonts w:eastAsiaTheme="minorEastAsia" w:cstheme="minorHAnsi"/>
          <w:b/>
          <w:bCs/>
          <w:color w:val="000000" w:themeColor="text1"/>
          <w:sz w:val="24"/>
          <w:szCs w:val="24"/>
          <w:lang w:eastAsia="ja-JP"/>
        </w:rPr>
      </w:pPr>
      <w:bookmarkStart w:id="142" w:name="_Ref71572852"/>
      <w:bookmarkStart w:id="143" w:name="_Toc71725948"/>
      <w:r w:rsidRPr="00E92819">
        <w:rPr>
          <w:b/>
          <w:color w:val="000000" w:themeColor="text1"/>
        </w:rPr>
        <w:lastRenderedPageBreak/>
        <w:t xml:space="preserve">Figure </w:t>
      </w:r>
      <w:r w:rsidRPr="00E92819">
        <w:rPr>
          <w:b/>
          <w:color w:val="000000" w:themeColor="text1"/>
        </w:rPr>
        <w:fldChar w:fldCharType="begin"/>
      </w:r>
      <w:r w:rsidRPr="00E92819">
        <w:rPr>
          <w:b/>
          <w:color w:val="000000" w:themeColor="text1"/>
        </w:rPr>
        <w:instrText xml:space="preserve"> SEQ Figure \* ARABIC </w:instrText>
      </w:r>
      <w:r w:rsidRPr="00E92819">
        <w:rPr>
          <w:b/>
          <w:color w:val="000000" w:themeColor="text1"/>
        </w:rPr>
        <w:fldChar w:fldCharType="separate"/>
      </w:r>
      <w:r w:rsidR="00E77132">
        <w:rPr>
          <w:b/>
          <w:noProof/>
          <w:color w:val="000000" w:themeColor="text1"/>
        </w:rPr>
        <w:t>30</w:t>
      </w:r>
      <w:r w:rsidRPr="00E92819">
        <w:rPr>
          <w:b/>
          <w:color w:val="000000" w:themeColor="text1"/>
        </w:rPr>
        <w:fldChar w:fldCharType="end"/>
      </w:r>
      <w:bookmarkEnd w:id="142"/>
      <w:r w:rsidR="008A5E08" w:rsidRPr="008A5E08">
        <w:rPr>
          <w:rFonts w:eastAsiaTheme="minorEastAsia" w:cstheme="minorHAnsi"/>
          <w:b/>
          <w:bCs/>
          <w:color w:val="000000" w:themeColor="text1"/>
          <w:lang w:eastAsia="ja-JP"/>
        </w:rPr>
        <w:t>: Global Health Security Index for selected countries, 2019</w:t>
      </w:r>
      <w:bookmarkEnd w:id="143"/>
    </w:p>
    <w:p w14:paraId="601E1A11" w14:textId="77777777" w:rsidR="008A5E08" w:rsidRPr="008A5E08" w:rsidRDefault="008A5E08" w:rsidP="008A5E08">
      <w:pPr>
        <w:spacing w:after="0" w:line="240" w:lineRule="auto"/>
        <w:contextualSpacing/>
        <w:jc w:val="both"/>
        <w:rPr>
          <w:rFonts w:eastAsia="Segoe UI" w:cstheme="minorHAnsi"/>
          <w:lang w:eastAsia="ja-JP"/>
        </w:rPr>
      </w:pPr>
      <w:r w:rsidRPr="008A5E08">
        <w:rPr>
          <w:rFonts w:eastAsiaTheme="minorEastAsia"/>
          <w:noProof/>
          <w:lang w:eastAsia="ja-JP"/>
        </w:rPr>
        <w:drawing>
          <wp:inline distT="0" distB="0" distL="0" distR="0" wp14:anchorId="0489FCBE" wp14:editId="3CB1C23E">
            <wp:extent cx="3657600" cy="397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0">
                      <a:extLst>
                        <a:ext uri="{28A0092B-C50C-407E-A947-70E740481C1C}">
                          <a14:useLocalDpi xmlns:a14="http://schemas.microsoft.com/office/drawing/2010/main" val="0"/>
                        </a:ext>
                      </a:extLst>
                    </a:blip>
                    <a:stretch>
                      <a:fillRect/>
                    </a:stretch>
                  </pic:blipFill>
                  <pic:spPr>
                    <a:xfrm>
                      <a:off x="0" y="0"/>
                      <a:ext cx="3657600" cy="3975100"/>
                    </a:xfrm>
                    <a:prstGeom prst="rect">
                      <a:avLst/>
                    </a:prstGeom>
                  </pic:spPr>
                </pic:pic>
              </a:graphicData>
            </a:graphic>
          </wp:inline>
        </w:drawing>
      </w:r>
    </w:p>
    <w:p w14:paraId="7DDADAA2" w14:textId="77777777" w:rsidR="008A5E08" w:rsidRPr="008A5E08" w:rsidRDefault="008A5E08" w:rsidP="00E92819">
      <w:pPr>
        <w:spacing w:after="120" w:line="240" w:lineRule="auto"/>
        <w:jc w:val="both"/>
        <w:textAlignment w:val="baseline"/>
        <w:rPr>
          <w:rFonts w:eastAsia="Wingdings" w:cstheme="minorHAnsi"/>
          <w:i/>
          <w:iCs/>
          <w:sz w:val="20"/>
          <w:szCs w:val="20"/>
          <w:lang w:eastAsia="ja-JP"/>
        </w:rPr>
      </w:pPr>
      <w:r w:rsidRPr="008A5E08">
        <w:rPr>
          <w:rFonts w:eastAsia="Wingdings" w:cstheme="minorHAnsi"/>
          <w:i/>
          <w:iCs/>
          <w:sz w:val="20"/>
          <w:szCs w:val="20"/>
          <w:lang w:eastAsia="ja-JP"/>
        </w:rPr>
        <w:t>Note: The GHS index ranges from 0 to 100. 0 being the least favorable conditions to prevent the spread of disease and 100 being the most favorable conditions to prevent the spread of disease. Data source: Johns Hopkins Center for Health Security. Map production: World Bank Health Team</w:t>
      </w:r>
    </w:p>
    <w:p w14:paraId="0ABF9644" w14:textId="77777777" w:rsidR="008A5E08" w:rsidRPr="008A5E08" w:rsidRDefault="008A5E08" w:rsidP="008A5E08">
      <w:pPr>
        <w:jc w:val="both"/>
        <w:rPr>
          <w:rFonts w:eastAsia="Segoe UI" w:cstheme="minorHAnsi"/>
          <w:lang w:eastAsia="ja-JP"/>
        </w:rPr>
      </w:pPr>
      <w:r w:rsidRPr="008A5E08">
        <w:rPr>
          <w:rFonts w:eastAsia="Segoe UI" w:cstheme="minorHAnsi"/>
          <w:lang w:eastAsia="ja-JP"/>
        </w:rPr>
        <w:t xml:space="preserve">This section provides an analysis of the current status of the Somali health system and its bottlenecks within the </w:t>
      </w:r>
      <w:hyperlink r:id="rId61" w:tgtFrame="_blank" w:history="1">
        <w:r w:rsidRPr="008A5E08">
          <w:rPr>
            <w:rFonts w:eastAsia="Segoe UI" w:cstheme="minorHAnsi"/>
            <w:lang w:eastAsia="ja-JP"/>
          </w:rPr>
          <w:t>framework</w:t>
        </w:r>
      </w:hyperlink>
      <w:r w:rsidRPr="008A5E08">
        <w:rPr>
          <w:rFonts w:eastAsia="Segoe UI" w:cstheme="minorHAnsi"/>
          <w:lang w:eastAsia="ja-JP"/>
        </w:rPr>
        <w:t xml:space="preserve"> of the 2007 WHO health system building blocks: (i) service delivery; (ii) health workforce; (iii) health information systems; (iv) access to essential medicines; (v) financing; and (vi) leadership/ governance. These building blocks are organized to reflect the focus of the SEU by highlighting financing, service delivery (including health workforce and medicines), and governance (including health information systems). </w:t>
      </w:r>
    </w:p>
    <w:p w14:paraId="25AC21C5" w14:textId="77777777" w:rsidR="008A5E08" w:rsidRPr="008A5E08" w:rsidRDefault="008A5E08" w:rsidP="008A5E08">
      <w:pPr>
        <w:spacing w:after="120" w:line="240" w:lineRule="auto"/>
        <w:jc w:val="both"/>
        <w:rPr>
          <w:rFonts w:eastAsia="Times New Roman" w:cstheme="minorHAnsi"/>
          <w:color w:val="000000"/>
          <w:u w:val="single"/>
          <w:shd w:val="clear" w:color="auto" w:fill="FFFFFF"/>
        </w:rPr>
      </w:pPr>
      <w:r w:rsidRPr="008A5E08">
        <w:rPr>
          <w:rFonts w:eastAsia="Times New Roman" w:cstheme="minorHAnsi"/>
          <w:color w:val="000000"/>
          <w:u w:val="single"/>
          <w:shd w:val="clear" w:color="auto" w:fill="FFFFFF"/>
        </w:rPr>
        <w:t>Health Financing</w:t>
      </w:r>
    </w:p>
    <w:p w14:paraId="579856B6" w14:textId="466E453B" w:rsidR="008A5E08" w:rsidRPr="008A5E08" w:rsidRDefault="008A5E08" w:rsidP="008A5E08">
      <w:pPr>
        <w:spacing w:line="240" w:lineRule="auto"/>
        <w:jc w:val="both"/>
        <w:rPr>
          <w:rFonts w:eastAsia="Segoe UI"/>
          <w:lang w:eastAsia="ja-JP"/>
        </w:rPr>
      </w:pPr>
      <w:r w:rsidRPr="008A5E08">
        <w:rPr>
          <w:rFonts w:eastAsia="Segoe UI"/>
          <w:b/>
          <w:lang w:eastAsia="ja-JP"/>
        </w:rPr>
        <w:t xml:space="preserve">Low government revenue mobilization leaves Somalia dependent on foreign and private sources of health financing. </w:t>
      </w:r>
      <w:r w:rsidRPr="008A5E08">
        <w:rPr>
          <w:rFonts w:eastAsia="Segoe UI"/>
          <w:bCs/>
          <w:lang w:eastAsia="ja-JP"/>
        </w:rPr>
        <w:t>Although the FGS has been strengthening its revenue systems since 2012, it collected only around 3 percent of GDP in tax revenue—far below the SSA regional average of 19 percent.</w:t>
      </w:r>
      <w:r w:rsidRPr="008A5E08">
        <w:rPr>
          <w:rFonts w:eastAsia="Segoe UI"/>
          <w:bCs/>
          <w:vertAlign w:val="superscript"/>
          <w:lang w:eastAsia="ja-JP"/>
        </w:rPr>
        <w:footnoteReference w:id="54"/>
      </w:r>
      <w:r w:rsidRPr="008A5E08">
        <w:rPr>
          <w:rFonts w:eastAsia="Segoe UI"/>
          <w:b/>
          <w:lang w:eastAsia="ja-JP"/>
        </w:rPr>
        <w:t xml:space="preserve"> </w:t>
      </w:r>
      <w:r w:rsidRPr="008A5E08">
        <w:rPr>
          <w:rFonts w:eastAsia="Segoe UI"/>
          <w:lang w:eastAsia="ja-JP"/>
        </w:rPr>
        <w:t>The inability of the Somali government to mobilize sufficient revenues means that the government maintains a relatively small financing envelope for public services and investments, including health. Although health spending by the FGS increased almost 14-fold between 2015 and 2020, this growth was from a small base, and FGS health spending remains minimal as both a share of total FGS spending and as a share of GDP (</w:t>
      </w:r>
      <w:r w:rsidR="00E92819" w:rsidRPr="006D0562">
        <w:rPr>
          <w:rFonts w:eastAsia="Segoe UI"/>
          <w:lang w:eastAsia="ja-JP"/>
        </w:rPr>
        <w:fldChar w:fldCharType="begin"/>
      </w:r>
      <w:r w:rsidR="00E92819" w:rsidRPr="006D0562">
        <w:rPr>
          <w:rFonts w:eastAsia="Segoe UI"/>
          <w:lang w:eastAsia="ja-JP"/>
        </w:rPr>
        <w:instrText xml:space="preserve"> REF _Ref71572934 \h </w:instrText>
      </w:r>
      <w:r w:rsidR="006D0562" w:rsidRPr="006D0562">
        <w:rPr>
          <w:rFonts w:eastAsia="Segoe UI"/>
          <w:lang w:eastAsia="ja-JP"/>
        </w:rPr>
        <w:instrText xml:space="preserve"> \* MERGEFORMAT </w:instrText>
      </w:r>
      <w:r w:rsidR="00E92819" w:rsidRPr="006D0562">
        <w:rPr>
          <w:rFonts w:eastAsia="Segoe UI"/>
          <w:lang w:eastAsia="ja-JP"/>
        </w:rPr>
      </w:r>
      <w:r w:rsidR="00E92819" w:rsidRPr="006D0562">
        <w:rPr>
          <w:rFonts w:eastAsia="Segoe UI"/>
          <w:lang w:eastAsia="ja-JP"/>
        </w:rPr>
        <w:fldChar w:fldCharType="separate"/>
      </w:r>
      <w:r w:rsidR="00886D24" w:rsidRPr="00886D24">
        <w:rPr>
          <w:color w:val="000000" w:themeColor="text1"/>
        </w:rPr>
        <w:t xml:space="preserve">Figure </w:t>
      </w:r>
      <w:r w:rsidR="00886D24" w:rsidRPr="00886D24">
        <w:rPr>
          <w:noProof/>
          <w:color w:val="000000" w:themeColor="text1"/>
        </w:rPr>
        <w:t>31</w:t>
      </w:r>
      <w:r w:rsidR="00E92819" w:rsidRPr="006D0562">
        <w:rPr>
          <w:rFonts w:eastAsia="Segoe UI"/>
          <w:lang w:eastAsia="ja-JP"/>
        </w:rPr>
        <w:fldChar w:fldCharType="end"/>
      </w:r>
      <w:r w:rsidRPr="006D0562">
        <w:rPr>
          <w:rFonts w:eastAsia="Segoe UI"/>
          <w:lang w:eastAsia="ja-JP"/>
        </w:rPr>
        <w:t>). Donor support</w:t>
      </w:r>
      <w:r w:rsidRPr="008A5E08">
        <w:rPr>
          <w:rFonts w:eastAsia="Segoe UI"/>
          <w:lang w:eastAsia="ja-JP"/>
        </w:rPr>
        <w:t xml:space="preserve"> and private spending are instead the major sources of health expenditure in </w:t>
      </w:r>
      <w:r w:rsidRPr="008A5E08">
        <w:rPr>
          <w:rFonts w:eastAsia="Segoe UI"/>
          <w:lang w:eastAsia="ja-JP"/>
        </w:rPr>
        <w:lastRenderedPageBreak/>
        <w:t xml:space="preserve">Somalia, comprising approximately 40 and 43 percent respectively of total health spending, as shown in </w:t>
      </w:r>
      <w:r w:rsidR="000B0B6C" w:rsidRPr="000B0B6C">
        <w:rPr>
          <w:rFonts w:eastAsia="Segoe UI"/>
          <w:lang w:eastAsia="ja-JP"/>
        </w:rPr>
        <w:fldChar w:fldCharType="begin"/>
      </w:r>
      <w:r w:rsidR="000B0B6C" w:rsidRPr="000B0B6C">
        <w:rPr>
          <w:rFonts w:eastAsia="Segoe UI"/>
          <w:lang w:eastAsia="ja-JP"/>
        </w:rPr>
        <w:instrText xml:space="preserve"> REF _Ref71573218 \h  \* MERGEFORMAT </w:instrText>
      </w:r>
      <w:r w:rsidR="000B0B6C" w:rsidRPr="000B0B6C">
        <w:rPr>
          <w:rFonts w:eastAsia="Segoe UI"/>
          <w:lang w:eastAsia="ja-JP"/>
        </w:rPr>
      </w:r>
      <w:r w:rsidR="000B0B6C" w:rsidRPr="000B0B6C">
        <w:rPr>
          <w:rFonts w:eastAsia="Segoe UI"/>
          <w:lang w:eastAsia="ja-JP"/>
        </w:rPr>
        <w:fldChar w:fldCharType="separate"/>
      </w:r>
      <w:r w:rsidR="00886D24" w:rsidRPr="00886D24">
        <w:rPr>
          <w:color w:val="000000" w:themeColor="text1"/>
        </w:rPr>
        <w:t xml:space="preserve">Figure </w:t>
      </w:r>
      <w:r w:rsidR="00886D24" w:rsidRPr="00886D24">
        <w:rPr>
          <w:noProof/>
          <w:color w:val="000000" w:themeColor="text1"/>
        </w:rPr>
        <w:t>32</w:t>
      </w:r>
      <w:r w:rsidR="000B0B6C" w:rsidRPr="000B0B6C">
        <w:rPr>
          <w:rFonts w:eastAsia="Segoe UI"/>
          <w:lang w:eastAsia="ja-JP"/>
        </w:rPr>
        <w:fldChar w:fldCharType="end"/>
      </w:r>
      <w:r w:rsidRPr="008A5E08">
        <w:rPr>
          <w:rFonts w:eastAsia="Segoe UI"/>
          <w:lang w:eastAsia="ja-JP"/>
        </w:rPr>
        <w:t>.</w:t>
      </w:r>
      <w:r w:rsidRPr="008A5E08">
        <w:rPr>
          <w:rFonts w:eastAsia="Segoe UI"/>
          <w:vertAlign w:val="superscript"/>
          <w:lang w:eastAsia="ja-JP"/>
        </w:rPr>
        <w:footnoteReference w:id="55"/>
      </w:r>
    </w:p>
    <w:p w14:paraId="0A435D49" w14:textId="576BB88D" w:rsidR="008A5E08" w:rsidRPr="008A5E08" w:rsidRDefault="00E92819" w:rsidP="009C249A">
      <w:pPr>
        <w:keepNext/>
        <w:spacing w:after="0"/>
        <w:jc w:val="both"/>
        <w:rPr>
          <w:rFonts w:eastAsiaTheme="minorEastAsia" w:cstheme="minorHAnsi"/>
          <w:b/>
          <w:color w:val="000000" w:themeColor="text1"/>
          <w:lang w:eastAsia="ja-JP"/>
        </w:rPr>
      </w:pPr>
      <w:bookmarkStart w:id="144" w:name="_Ref71572934"/>
      <w:bookmarkStart w:id="145" w:name="_Toc71725949"/>
      <w:r w:rsidRPr="009C249A">
        <w:rPr>
          <w:b/>
          <w:color w:val="000000" w:themeColor="text1"/>
        </w:rPr>
        <w:t xml:space="preserve">Figure </w:t>
      </w:r>
      <w:r w:rsidRPr="009C249A">
        <w:rPr>
          <w:b/>
          <w:color w:val="000000" w:themeColor="text1"/>
        </w:rPr>
        <w:fldChar w:fldCharType="begin"/>
      </w:r>
      <w:r w:rsidRPr="009C249A">
        <w:rPr>
          <w:b/>
          <w:color w:val="000000" w:themeColor="text1"/>
        </w:rPr>
        <w:instrText xml:space="preserve"> SEQ Figure \* ARABIC </w:instrText>
      </w:r>
      <w:r w:rsidRPr="009C249A">
        <w:rPr>
          <w:b/>
          <w:color w:val="000000" w:themeColor="text1"/>
        </w:rPr>
        <w:fldChar w:fldCharType="separate"/>
      </w:r>
      <w:r w:rsidR="006D0562">
        <w:rPr>
          <w:b/>
          <w:noProof/>
          <w:color w:val="000000" w:themeColor="text1"/>
        </w:rPr>
        <w:t>31</w:t>
      </w:r>
      <w:r w:rsidRPr="009C249A">
        <w:rPr>
          <w:b/>
          <w:color w:val="000000" w:themeColor="text1"/>
        </w:rPr>
        <w:fldChar w:fldCharType="end"/>
      </w:r>
      <w:bookmarkEnd w:id="144"/>
      <w:r w:rsidR="008A5E08" w:rsidRPr="008A5E08">
        <w:rPr>
          <w:rFonts w:eastAsiaTheme="minorEastAsia" w:cstheme="minorHAnsi"/>
          <w:b/>
          <w:color w:val="000000" w:themeColor="text1"/>
          <w:lang w:eastAsia="ja-JP"/>
        </w:rPr>
        <w:t>: Federal Ministry of Health Spending, 2015–20</w:t>
      </w:r>
      <w:bookmarkEnd w:id="145"/>
    </w:p>
    <w:p w14:paraId="555E72D7" w14:textId="77777777" w:rsidR="008A5E08" w:rsidRPr="008A5E08" w:rsidRDefault="008A5E08" w:rsidP="009C249A">
      <w:pPr>
        <w:keepNext/>
        <w:spacing w:after="0" w:line="240" w:lineRule="auto"/>
        <w:jc w:val="both"/>
        <w:rPr>
          <w:rFonts w:eastAsia="Segoe UI" w:cstheme="minorHAnsi"/>
          <w:lang w:eastAsia="ja-JP"/>
        </w:rPr>
      </w:pPr>
      <w:r w:rsidRPr="008A5E08">
        <w:rPr>
          <w:rFonts w:eastAsiaTheme="minorEastAsia"/>
          <w:noProof/>
          <w:lang w:eastAsia="ja-JP"/>
        </w:rPr>
        <w:drawing>
          <wp:inline distT="0" distB="0" distL="0" distR="0" wp14:anchorId="0A75875D" wp14:editId="7A8B1D77">
            <wp:extent cx="5943600" cy="2743200"/>
            <wp:effectExtent l="0" t="0" r="0" b="0"/>
            <wp:docPr id="63" name="Chart 63">
              <a:extLst xmlns:a="http://schemas.openxmlformats.org/drawingml/2006/main">
                <a:ext uri="{FF2B5EF4-FFF2-40B4-BE49-F238E27FC236}">
                  <a16:creationId xmlns:a16="http://schemas.microsoft.com/office/drawing/2014/main" id="{18946FC3-80D0-466E-B1D0-5AB5857AB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687A39" w14:textId="77777777" w:rsidR="008A5E08" w:rsidRPr="008A5E08" w:rsidRDefault="008A5E08" w:rsidP="009C249A">
      <w:pPr>
        <w:spacing w:after="120" w:line="240" w:lineRule="auto"/>
        <w:jc w:val="both"/>
        <w:rPr>
          <w:rFonts w:eastAsia="Segoe UI" w:cstheme="minorHAnsi"/>
          <w:i/>
          <w:lang w:eastAsia="ja-JP"/>
        </w:rPr>
      </w:pPr>
      <w:r w:rsidRPr="008A5E08">
        <w:rPr>
          <w:rFonts w:eastAsia="Segoe UI" w:cstheme="minorHAnsi"/>
          <w:i/>
          <w:iCs/>
          <w:lang w:eastAsia="ja-JP"/>
        </w:rPr>
        <w:t>Data source: Ministry of Finance</w:t>
      </w:r>
    </w:p>
    <w:p w14:paraId="7A25A78F" w14:textId="77777777" w:rsidR="008A5E08" w:rsidRPr="008A5E08" w:rsidRDefault="008A5E08" w:rsidP="008A5E08">
      <w:pPr>
        <w:spacing w:line="240" w:lineRule="auto"/>
        <w:jc w:val="both"/>
        <w:rPr>
          <w:rFonts w:eastAsia="Segoe UI" w:cstheme="minorHAnsi"/>
          <w:lang w:eastAsia="ja-JP"/>
        </w:rPr>
      </w:pPr>
      <w:r w:rsidRPr="008A5E08">
        <w:rPr>
          <w:rFonts w:eastAsia="Segoe UI" w:cstheme="minorHAnsi"/>
          <w:b/>
          <w:bCs/>
          <w:lang w:eastAsia="ja-JP"/>
        </w:rPr>
        <w:t>There are disparities in health spending across the Federal Member States. The federal government spending makes up about 47 percent of total government spending on health.</w:t>
      </w:r>
      <w:r w:rsidRPr="008A5E08">
        <w:rPr>
          <w:rFonts w:eastAsia="Segoe UI" w:cstheme="minorHAnsi"/>
          <w:lang w:eastAsia="ja-JP"/>
        </w:rPr>
        <w:t xml:space="preserve"> The remaining 53 percent is split among member states with spending by </w:t>
      </w:r>
      <w:proofErr w:type="spellStart"/>
      <w:r w:rsidRPr="008A5E08">
        <w:rPr>
          <w:rFonts w:eastAsia="Segoe UI" w:cstheme="minorHAnsi"/>
          <w:lang w:eastAsia="ja-JP"/>
        </w:rPr>
        <w:t>Jubaland</w:t>
      </w:r>
      <w:proofErr w:type="spellEnd"/>
      <w:r w:rsidRPr="008A5E08">
        <w:rPr>
          <w:rFonts w:eastAsia="Segoe UI" w:cstheme="minorHAnsi"/>
          <w:lang w:eastAsia="ja-JP"/>
        </w:rPr>
        <w:t xml:space="preserve"> making up 20 percent of total government spending on health. </w:t>
      </w:r>
      <w:proofErr w:type="spellStart"/>
      <w:r w:rsidRPr="008A5E08">
        <w:rPr>
          <w:rFonts w:eastAsia="Segoe UI" w:cstheme="minorHAnsi"/>
          <w:lang w:eastAsia="ja-JP"/>
        </w:rPr>
        <w:t>Hirshabelle</w:t>
      </w:r>
      <w:proofErr w:type="spellEnd"/>
      <w:r w:rsidRPr="008A5E08">
        <w:rPr>
          <w:rFonts w:eastAsia="Segoe UI" w:cstheme="minorHAnsi"/>
          <w:lang w:eastAsia="ja-JP"/>
        </w:rPr>
        <w:t xml:space="preserve"> and Galmudug have the lowest shares in total government spending at 7 percent each as of September 2020.</w:t>
      </w:r>
      <w:r w:rsidRPr="008A5E08">
        <w:rPr>
          <w:rFonts w:eastAsia="Segoe UI" w:cstheme="minorHAnsi"/>
          <w:vertAlign w:val="superscript"/>
          <w:lang w:eastAsia="ja-JP"/>
        </w:rPr>
        <w:footnoteReference w:id="56"/>
      </w:r>
      <w:r w:rsidRPr="008A5E08">
        <w:rPr>
          <w:rFonts w:eastAsia="Segoe UI" w:cstheme="minorHAnsi"/>
          <w:lang w:eastAsia="ja-JP"/>
        </w:rPr>
        <w:t xml:space="preserve"> In Somaliland, health spending as share of total spending was 4.72 percent (2020).</w:t>
      </w:r>
      <w:r w:rsidRPr="008A5E08">
        <w:rPr>
          <w:rFonts w:eastAsia="Segoe UI" w:cstheme="minorHAnsi"/>
          <w:vertAlign w:val="superscript"/>
          <w:lang w:eastAsia="ja-JP"/>
        </w:rPr>
        <w:footnoteReference w:id="57"/>
      </w:r>
    </w:p>
    <w:p w14:paraId="119A0466" w14:textId="77777777" w:rsidR="008A5E08" w:rsidRPr="008A5E08" w:rsidRDefault="008A5E08" w:rsidP="008A5E08">
      <w:pPr>
        <w:spacing w:line="240" w:lineRule="auto"/>
        <w:jc w:val="both"/>
        <w:rPr>
          <w:rFonts w:eastAsia="Segoe UI" w:cstheme="minorHAnsi"/>
          <w:sz w:val="24"/>
          <w:szCs w:val="24"/>
          <w:lang w:eastAsia="ja-JP"/>
        </w:rPr>
      </w:pPr>
      <w:r w:rsidRPr="008A5E08">
        <w:rPr>
          <w:rFonts w:eastAsia="Segoe UI" w:cstheme="minorHAnsi"/>
          <w:b/>
          <w:bCs/>
          <w:iCs/>
          <w:lang w:eastAsia="ja-JP"/>
        </w:rPr>
        <w:t xml:space="preserve">The low level of government health spending is compounded by challenges pooling funds and purchasing health services. </w:t>
      </w:r>
      <w:r w:rsidRPr="008A5E08">
        <w:rPr>
          <w:rFonts w:eastAsia="Segoe UI" w:cstheme="minorHAnsi"/>
          <w:iCs/>
          <w:lang w:eastAsia="ja-JP"/>
        </w:rPr>
        <w:t>Government and development partner funds are fragmented, which undermines equity and financial risk protection, due to the lack of risk pooling that enables cross-subsidization from healthy to sick and from richer to poorer populations. The health system</w:t>
      </w:r>
      <w:r w:rsidRPr="008A5E08">
        <w:rPr>
          <w:rFonts w:eastAsia="Segoe UI" w:cstheme="minorHAnsi"/>
          <w:lang w:eastAsia="ja-JP"/>
        </w:rPr>
        <w:t xml:space="preserve"> </w:t>
      </w:r>
      <w:r w:rsidRPr="008A5E08">
        <w:rPr>
          <w:rFonts w:eastAsia="Segoe UI" w:cstheme="minorHAnsi"/>
          <w:iCs/>
          <w:lang w:eastAsia="ja-JP"/>
        </w:rPr>
        <w:t>is not yet fully developed to efficiently determine the type of health services to purchase, how to purchase them and determination of which service providers to purchase the health service package from as well financial management systems for health service providers.</w:t>
      </w:r>
      <w:r w:rsidRPr="008A5E08">
        <w:rPr>
          <w:rFonts w:eastAsia="Segoe UI" w:cstheme="minorHAnsi"/>
          <w:iCs/>
          <w:sz w:val="24"/>
          <w:szCs w:val="24"/>
          <w:lang w:eastAsia="ja-JP"/>
        </w:rPr>
        <w:t xml:space="preserve"> </w:t>
      </w:r>
    </w:p>
    <w:p w14:paraId="5CA782D0" w14:textId="7215DBD0" w:rsidR="008A5E08" w:rsidRPr="008A5E08" w:rsidRDefault="009C249A" w:rsidP="00CA1AC5">
      <w:pPr>
        <w:keepNext/>
        <w:spacing w:after="0"/>
        <w:jc w:val="both"/>
        <w:rPr>
          <w:rFonts w:eastAsiaTheme="minorEastAsia" w:cstheme="minorHAnsi"/>
          <w:b/>
          <w:bCs/>
          <w:color w:val="000000" w:themeColor="text1"/>
          <w:lang w:eastAsia="ja-JP"/>
        </w:rPr>
      </w:pPr>
      <w:bookmarkStart w:id="146" w:name="_Ref71573218"/>
      <w:bookmarkStart w:id="147" w:name="_Toc71725950"/>
      <w:r w:rsidRPr="00CA1AC5">
        <w:rPr>
          <w:b/>
          <w:color w:val="000000" w:themeColor="text1"/>
        </w:rPr>
        <w:lastRenderedPageBreak/>
        <w:t xml:space="preserve">Figure </w:t>
      </w:r>
      <w:r w:rsidRPr="00CA1AC5">
        <w:rPr>
          <w:b/>
          <w:color w:val="000000" w:themeColor="text1"/>
        </w:rPr>
        <w:fldChar w:fldCharType="begin"/>
      </w:r>
      <w:r w:rsidRPr="00CA1AC5">
        <w:rPr>
          <w:b/>
          <w:color w:val="000000" w:themeColor="text1"/>
        </w:rPr>
        <w:instrText xml:space="preserve"> SEQ Figure \* ARABIC </w:instrText>
      </w:r>
      <w:r w:rsidRPr="00CA1AC5">
        <w:rPr>
          <w:b/>
          <w:color w:val="000000" w:themeColor="text1"/>
        </w:rPr>
        <w:fldChar w:fldCharType="separate"/>
      </w:r>
      <w:r w:rsidR="006D0562">
        <w:rPr>
          <w:b/>
          <w:noProof/>
          <w:color w:val="000000" w:themeColor="text1"/>
        </w:rPr>
        <w:t>32</w:t>
      </w:r>
      <w:r w:rsidRPr="00CA1AC5">
        <w:rPr>
          <w:b/>
          <w:color w:val="000000" w:themeColor="text1"/>
        </w:rPr>
        <w:fldChar w:fldCharType="end"/>
      </w:r>
      <w:bookmarkEnd w:id="146"/>
      <w:r w:rsidR="008A5E08" w:rsidRPr="008A5E08">
        <w:rPr>
          <w:rFonts w:eastAsiaTheme="minorEastAsia" w:cstheme="minorHAnsi"/>
          <w:b/>
          <w:bCs/>
          <w:color w:val="000000" w:themeColor="text1"/>
          <w:lang w:eastAsia="ja-JP"/>
        </w:rPr>
        <w:t>: Components of total health spending for selected East African countries</w:t>
      </w:r>
      <w:bookmarkEnd w:id="147"/>
    </w:p>
    <w:p w14:paraId="21524386" w14:textId="77777777" w:rsidR="008A5E08" w:rsidRPr="008A5E08" w:rsidRDefault="008A5E08" w:rsidP="00CA1AC5">
      <w:pPr>
        <w:keepNext/>
        <w:spacing w:after="0"/>
        <w:jc w:val="both"/>
        <w:rPr>
          <w:rFonts w:eastAsia="Segoe UI" w:cstheme="minorHAnsi"/>
          <w:sz w:val="24"/>
          <w:szCs w:val="24"/>
          <w:lang w:eastAsia="ja-JP"/>
        </w:rPr>
      </w:pPr>
      <w:r w:rsidRPr="008A5E08">
        <w:rPr>
          <w:rFonts w:eastAsiaTheme="minorEastAsia" w:cstheme="minorHAnsi"/>
          <w:noProof/>
          <w:lang w:eastAsia="ja-JP"/>
        </w:rPr>
        <w:drawing>
          <wp:inline distT="0" distB="0" distL="0" distR="0" wp14:anchorId="1C0A9076" wp14:editId="747D4EC3">
            <wp:extent cx="5522595" cy="2399169"/>
            <wp:effectExtent l="0" t="0" r="1905" b="1270"/>
            <wp:docPr id="17" name="Chart 17">
              <a:extLst xmlns:a="http://schemas.openxmlformats.org/drawingml/2006/main">
                <a:ext uri="{FF2B5EF4-FFF2-40B4-BE49-F238E27FC236}">
                  <a16:creationId xmlns:a16="http://schemas.microsoft.com/office/drawing/2014/main" id="{F5DFBAF6-17BE-9E42-9F54-5E0CD218A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4A6D6B1" w14:textId="77777777" w:rsidR="00CA1AC5" w:rsidRDefault="008A5E08" w:rsidP="00CA1AC5">
      <w:pPr>
        <w:spacing w:after="0" w:line="240" w:lineRule="auto"/>
        <w:jc w:val="both"/>
        <w:rPr>
          <w:rFonts w:eastAsiaTheme="minorEastAsia" w:cstheme="minorHAnsi"/>
          <w:i/>
          <w:sz w:val="20"/>
          <w:szCs w:val="20"/>
          <w:lang w:eastAsia="ja-JP"/>
        </w:rPr>
      </w:pPr>
      <w:r w:rsidRPr="008A5E08">
        <w:rPr>
          <w:rFonts w:eastAsiaTheme="minorEastAsia" w:cstheme="minorHAnsi"/>
          <w:i/>
          <w:sz w:val="20"/>
          <w:szCs w:val="20"/>
          <w:lang w:eastAsia="ja-JP"/>
        </w:rPr>
        <w:t xml:space="preserve">Notes: “DAH” refers to [Donor Assistance for Health]. Data source: Health </w:t>
      </w:r>
      <w:r w:rsidRPr="008A5E08">
        <w:rPr>
          <w:rFonts w:eastAsiaTheme="minorEastAsia" w:cstheme="minorHAnsi"/>
          <w:i/>
          <w:iCs/>
          <w:sz w:val="20"/>
          <w:szCs w:val="20"/>
          <w:lang w:eastAsia="ja-JP"/>
        </w:rPr>
        <w:t>sector spending supplementary data</w:t>
      </w:r>
      <w:r w:rsidRPr="008A5E08">
        <w:rPr>
          <w:rFonts w:eastAsiaTheme="minorEastAsia" w:cstheme="minorHAnsi"/>
          <w:i/>
          <w:sz w:val="20"/>
          <w:szCs w:val="20"/>
          <w:lang w:eastAsia="ja-JP"/>
        </w:rPr>
        <w:t xml:space="preserve">, </w:t>
      </w:r>
    </w:p>
    <w:p w14:paraId="6BF53CF9" w14:textId="696F0F32" w:rsidR="008A5E08" w:rsidRPr="008A5E08" w:rsidRDefault="008A5E08" w:rsidP="00CA1AC5">
      <w:pPr>
        <w:spacing w:after="0" w:line="240" w:lineRule="auto"/>
        <w:jc w:val="both"/>
        <w:rPr>
          <w:rFonts w:eastAsiaTheme="minorEastAsia" w:cstheme="minorHAnsi"/>
          <w:i/>
          <w:sz w:val="20"/>
          <w:szCs w:val="20"/>
          <w:lang w:eastAsia="ja-JP"/>
        </w:rPr>
      </w:pPr>
      <w:r w:rsidRPr="008A5E08">
        <w:rPr>
          <w:rFonts w:eastAsiaTheme="minorEastAsia" w:cstheme="minorHAnsi"/>
          <w:i/>
          <w:sz w:val="20"/>
          <w:szCs w:val="20"/>
          <w:lang w:eastAsia="ja-JP"/>
        </w:rPr>
        <w:t>The Lancet.</w:t>
      </w:r>
    </w:p>
    <w:p w14:paraId="3A311FBB" w14:textId="77777777" w:rsidR="008A5E08" w:rsidRPr="008A5E08" w:rsidRDefault="008A5E08" w:rsidP="008A5E08">
      <w:pPr>
        <w:spacing w:after="0" w:line="240" w:lineRule="auto"/>
        <w:jc w:val="both"/>
        <w:rPr>
          <w:rFonts w:eastAsiaTheme="minorEastAsia" w:cstheme="minorHAnsi"/>
          <w:i/>
          <w:sz w:val="20"/>
          <w:szCs w:val="20"/>
          <w:lang w:eastAsia="ja-JP"/>
        </w:rPr>
      </w:pPr>
    </w:p>
    <w:p w14:paraId="099B2BC5" w14:textId="77777777" w:rsidR="008A5E08" w:rsidRPr="008A5E08" w:rsidRDefault="008A5E08" w:rsidP="008A5E08">
      <w:pPr>
        <w:spacing w:line="240" w:lineRule="auto"/>
        <w:jc w:val="both"/>
        <w:rPr>
          <w:rFonts w:eastAsia="Segoe UI" w:cstheme="minorHAnsi"/>
          <w:lang w:eastAsia="ja-JP"/>
        </w:rPr>
      </w:pPr>
      <w:r w:rsidRPr="008A5E08">
        <w:rPr>
          <w:rFonts w:eastAsia="Segoe UI" w:cstheme="minorHAnsi"/>
          <w:b/>
          <w:lang w:eastAsia="ja-JP"/>
        </w:rPr>
        <w:t>Health insurance is almost non-existent in Somalia</w:t>
      </w:r>
      <w:r w:rsidRPr="008A5E08">
        <w:rPr>
          <w:rFonts w:eastAsia="Segoe UI" w:cstheme="minorHAnsi"/>
          <w:lang w:eastAsia="ja-JP"/>
        </w:rPr>
        <w:t>. In 2020, only two percent of households reported using insurance to cover their health expenses.</w:t>
      </w:r>
      <w:r w:rsidRPr="008A5E08">
        <w:rPr>
          <w:rFonts w:eastAsia="Segoe UI" w:cstheme="minorHAnsi"/>
          <w:vertAlign w:val="superscript"/>
          <w:lang w:eastAsia="ja-JP"/>
        </w:rPr>
        <w:footnoteReference w:id="58"/>
      </w:r>
      <w:r w:rsidRPr="008A5E08">
        <w:rPr>
          <w:rFonts w:eastAsia="Segoe UI" w:cstheme="minorHAnsi"/>
          <w:lang w:eastAsia="ja-JP"/>
        </w:rPr>
        <w:t xml:space="preserve"> The absence of insurance means that households without enough savings often resort to liquidating private assets or borrowing to finance health expenses, creating financial risk protection problems and limiting access to care to those who can afford it.</w:t>
      </w:r>
      <w:r w:rsidRPr="008A5E08">
        <w:rPr>
          <w:rFonts w:eastAsia="Segoe UI" w:cstheme="minorHAnsi"/>
          <w:lang w:eastAsia="ja-JP"/>
        </w:rPr>
        <w:fldChar w:fldCharType="begin"/>
      </w:r>
      <w:r w:rsidRPr="008A5E08">
        <w:rPr>
          <w:rFonts w:eastAsia="Segoe UI" w:cstheme="minorHAnsi"/>
          <w:lang w:eastAsia="ja-JP"/>
        </w:rPr>
        <w:instrText xml:space="preserve"> NOTEREF _Ref69377802 \f \h  \* MERGEFORMAT </w:instrText>
      </w:r>
      <w:r w:rsidRPr="008A5E08">
        <w:rPr>
          <w:rFonts w:eastAsia="Segoe UI" w:cstheme="minorHAnsi"/>
          <w:lang w:eastAsia="ja-JP"/>
        </w:rPr>
      </w:r>
      <w:r w:rsidRPr="008A5E08">
        <w:rPr>
          <w:rFonts w:eastAsia="Segoe UI" w:cstheme="minorHAnsi"/>
          <w:lang w:eastAsia="ja-JP"/>
        </w:rPr>
        <w:fldChar w:fldCharType="separate"/>
      </w:r>
      <w:r w:rsidRPr="008A5E08">
        <w:rPr>
          <w:rFonts w:eastAsiaTheme="minorEastAsia" w:cstheme="minorHAnsi"/>
          <w:vertAlign w:val="superscript"/>
          <w:lang w:eastAsia="ja-JP"/>
        </w:rPr>
        <w:t>31</w:t>
      </w:r>
      <w:r w:rsidRPr="008A5E08">
        <w:rPr>
          <w:rFonts w:eastAsia="Segoe UI" w:cstheme="minorHAnsi"/>
          <w:lang w:eastAsia="ja-JP"/>
        </w:rPr>
        <w:fldChar w:fldCharType="end"/>
      </w:r>
    </w:p>
    <w:p w14:paraId="20EAC816" w14:textId="0B81BAEE" w:rsidR="008A5E08" w:rsidRPr="008A5E08" w:rsidRDefault="008A5E08" w:rsidP="008A5E08">
      <w:pPr>
        <w:spacing w:line="240" w:lineRule="auto"/>
        <w:jc w:val="both"/>
        <w:rPr>
          <w:rFonts w:eastAsiaTheme="minorEastAsia" w:cstheme="minorHAnsi"/>
          <w:lang w:eastAsia="ja-JP"/>
        </w:rPr>
      </w:pPr>
      <w:r w:rsidRPr="008A5E08">
        <w:rPr>
          <w:rFonts w:eastAsiaTheme="minorEastAsia"/>
          <w:b/>
          <w:lang w:eastAsia="ja-JP"/>
        </w:rPr>
        <w:t>Donors finance the majority of health sector spending and most donor funding is off the government’s budget, limiting coordination and efficiency</w:t>
      </w:r>
      <w:r w:rsidRPr="008A5E08">
        <w:rPr>
          <w:rFonts w:eastAsiaTheme="minorEastAsia"/>
          <w:lang w:eastAsia="ja-JP"/>
        </w:rPr>
        <w:t>. A resource mapping and expenditure tracking (RMET) exercise was conducted between 2019 and 2020 jointly by the government and the Global Financing Facility (GFF) to understand the sources of health sector funding, the government’s priorities and the activities funded. The study revealed that total 2019 health sector funding (excluding out-of-pocket payments) was US$208 million; of which US$191 million</w:t>
      </w:r>
      <w:r w:rsidRPr="008A5E08">
        <w:rPr>
          <w:rFonts w:eastAsiaTheme="minorEastAsia"/>
          <w:vertAlign w:val="superscript"/>
          <w:lang w:eastAsia="ja-JP"/>
        </w:rPr>
        <w:footnoteReference w:id="59"/>
      </w:r>
      <w:r w:rsidRPr="008A5E08">
        <w:rPr>
          <w:rFonts w:eastAsiaTheme="minorEastAsia"/>
          <w:lang w:eastAsia="ja-JP"/>
        </w:rPr>
        <w:t xml:space="preserve"> came from development and humanitarian partners and showed a large increase from the previous year’s amount of US$156 million in 2018.</w:t>
      </w:r>
      <w:r w:rsidRPr="008A5E08">
        <w:rPr>
          <w:rFonts w:eastAsiaTheme="minorEastAsia"/>
          <w:vertAlign w:val="superscript"/>
          <w:lang w:eastAsia="ja-JP"/>
        </w:rPr>
        <w:footnoteReference w:id="60"/>
      </w:r>
      <w:r w:rsidRPr="008A5E08">
        <w:rPr>
          <w:rFonts w:eastAsiaTheme="minorEastAsia"/>
          <w:lang w:eastAsia="ja-JP"/>
        </w:rPr>
        <w:t>The UK was the largest donor, followed by the Global Fund. The resource mapping exercise also found that all donor funding was off the government’s budget. A mapping of funding available to support the government’s priorities in Somalia’s Second Health Sector Strategic Plan 2017</w:t>
      </w:r>
      <w:r w:rsidRPr="008A5E08">
        <w:rPr>
          <w:rFonts w:eastAsiaTheme="minorEastAsia"/>
          <w:lang w:eastAsia="ja-JP"/>
        </w:rPr>
        <w:softHyphen/>
        <w:t>–21 (HSSP-II) also revealed that between 2018 and 2020, 59 percent of all health sector funding went towards service delivery, followed by emergency preparedness and response, which received 16 percent of the total funding with effectively no allocation for health financing reforms.</w:t>
      </w:r>
      <w:r w:rsidRPr="008A5E08">
        <w:rPr>
          <w:rFonts w:eastAsiaTheme="minorEastAsia"/>
          <w:vertAlign w:val="superscript"/>
          <w:lang w:eastAsia="ja-JP"/>
        </w:rPr>
        <w:footnoteReference w:id="61"/>
      </w:r>
    </w:p>
    <w:p w14:paraId="6A0AAB36" w14:textId="77777777" w:rsidR="008A5E08" w:rsidRPr="008A5E08" w:rsidRDefault="008A5E08" w:rsidP="008A5E08">
      <w:pPr>
        <w:spacing w:line="240" w:lineRule="auto"/>
        <w:jc w:val="both"/>
        <w:rPr>
          <w:rFonts w:eastAsia="Segoe UI" w:cstheme="minorHAnsi"/>
          <w:i/>
          <w:lang w:eastAsia="ja-JP"/>
        </w:rPr>
      </w:pPr>
      <w:r w:rsidRPr="008A5E08">
        <w:rPr>
          <w:rFonts w:eastAsia="Segoe UI" w:cstheme="minorHAnsi"/>
          <w:b/>
          <w:lang w:eastAsia="ja-JP"/>
        </w:rPr>
        <w:t>Fund flow fragmentation and the associated purchasing issues creates inefficiency and inequity as each flow uses its own provider payment system, which can create mixed or perverse financial incentives at the provider level</w:t>
      </w:r>
      <w:r w:rsidRPr="008A5E08">
        <w:rPr>
          <w:rFonts w:eastAsia="Segoe UI" w:cstheme="minorHAnsi"/>
          <w:lang w:eastAsia="ja-JP"/>
        </w:rPr>
        <w:t xml:space="preserve">. Additionally, each fund flow has its own operational procedures and accounting systems, which creates inefficiencies, which is a heavy burden for service providers in a low capacity system. For example, a medium-size primary health care center (PHC) may have ten or more government, </w:t>
      </w:r>
      <w:r w:rsidRPr="008A5E08">
        <w:rPr>
          <w:rFonts w:eastAsia="Segoe UI" w:cstheme="minorHAnsi"/>
          <w:lang w:eastAsia="ja-JP"/>
        </w:rPr>
        <w:lastRenderedPageBreak/>
        <w:t>development partner or private funds flows all with different financial incentives and accounting systems, contributing to inefficiencies that will hamper extension of service coverage to the population</w:t>
      </w:r>
      <w:r w:rsidRPr="008A5E08">
        <w:rPr>
          <w:rFonts w:eastAsia="Segoe UI" w:cstheme="minorHAnsi"/>
          <w:i/>
          <w:lang w:eastAsia="ja-JP"/>
        </w:rPr>
        <w:t>.</w:t>
      </w:r>
    </w:p>
    <w:p w14:paraId="365731CD" w14:textId="470BC1E7" w:rsidR="008A5E08" w:rsidRPr="008A5E08" w:rsidRDefault="008A5E08" w:rsidP="008A5E08">
      <w:pPr>
        <w:spacing w:line="240" w:lineRule="auto"/>
        <w:jc w:val="both"/>
        <w:rPr>
          <w:rFonts w:eastAsia="Yu Gothic Light" w:cstheme="minorHAnsi"/>
          <w:lang w:eastAsia="ja-JP"/>
        </w:rPr>
      </w:pPr>
      <w:r w:rsidRPr="008A5E08">
        <w:rPr>
          <w:rFonts w:eastAsiaTheme="minorEastAsia"/>
          <w:b/>
          <w:lang w:eastAsia="ja-JP"/>
        </w:rPr>
        <w:t xml:space="preserve">Weak </w:t>
      </w:r>
      <w:r w:rsidRPr="008A5E08">
        <w:rPr>
          <w:rFonts w:eastAsia="Yu Gothic Light" w:cstheme="minorHAnsi"/>
          <w:b/>
          <w:lang w:eastAsia="ja-JP"/>
        </w:rPr>
        <w:t xml:space="preserve">public financial management (PFM) systems inhibit efficient use of resources.  </w:t>
      </w:r>
      <w:r w:rsidRPr="008A5E08">
        <w:rPr>
          <w:rFonts w:eastAsia="Yu Gothic Light" w:cstheme="minorHAnsi"/>
          <w:lang w:eastAsia="ja-JP"/>
        </w:rPr>
        <w:t xml:space="preserve">The </w:t>
      </w:r>
      <w:proofErr w:type="spellStart"/>
      <w:r w:rsidRPr="008A5E08">
        <w:rPr>
          <w:rFonts w:eastAsia="Yu Gothic Light" w:cstheme="minorHAnsi"/>
          <w:lang w:eastAsia="ja-JP"/>
        </w:rPr>
        <w:t>FMoH</w:t>
      </w:r>
      <w:proofErr w:type="spellEnd"/>
      <w:r w:rsidRPr="008A5E08">
        <w:rPr>
          <w:rFonts w:eastAsia="Yu Gothic Light" w:cstheme="minorHAnsi"/>
          <w:lang w:eastAsia="ja-JP"/>
        </w:rPr>
        <w:t xml:space="preserve"> lacks robust internal controls and systems inherent in PFM, as highlighted by an Auditor General’s Office report.</w:t>
      </w:r>
      <w:r w:rsidRPr="008A5E08">
        <w:rPr>
          <w:rFonts w:eastAsia="Yu Gothic Light" w:cstheme="minorHAnsi"/>
          <w:vertAlign w:val="superscript"/>
          <w:lang w:eastAsia="ja-JP"/>
        </w:rPr>
        <w:footnoteReference w:id="62"/>
      </w:r>
      <w:r w:rsidRPr="008A5E08">
        <w:rPr>
          <w:rFonts w:eastAsia="Yu Gothic Light" w:cstheme="minorHAnsi"/>
          <w:lang w:eastAsia="ja-JP"/>
        </w:rPr>
        <w:t xml:space="preserve"> A paucity of on-treasury health sector resources has severely constrained PFM capacity in the </w:t>
      </w:r>
      <w:proofErr w:type="spellStart"/>
      <w:r w:rsidRPr="008A5E08">
        <w:rPr>
          <w:rFonts w:eastAsia="Yu Gothic Light" w:cstheme="minorHAnsi"/>
          <w:lang w:eastAsia="ja-JP"/>
        </w:rPr>
        <w:t>FMoH</w:t>
      </w:r>
      <w:proofErr w:type="spellEnd"/>
      <w:r w:rsidRPr="008A5E08">
        <w:rPr>
          <w:rFonts w:eastAsia="Yu Gothic Light" w:cstheme="minorHAnsi"/>
          <w:lang w:eastAsia="ja-JP"/>
        </w:rPr>
        <w:t xml:space="preserve">, resulting in significant governance challenges within the </w:t>
      </w:r>
      <w:proofErr w:type="spellStart"/>
      <w:r w:rsidRPr="008A5E08">
        <w:rPr>
          <w:rFonts w:eastAsia="Yu Gothic Light" w:cstheme="minorHAnsi"/>
          <w:lang w:eastAsia="ja-JP"/>
        </w:rPr>
        <w:t>FMoH</w:t>
      </w:r>
      <w:proofErr w:type="spellEnd"/>
      <w:r w:rsidRPr="008A5E08">
        <w:rPr>
          <w:rFonts w:eastAsia="Yu Gothic Light" w:cstheme="minorHAnsi"/>
          <w:lang w:eastAsia="ja-JP"/>
        </w:rPr>
        <w:t xml:space="preserve">. As Somalia’s government health budget increases the importance of strong PFM systems has been recognized by the government as a means to improve the efficiency, effectiveness, and equity of government spending across the FGS and the FMS, and to build capacity for efficient, effective, transparent, and accountable public expenditures to increase confidence in the state. The current administration has demonstrated a commitment to anti-corruption, as evidenced by the passage of anti-corruption legislation in September 2019, and a new PFM Act passed in December 2019. Despite Somalia’s post-conflict context, the country has successfully built a solid foundation for PFM in a short </w:t>
      </w:r>
      <w:proofErr w:type="gramStart"/>
      <w:r w:rsidRPr="008A5E08">
        <w:rPr>
          <w:rFonts w:eastAsia="Yu Gothic Light" w:cstheme="minorHAnsi"/>
          <w:lang w:eastAsia="ja-JP"/>
        </w:rPr>
        <w:t>time period</w:t>
      </w:r>
      <w:proofErr w:type="gramEnd"/>
      <w:r w:rsidRPr="008A5E08">
        <w:rPr>
          <w:rFonts w:eastAsia="Yu Gothic Light" w:cstheme="minorHAnsi"/>
          <w:lang w:eastAsia="ja-JP"/>
        </w:rPr>
        <w:t xml:space="preserve">. These systems support workflow and authorization controls for government finances, bring discipline to control activities, and strengthen accountability and transparency. The recent “Somalia: Public Expenditure Management Assessment” (June 2020) conducted by the World Bank identified three priority areas to strengthen Somalia’s PFM systems: i) strengthen the legal and regulatory framework; ii) improve PFM procedures for effective budget implementation; and iii) promote greater transparency and accountability in PFM systems.  While government-wide PFM reforms are ongoing, PFM in the Somali health sector is extremely critical to strengthen efficient resource use and accountability as well as mitigate fiduciary risks. PFM systems are also critical to encourage donors to move resources on Government systems, towards increased efficiency.  </w:t>
      </w:r>
    </w:p>
    <w:p w14:paraId="4A1E50A0" w14:textId="40600E61" w:rsidR="008A5E08" w:rsidRPr="008A5E08" w:rsidRDefault="003E6BCC" w:rsidP="008A5E08">
      <w:pPr>
        <w:keepNext/>
        <w:spacing w:after="120" w:line="240" w:lineRule="auto"/>
        <w:jc w:val="both"/>
        <w:rPr>
          <w:rFonts w:eastAsia="Times New Roman" w:cstheme="minorHAnsi"/>
          <w:color w:val="000000"/>
          <w:u w:val="single"/>
          <w:shd w:val="clear" w:color="auto" w:fill="FFFFFF"/>
        </w:rPr>
      </w:pPr>
      <w:r w:rsidRPr="008A5E08">
        <w:rPr>
          <w:rFonts w:eastAsia="Segoe UI" w:cstheme="minorHAnsi"/>
          <w:noProof/>
          <w:sz w:val="24"/>
          <w:szCs w:val="24"/>
          <w:lang w:eastAsia="ja-JP"/>
        </w:rPr>
        <w:drawing>
          <wp:anchor distT="0" distB="0" distL="114300" distR="114300" simplePos="0" relativeHeight="251662336" behindDoc="0" locked="0" layoutInCell="1" allowOverlap="1" wp14:anchorId="3C4FBD58" wp14:editId="18BF779C">
            <wp:simplePos x="0" y="0"/>
            <wp:positionH relativeFrom="column">
              <wp:posOffset>99060</wp:posOffset>
            </wp:positionH>
            <wp:positionV relativeFrom="paragraph">
              <wp:posOffset>198755</wp:posOffset>
            </wp:positionV>
            <wp:extent cx="2851785" cy="2969260"/>
            <wp:effectExtent l="0" t="0" r="5715" b="2540"/>
            <wp:wrapThrough wrapText="bothSides">
              <wp:wrapPolygon edited="0">
                <wp:start x="0" y="0"/>
                <wp:lineTo x="0" y="21480"/>
                <wp:lineTo x="21499" y="21480"/>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51785" cy="2969260"/>
                    </a:xfrm>
                    <a:prstGeom prst="rect">
                      <a:avLst/>
                    </a:prstGeom>
                  </pic:spPr>
                </pic:pic>
              </a:graphicData>
            </a:graphic>
            <wp14:sizeRelH relativeFrom="page">
              <wp14:pctWidth>0</wp14:pctWidth>
            </wp14:sizeRelH>
            <wp14:sizeRelV relativeFrom="page">
              <wp14:pctHeight>0</wp14:pctHeight>
            </wp14:sizeRelV>
          </wp:anchor>
        </w:drawing>
      </w:r>
      <w:r w:rsidR="008A5E08" w:rsidRPr="008A5E08">
        <w:rPr>
          <w:rFonts w:eastAsia="Times New Roman" w:cstheme="minorHAnsi"/>
          <w:color w:val="000000"/>
          <w:u w:val="single"/>
          <w:shd w:val="clear" w:color="auto" w:fill="FFFFFF"/>
        </w:rPr>
        <w:t>Service delivery</w:t>
      </w:r>
    </w:p>
    <w:p w14:paraId="5148636B" w14:textId="24590332" w:rsidR="00BE376D" w:rsidRPr="008A5E08" w:rsidRDefault="00CB48BC" w:rsidP="00CB48BC">
      <w:pPr>
        <w:autoSpaceDE w:val="0"/>
        <w:autoSpaceDN w:val="0"/>
        <w:adjustRightInd w:val="0"/>
        <w:spacing w:after="0" w:line="276" w:lineRule="exact"/>
        <w:rPr>
          <w:rFonts w:eastAsiaTheme="minorEastAsia" w:cstheme="minorHAnsi"/>
          <w:b/>
          <w:bCs/>
          <w:i/>
          <w:iCs/>
          <w:color w:val="000000" w:themeColor="text1"/>
          <w:lang w:eastAsia="ja-JP"/>
        </w:rPr>
      </w:pPr>
      <w:bookmarkStart w:id="148" w:name="_Ref71573654"/>
      <w:bookmarkStart w:id="149" w:name="_Toc71725951"/>
      <w:r w:rsidRPr="00CB48BC">
        <w:rPr>
          <w:b/>
          <w:i/>
          <w:iCs/>
          <w:color w:val="000000" w:themeColor="text1"/>
        </w:rPr>
        <w:t xml:space="preserve">Figure </w:t>
      </w:r>
      <w:r w:rsidRPr="00034694">
        <w:rPr>
          <w:b/>
          <w:i/>
          <w:iCs/>
        </w:rPr>
        <w:fldChar w:fldCharType="begin"/>
      </w:r>
      <w:r w:rsidRPr="00034694">
        <w:rPr>
          <w:b/>
          <w:i/>
          <w:iCs/>
        </w:rPr>
        <w:instrText xml:space="preserve"> SEQ Figure \* ARABIC </w:instrText>
      </w:r>
      <w:r w:rsidRPr="00034694">
        <w:rPr>
          <w:b/>
          <w:i/>
          <w:iCs/>
        </w:rPr>
        <w:fldChar w:fldCharType="separate"/>
      </w:r>
      <w:r w:rsidR="008C2975">
        <w:rPr>
          <w:b/>
          <w:i/>
          <w:iCs/>
          <w:noProof/>
        </w:rPr>
        <w:t>33</w:t>
      </w:r>
      <w:r w:rsidRPr="00034694">
        <w:rPr>
          <w:b/>
          <w:i/>
          <w:iCs/>
        </w:rPr>
        <w:fldChar w:fldCharType="end"/>
      </w:r>
      <w:bookmarkEnd w:id="148"/>
      <w:r w:rsidR="00BE376D" w:rsidRPr="00034694">
        <w:rPr>
          <w:rFonts w:eastAsiaTheme="minorEastAsia" w:cstheme="minorHAnsi"/>
          <w:b/>
          <w:i/>
          <w:iCs/>
          <w:lang w:eastAsia="ja-JP"/>
        </w:rPr>
        <w:t>:</w:t>
      </w:r>
      <w:r w:rsidR="00BE376D" w:rsidRPr="00034694">
        <w:rPr>
          <w:rFonts w:eastAsiaTheme="minorEastAsia" w:cstheme="minorHAnsi"/>
          <w:b/>
          <w:bCs/>
          <w:i/>
          <w:iCs/>
          <w:lang w:eastAsia="ja-JP"/>
        </w:rPr>
        <w:t xml:space="preserve"> </w:t>
      </w:r>
      <w:r w:rsidR="00BE376D" w:rsidRPr="008A5E08">
        <w:rPr>
          <w:rFonts w:eastAsiaTheme="minorEastAsia" w:cstheme="minorHAnsi"/>
          <w:b/>
          <w:bCs/>
          <w:i/>
          <w:iCs/>
          <w:color w:val="000000" w:themeColor="text1"/>
          <w:lang w:eastAsia="ja-JP"/>
        </w:rPr>
        <w:t>Number of inpatient beds per 10,000 population in Somalia</w:t>
      </w:r>
      <w:bookmarkEnd w:id="149"/>
    </w:p>
    <w:p w14:paraId="0AFEE5FD" w14:textId="3EA20304" w:rsidR="00CB48BC" w:rsidRDefault="008A5E08" w:rsidP="00CB48BC">
      <w:pPr>
        <w:autoSpaceDE w:val="0"/>
        <w:autoSpaceDN w:val="0"/>
        <w:adjustRightInd w:val="0"/>
        <w:spacing w:after="0" w:line="240" w:lineRule="auto"/>
        <w:jc w:val="both"/>
        <w:rPr>
          <w:rFonts w:eastAsia="Segoe UI"/>
          <w:lang w:eastAsia="ja-JP"/>
        </w:rPr>
      </w:pPr>
      <w:r w:rsidRPr="008A5E08">
        <w:rPr>
          <w:rFonts w:eastAsia="Segoe UI"/>
          <w:b/>
          <w:bCs/>
          <w:lang w:eastAsia="ja-JP"/>
        </w:rPr>
        <w:t xml:space="preserve">There are widespread gaps in health infrastructure with significant disparities in facility density across regions. </w:t>
      </w:r>
      <w:r w:rsidRPr="008A5E08">
        <w:rPr>
          <w:rFonts w:eastAsia="Segoe UI"/>
          <w:lang w:eastAsia="ja-JP"/>
        </w:rPr>
        <w:t>The national inpatient bed density, which measures access to inpatient services, is 5.34 inpatient beds per 10,000 population which is substantially below the WHO target density of 25 beds per 10,000 population and the SSA regional average of 9 beds per 10,000 population.</w:t>
      </w:r>
      <w:r w:rsidRPr="008A5E08">
        <w:rPr>
          <w:rFonts w:eastAsia="Segoe UI"/>
          <w:vertAlign w:val="superscript"/>
          <w:lang w:eastAsia="ja-JP"/>
        </w:rPr>
        <w:footnoteReference w:id="63"/>
      </w:r>
      <w:r w:rsidRPr="008A5E08">
        <w:rPr>
          <w:rFonts w:eastAsia="Segoe UI"/>
          <w:lang w:eastAsia="ja-JP"/>
        </w:rPr>
        <w:t xml:space="preserve"> The inpatient bed density is highest in the </w:t>
      </w:r>
      <w:proofErr w:type="spellStart"/>
      <w:r w:rsidRPr="008A5E08">
        <w:rPr>
          <w:rFonts w:eastAsia="Segoe UI"/>
          <w:lang w:eastAsia="ja-JP"/>
        </w:rPr>
        <w:t>Galguduud</w:t>
      </w:r>
      <w:proofErr w:type="spellEnd"/>
      <w:r w:rsidRPr="008A5E08">
        <w:rPr>
          <w:rFonts w:eastAsia="Segoe UI"/>
          <w:lang w:eastAsia="ja-JP"/>
        </w:rPr>
        <w:t xml:space="preserve"> region in central Somalia and lowest in the southwestern parts of Somalia  as shown in </w:t>
      </w:r>
      <w:r w:rsidR="00CB48BC" w:rsidRPr="00CB48BC">
        <w:rPr>
          <w:rFonts w:eastAsia="Segoe UI"/>
          <w:color w:val="000000" w:themeColor="text1"/>
          <w:lang w:eastAsia="ja-JP"/>
        </w:rPr>
        <w:fldChar w:fldCharType="begin"/>
      </w:r>
      <w:r w:rsidR="00CB48BC" w:rsidRPr="00CB48BC">
        <w:rPr>
          <w:rFonts w:eastAsia="Segoe UI"/>
          <w:color w:val="000000" w:themeColor="text1"/>
          <w:lang w:eastAsia="ja-JP"/>
        </w:rPr>
        <w:instrText xml:space="preserve"> REF _Ref71573654 \h  \* MERGEFORMAT </w:instrText>
      </w:r>
      <w:r w:rsidR="00CB48BC" w:rsidRPr="00CB48BC">
        <w:rPr>
          <w:rFonts w:eastAsia="Segoe UI"/>
          <w:color w:val="000000" w:themeColor="text1"/>
          <w:lang w:eastAsia="ja-JP"/>
        </w:rPr>
      </w:r>
      <w:r w:rsidR="00CB48BC" w:rsidRPr="00CB48BC">
        <w:rPr>
          <w:rFonts w:eastAsia="Segoe UI"/>
          <w:color w:val="000000" w:themeColor="text1"/>
          <w:lang w:eastAsia="ja-JP"/>
        </w:rPr>
        <w:fldChar w:fldCharType="separate"/>
      </w:r>
      <w:r w:rsidR="00886D24" w:rsidRPr="00886D24">
        <w:rPr>
          <w:i/>
          <w:iCs/>
          <w:color w:val="000000" w:themeColor="text1"/>
        </w:rPr>
        <w:t xml:space="preserve">Figure </w:t>
      </w:r>
      <w:r w:rsidR="00886D24" w:rsidRPr="00886D24">
        <w:rPr>
          <w:i/>
          <w:iCs/>
          <w:noProof/>
          <w:color w:val="000000" w:themeColor="text1"/>
        </w:rPr>
        <w:t>33</w:t>
      </w:r>
      <w:r w:rsidR="00CB48BC" w:rsidRPr="00CB48BC">
        <w:rPr>
          <w:rFonts w:eastAsia="Segoe UI"/>
          <w:color w:val="000000" w:themeColor="text1"/>
          <w:lang w:eastAsia="ja-JP"/>
        </w:rPr>
        <w:fldChar w:fldCharType="end"/>
      </w:r>
      <w:r w:rsidRPr="008A5E08">
        <w:rPr>
          <w:rFonts w:eastAsia="Segoe UI"/>
          <w:color w:val="000000" w:themeColor="text1"/>
          <w:lang w:eastAsia="ja-JP"/>
        </w:rPr>
        <w:t xml:space="preserve">. </w:t>
      </w:r>
      <w:r w:rsidRPr="008A5E08">
        <w:rPr>
          <w:rFonts w:eastAsia="Segoe UI"/>
          <w:lang w:eastAsia="ja-JP"/>
        </w:rPr>
        <w:t>The national maternity bed density stands at 2.55 maternity beds per 1,000</w:t>
      </w:r>
      <w:r w:rsidR="003E6BCC">
        <w:rPr>
          <w:rFonts w:eastAsia="Segoe UI"/>
          <w:lang w:eastAsia="ja-JP"/>
        </w:rPr>
        <w:t xml:space="preserve"> </w:t>
      </w:r>
      <w:r w:rsidRPr="008A5E08">
        <w:rPr>
          <w:rFonts w:eastAsia="Segoe UI"/>
          <w:lang w:eastAsia="ja-JP"/>
        </w:rPr>
        <w:t>pregnant women, well below the WHO target of 10 maternity beds per 1,000 pregnant women.</w:t>
      </w:r>
      <w:r w:rsidRPr="008A5E08">
        <w:rPr>
          <w:rFonts w:eastAsia="Segoe UI"/>
          <w:vertAlign w:val="superscript"/>
          <w:lang w:eastAsia="ja-JP"/>
        </w:rPr>
        <w:footnoteReference w:id="64"/>
      </w:r>
      <w:r w:rsidRPr="008A5E08" w:rsidDel="00904B5A">
        <w:rPr>
          <w:rFonts w:eastAsia="Segoe UI"/>
          <w:lang w:eastAsia="ja-JP"/>
        </w:rPr>
        <w:t xml:space="preserve"> </w:t>
      </w:r>
    </w:p>
    <w:p w14:paraId="5A546AB0" w14:textId="62D470F9" w:rsidR="008A5E08" w:rsidRPr="008A5E08" w:rsidRDefault="008A5E08" w:rsidP="00CB48BC">
      <w:pPr>
        <w:autoSpaceDE w:val="0"/>
        <w:autoSpaceDN w:val="0"/>
        <w:adjustRightInd w:val="0"/>
        <w:spacing w:after="0" w:line="240" w:lineRule="auto"/>
        <w:jc w:val="both"/>
        <w:rPr>
          <w:rFonts w:eastAsia="Segoe UI"/>
          <w:lang w:eastAsia="ja-JP"/>
        </w:rPr>
      </w:pPr>
      <w:r w:rsidRPr="008A5E08">
        <w:rPr>
          <w:rFonts w:eastAsiaTheme="minorEastAsia" w:cstheme="minorHAnsi"/>
          <w:i/>
          <w:sz w:val="20"/>
          <w:szCs w:val="20"/>
          <w:lang w:eastAsia="ja-JP"/>
        </w:rPr>
        <w:t>Note: Lower values are in red, middle-range values are in orange while higher values are in green. Data source: Service Availability and Readiness (SARA) Survey, Somalia 2016. Map production: World Bank Health Team</w:t>
      </w:r>
    </w:p>
    <w:p w14:paraId="738DB867" w14:textId="54E6CE86" w:rsidR="008A5E08" w:rsidRPr="008A5E08" w:rsidRDefault="008A5E08" w:rsidP="008A5E08">
      <w:pPr>
        <w:spacing w:line="240" w:lineRule="auto"/>
        <w:jc w:val="both"/>
        <w:rPr>
          <w:rFonts w:eastAsia="Segoe UI" w:cstheme="minorHAnsi"/>
          <w:lang w:eastAsia="ja-JP"/>
        </w:rPr>
      </w:pPr>
      <w:r w:rsidRPr="008A5E08">
        <w:rPr>
          <w:rFonts w:eastAsia="Segoe UI" w:cstheme="minorHAnsi"/>
          <w:b/>
          <w:lang w:eastAsia="ja-JP"/>
        </w:rPr>
        <w:lastRenderedPageBreak/>
        <w:t>Existing facilities are not adequately equipped</w:t>
      </w:r>
      <w:r w:rsidRPr="008A5E08">
        <w:rPr>
          <w:rFonts w:eastAsia="Segoe UI" w:cstheme="minorHAnsi"/>
          <w:b/>
          <w:i/>
          <w:lang w:eastAsia="ja-JP"/>
        </w:rPr>
        <w:t xml:space="preserve"> </w:t>
      </w:r>
      <w:r w:rsidRPr="008A5E08">
        <w:rPr>
          <w:rFonts w:eastAsia="Segoe UI" w:cstheme="minorHAnsi"/>
          <w:b/>
          <w:lang w:eastAsia="ja-JP"/>
        </w:rPr>
        <w:t xml:space="preserve">with the basic equipment </w:t>
      </w:r>
      <w:r w:rsidRPr="008A5E08">
        <w:rPr>
          <w:rFonts w:eastAsia="Segoe UI" w:cstheme="minorHAnsi"/>
          <w:b/>
          <w:bCs/>
          <w:lang w:eastAsia="ja-JP"/>
        </w:rPr>
        <w:t xml:space="preserve">and supplies </w:t>
      </w:r>
      <w:r w:rsidRPr="008A5E08">
        <w:rPr>
          <w:rFonts w:eastAsia="Segoe UI" w:cstheme="minorHAnsi"/>
          <w:b/>
          <w:lang w:eastAsia="ja-JP"/>
        </w:rPr>
        <w:t>needed to deliver health services</w:t>
      </w:r>
      <w:r w:rsidRPr="008A5E08">
        <w:rPr>
          <w:rFonts w:eastAsia="Segoe UI" w:cstheme="minorHAnsi"/>
          <w:lang w:eastAsia="ja-JP"/>
        </w:rPr>
        <w:t xml:space="preserve">. </w:t>
      </w:r>
      <w:r w:rsidR="00CB48BC" w:rsidRPr="00CB48BC">
        <w:rPr>
          <w:rFonts w:eastAsia="Segoe UI" w:cstheme="minorHAnsi"/>
          <w:lang w:eastAsia="ja-JP"/>
        </w:rPr>
        <w:fldChar w:fldCharType="begin"/>
      </w:r>
      <w:r w:rsidR="00CB48BC" w:rsidRPr="00CB48BC">
        <w:rPr>
          <w:rFonts w:eastAsia="Segoe UI" w:cstheme="minorHAnsi"/>
          <w:lang w:eastAsia="ja-JP"/>
        </w:rPr>
        <w:instrText xml:space="preserve"> REF _Ref71573718 \h  \* MERGEFORMAT </w:instrText>
      </w:r>
      <w:r w:rsidR="00CB48BC" w:rsidRPr="00CB48BC">
        <w:rPr>
          <w:rFonts w:eastAsia="Segoe UI" w:cstheme="minorHAnsi"/>
          <w:lang w:eastAsia="ja-JP"/>
        </w:rPr>
      </w:r>
      <w:r w:rsidR="00CB48BC" w:rsidRPr="00CB48BC">
        <w:rPr>
          <w:rFonts w:eastAsia="Segoe UI" w:cstheme="minorHAnsi"/>
          <w:lang w:eastAsia="ja-JP"/>
        </w:rPr>
        <w:fldChar w:fldCharType="separate"/>
      </w:r>
      <w:r w:rsidR="00C64667" w:rsidRPr="00C64667">
        <w:rPr>
          <w:color w:val="000000" w:themeColor="text1"/>
        </w:rPr>
        <w:t xml:space="preserve">Figure </w:t>
      </w:r>
      <w:r w:rsidR="00C64667" w:rsidRPr="00C64667">
        <w:rPr>
          <w:noProof/>
          <w:color w:val="000000" w:themeColor="text1"/>
        </w:rPr>
        <w:t>34</w:t>
      </w:r>
      <w:r w:rsidR="00CB48BC" w:rsidRPr="00CB48BC">
        <w:rPr>
          <w:rFonts w:eastAsia="Segoe UI" w:cstheme="minorHAnsi"/>
          <w:lang w:eastAsia="ja-JP"/>
        </w:rPr>
        <w:fldChar w:fldCharType="end"/>
      </w:r>
      <w:r w:rsidR="00CB48BC" w:rsidRPr="00CB48BC">
        <w:rPr>
          <w:rFonts w:eastAsia="Segoe UI" w:cstheme="minorHAnsi"/>
          <w:lang w:eastAsia="ja-JP"/>
        </w:rPr>
        <w:t xml:space="preserve"> </w:t>
      </w:r>
      <w:r w:rsidRPr="008A5E08">
        <w:rPr>
          <w:rFonts w:eastAsia="Segoe UI" w:cstheme="minorHAnsi"/>
          <w:lang w:eastAsia="ja-JP"/>
        </w:rPr>
        <w:t xml:space="preserve">shows the percentage of facilities in Somalia with the basic infrastructure and amenities, basic equipment, standard precautions for infection control, laboratory tests, and pharmaceuticals for providing the specified health services. Only 28 percent of all facilities have the required ability to deliver antenatal care services, while only 32 percent of all facilities have capacity to provide child health services. In addition, less than 5 percent of all facilities have the amenities required for tuberculosis, diabetes and cervical cancer screening and treatment. </w:t>
      </w:r>
    </w:p>
    <w:p w14:paraId="1EE838C9" w14:textId="318537C4" w:rsidR="008A5E08" w:rsidRPr="008A5E08" w:rsidRDefault="00CB48BC" w:rsidP="00CB48BC">
      <w:pPr>
        <w:keepNext/>
        <w:spacing w:after="0" w:line="240" w:lineRule="auto"/>
        <w:jc w:val="both"/>
        <w:rPr>
          <w:rFonts w:eastAsia="Segoe UI" w:cstheme="minorHAnsi"/>
          <w:color w:val="000000" w:themeColor="text1"/>
          <w:sz w:val="24"/>
          <w:szCs w:val="24"/>
          <w:lang w:eastAsia="ja-JP"/>
        </w:rPr>
      </w:pPr>
      <w:bookmarkStart w:id="150" w:name="_Ref71573718"/>
      <w:bookmarkStart w:id="151" w:name="_Toc71725952"/>
      <w:r w:rsidRPr="00CB48BC">
        <w:rPr>
          <w:b/>
          <w:color w:val="000000" w:themeColor="text1"/>
        </w:rPr>
        <w:t xml:space="preserve">Figure </w:t>
      </w:r>
      <w:r w:rsidRPr="00CB48BC">
        <w:rPr>
          <w:b/>
          <w:color w:val="000000" w:themeColor="text1"/>
        </w:rPr>
        <w:fldChar w:fldCharType="begin"/>
      </w:r>
      <w:r w:rsidRPr="00CB48BC">
        <w:rPr>
          <w:b/>
          <w:color w:val="000000" w:themeColor="text1"/>
        </w:rPr>
        <w:instrText xml:space="preserve"> SEQ Figure \* ARABIC </w:instrText>
      </w:r>
      <w:r w:rsidRPr="00CB48BC">
        <w:rPr>
          <w:b/>
          <w:color w:val="000000" w:themeColor="text1"/>
        </w:rPr>
        <w:fldChar w:fldCharType="separate"/>
      </w:r>
      <w:r w:rsidR="00C64667">
        <w:rPr>
          <w:b/>
          <w:noProof/>
          <w:color w:val="000000" w:themeColor="text1"/>
        </w:rPr>
        <w:t>34</w:t>
      </w:r>
      <w:r w:rsidRPr="00CB48BC">
        <w:rPr>
          <w:b/>
          <w:color w:val="000000" w:themeColor="text1"/>
        </w:rPr>
        <w:fldChar w:fldCharType="end"/>
      </w:r>
      <w:bookmarkEnd w:id="150"/>
      <w:r w:rsidR="008A5E08" w:rsidRPr="008A5E08">
        <w:rPr>
          <w:rFonts w:eastAsiaTheme="minorEastAsia" w:cstheme="minorHAnsi"/>
          <w:b/>
          <w:bCs/>
          <w:color w:val="000000" w:themeColor="text1"/>
          <w:lang w:eastAsia="ja-JP"/>
        </w:rPr>
        <w:t>: Service readiness of facilities in Somalia</w:t>
      </w:r>
      <w:bookmarkEnd w:id="151"/>
    </w:p>
    <w:p w14:paraId="4DD74A1D" w14:textId="77777777" w:rsidR="008A5E08" w:rsidRPr="008A5E08" w:rsidRDefault="008A5E08" w:rsidP="008A5E08">
      <w:pPr>
        <w:keepNext/>
        <w:spacing w:after="0" w:line="240" w:lineRule="auto"/>
        <w:jc w:val="both"/>
        <w:rPr>
          <w:rFonts w:eastAsia="Segoe UI" w:cstheme="minorHAnsi"/>
          <w:i/>
          <w:sz w:val="20"/>
          <w:szCs w:val="20"/>
          <w:lang w:eastAsia="ja-JP"/>
        </w:rPr>
      </w:pPr>
      <w:r w:rsidRPr="008A5E08">
        <w:rPr>
          <w:rFonts w:eastAsiaTheme="minorEastAsia" w:cstheme="minorHAnsi"/>
          <w:b/>
          <w:bCs/>
          <w:noProof/>
          <w:color w:val="4472C4" w:themeColor="accent1"/>
          <w:lang w:eastAsia="ja-JP"/>
        </w:rPr>
        <w:drawing>
          <wp:inline distT="0" distB="0" distL="0" distR="0" wp14:anchorId="0A699FEA" wp14:editId="40F05FB0">
            <wp:extent cx="5943600" cy="3413156"/>
            <wp:effectExtent l="0" t="0" r="0" b="0"/>
            <wp:docPr id="19" name="Chart 19">
              <a:extLst xmlns:a="http://schemas.openxmlformats.org/drawingml/2006/main">
                <a:ext uri="{FF2B5EF4-FFF2-40B4-BE49-F238E27FC236}">
                  <a16:creationId xmlns:a16="http://schemas.microsoft.com/office/drawing/2014/main" id="{C3167878-9A58-4DB0-A542-5BE5B6550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43253B" w14:textId="77777777" w:rsidR="008A5E08" w:rsidRPr="008A5E08" w:rsidRDefault="008A5E08" w:rsidP="00CB48BC">
      <w:pPr>
        <w:spacing w:after="120" w:line="240" w:lineRule="auto"/>
        <w:jc w:val="both"/>
        <w:rPr>
          <w:rFonts w:eastAsia="Segoe UI" w:cstheme="minorHAnsi"/>
          <w:i/>
          <w:sz w:val="20"/>
          <w:szCs w:val="20"/>
          <w:lang w:eastAsia="ja-JP"/>
        </w:rPr>
      </w:pPr>
      <w:r w:rsidRPr="008A5E08">
        <w:rPr>
          <w:rFonts w:eastAsia="Segoe UI" w:cstheme="minorHAnsi"/>
          <w:i/>
          <w:sz w:val="20"/>
          <w:szCs w:val="20"/>
          <w:lang w:eastAsia="ja-JP"/>
        </w:rPr>
        <w:t>Note: Each column shows the percentage of all facilities (blue fill) with the capacity to deliver the indicated health service. Data source: The Somalia Service Availability and Readiness Assessment Survey, 2016.</w:t>
      </w:r>
    </w:p>
    <w:p w14:paraId="5F0D7DA5" w14:textId="46E77820" w:rsidR="008A5E08" w:rsidRDefault="008A5E08" w:rsidP="008A5E08">
      <w:pPr>
        <w:spacing w:line="240" w:lineRule="auto"/>
        <w:jc w:val="both"/>
        <w:rPr>
          <w:rFonts w:eastAsia="Segoe UI"/>
          <w:lang w:eastAsia="ja-JP"/>
        </w:rPr>
      </w:pPr>
      <w:r w:rsidRPr="008A5E08">
        <w:rPr>
          <w:rFonts w:eastAsia="Segoe UI"/>
          <w:b/>
          <w:lang w:eastAsia="ja-JP"/>
        </w:rPr>
        <w:t>There is a severe shortage in the supply of frontline health workers in Somalia, with the few workers inequitably distributed across the country.</w:t>
      </w:r>
      <w:r w:rsidRPr="008A5E08">
        <w:rPr>
          <w:rFonts w:eastAsia="Segoe UI"/>
          <w:lang w:eastAsia="ja-JP"/>
        </w:rPr>
        <w:t xml:space="preserve"> The number of core health care providers (i.e., generalist medical doctors, specialist medical doctors, non-physician clinicians, nursing professionals, and midwifery professionals) per 10,000 population was estimated to be 4.28 as of 2016, below the SSA average of 13.3 per 10,000 population and WHO recommendation of 23 core health workers per 10,000 population.</w:t>
      </w:r>
      <w:r w:rsidRPr="008A5E08">
        <w:rPr>
          <w:rFonts w:eastAsia="Segoe UI"/>
          <w:vertAlign w:val="superscript"/>
          <w:lang w:eastAsia="ja-JP"/>
        </w:rPr>
        <w:footnoteReference w:id="65"/>
      </w:r>
      <w:r w:rsidRPr="008A5E08">
        <w:rPr>
          <w:rFonts w:eastAsia="Segoe UI"/>
          <w:lang w:eastAsia="ja-JP"/>
        </w:rPr>
        <w:t xml:space="preserve"> Puntland and Somaliland have a slightly higher core workforce density than regions in the four emerging states which comprise the former South-Central zone (</w:t>
      </w:r>
      <w:r w:rsidR="00CB48BC" w:rsidRPr="00976EBA">
        <w:rPr>
          <w:rFonts w:eastAsia="Segoe UI"/>
          <w:lang w:eastAsia="ja-JP"/>
        </w:rPr>
        <w:fldChar w:fldCharType="begin"/>
      </w:r>
      <w:r w:rsidR="00CB48BC" w:rsidRPr="00976EBA">
        <w:rPr>
          <w:rFonts w:eastAsia="Segoe UI"/>
          <w:lang w:eastAsia="ja-JP"/>
        </w:rPr>
        <w:instrText xml:space="preserve"> REF _Ref71573794 \h </w:instrText>
      </w:r>
      <w:r w:rsidR="00976EBA" w:rsidRPr="00976EBA">
        <w:rPr>
          <w:rFonts w:eastAsia="Segoe UI"/>
          <w:lang w:eastAsia="ja-JP"/>
        </w:rPr>
        <w:instrText xml:space="preserve"> \* MERGEFORMAT </w:instrText>
      </w:r>
      <w:r w:rsidR="00CB48BC" w:rsidRPr="00976EBA">
        <w:rPr>
          <w:rFonts w:eastAsia="Segoe UI"/>
          <w:lang w:eastAsia="ja-JP"/>
        </w:rPr>
      </w:r>
      <w:r w:rsidR="00CB48BC" w:rsidRPr="00976EBA">
        <w:rPr>
          <w:rFonts w:eastAsia="Segoe UI"/>
          <w:lang w:eastAsia="ja-JP"/>
        </w:rPr>
        <w:fldChar w:fldCharType="separate"/>
      </w:r>
      <w:r w:rsidR="00C64667" w:rsidRPr="00C64667">
        <w:rPr>
          <w:color w:val="000000" w:themeColor="text1"/>
        </w:rPr>
        <w:t xml:space="preserve">Figure </w:t>
      </w:r>
      <w:r w:rsidR="00C64667" w:rsidRPr="00C64667">
        <w:rPr>
          <w:noProof/>
          <w:color w:val="000000" w:themeColor="text1"/>
        </w:rPr>
        <w:t>35</w:t>
      </w:r>
      <w:r w:rsidR="00CB48BC" w:rsidRPr="00976EBA">
        <w:rPr>
          <w:rFonts w:eastAsia="Segoe UI"/>
          <w:lang w:eastAsia="ja-JP"/>
        </w:rPr>
        <w:fldChar w:fldCharType="end"/>
      </w:r>
      <w:r w:rsidR="00CB48BC" w:rsidRPr="00976EBA">
        <w:rPr>
          <w:rFonts w:eastAsia="Segoe UI"/>
          <w:lang w:eastAsia="ja-JP"/>
        </w:rPr>
        <w:t>)</w:t>
      </w:r>
      <w:r w:rsidR="00976EBA" w:rsidRPr="00976EBA">
        <w:rPr>
          <w:rFonts w:eastAsia="Segoe UI"/>
          <w:lang w:eastAsia="ja-JP"/>
        </w:rPr>
        <w:t>.</w:t>
      </w:r>
      <w:r w:rsidR="00976EBA">
        <w:rPr>
          <w:rFonts w:eastAsia="Segoe UI"/>
          <w:lang w:eastAsia="ja-JP"/>
        </w:rPr>
        <w:t xml:space="preserve"> </w:t>
      </w:r>
      <w:r w:rsidRPr="008A5E08">
        <w:rPr>
          <w:rFonts w:eastAsia="Segoe UI"/>
          <w:lang w:eastAsia="ja-JP"/>
        </w:rPr>
        <w:t>In the interim, expatriate medical professionals, whose costs of hiring and retention exceed national and regional averages, have been used as part of efforts fill the gap in supply.</w:t>
      </w:r>
      <w:r w:rsidRPr="008A5E08">
        <w:rPr>
          <w:rFonts w:eastAsia="Segoe UI"/>
          <w:vertAlign w:val="superscript"/>
          <w:lang w:eastAsia="ja-JP"/>
        </w:rPr>
        <w:footnoteReference w:id="66"/>
      </w:r>
    </w:p>
    <w:p w14:paraId="118B3BFD" w14:textId="2589118F" w:rsidR="00976EBA" w:rsidRDefault="00976EBA" w:rsidP="008A5E08">
      <w:pPr>
        <w:spacing w:line="240" w:lineRule="auto"/>
        <w:jc w:val="both"/>
        <w:rPr>
          <w:rFonts w:eastAsia="Segoe UI"/>
          <w:lang w:eastAsia="ja-JP"/>
        </w:rPr>
      </w:pPr>
    </w:p>
    <w:p w14:paraId="16735AB7" w14:textId="542F2933" w:rsidR="00976EBA" w:rsidRDefault="00976EBA" w:rsidP="008A5E08">
      <w:pPr>
        <w:spacing w:line="240" w:lineRule="auto"/>
        <w:jc w:val="both"/>
        <w:rPr>
          <w:rFonts w:eastAsia="Segoe UI"/>
          <w:lang w:eastAsia="ja-JP"/>
        </w:rPr>
      </w:pPr>
    </w:p>
    <w:p w14:paraId="304C7893" w14:textId="77777777" w:rsidR="00976EBA" w:rsidRPr="008A5E08" w:rsidRDefault="00976EBA" w:rsidP="008A5E08">
      <w:pPr>
        <w:spacing w:line="240" w:lineRule="auto"/>
        <w:jc w:val="both"/>
        <w:rPr>
          <w:rFonts w:eastAsia="Segoe UI" w:cstheme="minorHAnsi"/>
          <w:lang w:eastAsia="ja-JP"/>
        </w:rPr>
      </w:pPr>
    </w:p>
    <w:p w14:paraId="239A1F1A" w14:textId="0EE2F189" w:rsidR="008A5E08" w:rsidRPr="008A5E08" w:rsidRDefault="00CB48BC" w:rsidP="00CB48BC">
      <w:pPr>
        <w:spacing w:after="0" w:line="240" w:lineRule="exact"/>
        <w:jc w:val="both"/>
        <w:rPr>
          <w:rFonts w:eastAsia="Segoe UI" w:cstheme="minorHAnsi"/>
          <w:i/>
          <w:iCs/>
          <w:color w:val="000000" w:themeColor="text1"/>
          <w:sz w:val="20"/>
          <w:szCs w:val="20"/>
          <w:lang w:eastAsia="ja-JP"/>
        </w:rPr>
      </w:pPr>
      <w:bookmarkStart w:id="152" w:name="_Ref71573794"/>
      <w:bookmarkStart w:id="153" w:name="_Toc71725953"/>
      <w:r w:rsidRPr="00315302">
        <w:rPr>
          <w:b/>
          <w:i/>
          <w:iCs/>
          <w:color w:val="000000" w:themeColor="text1"/>
        </w:rPr>
        <w:lastRenderedPageBreak/>
        <w:t xml:space="preserve">Figure </w:t>
      </w:r>
      <w:r w:rsidRPr="00315302">
        <w:rPr>
          <w:b/>
          <w:i/>
          <w:iCs/>
          <w:color w:val="000000" w:themeColor="text1"/>
        </w:rPr>
        <w:fldChar w:fldCharType="begin"/>
      </w:r>
      <w:r w:rsidRPr="00315302">
        <w:rPr>
          <w:b/>
          <w:i/>
          <w:iCs/>
          <w:color w:val="000000" w:themeColor="text1"/>
        </w:rPr>
        <w:instrText xml:space="preserve"> SEQ Figure \* ARABIC </w:instrText>
      </w:r>
      <w:r w:rsidRPr="00315302">
        <w:rPr>
          <w:b/>
          <w:i/>
          <w:iCs/>
          <w:color w:val="000000" w:themeColor="text1"/>
        </w:rPr>
        <w:fldChar w:fldCharType="separate"/>
      </w:r>
      <w:r w:rsidR="001079AA">
        <w:rPr>
          <w:b/>
          <w:i/>
          <w:iCs/>
          <w:noProof/>
          <w:color w:val="000000" w:themeColor="text1"/>
        </w:rPr>
        <w:t>35</w:t>
      </w:r>
      <w:r w:rsidRPr="00315302">
        <w:rPr>
          <w:b/>
          <w:i/>
          <w:iCs/>
          <w:color w:val="000000" w:themeColor="text1"/>
        </w:rPr>
        <w:fldChar w:fldCharType="end"/>
      </w:r>
      <w:bookmarkEnd w:id="152"/>
      <w:r w:rsidR="008A5E08" w:rsidRPr="008A5E08">
        <w:rPr>
          <w:rFonts w:eastAsia="Segoe UI"/>
          <w:b/>
          <w:bCs/>
          <w:i/>
          <w:iCs/>
          <w:color w:val="000000" w:themeColor="text1"/>
          <w:lang w:eastAsia="ja-JP"/>
        </w:rPr>
        <w:t>: Core health worker density per 10,000 population in Somalia</w:t>
      </w:r>
      <w:bookmarkEnd w:id="153"/>
      <w:r w:rsidR="008A5E08" w:rsidRPr="008A5E08">
        <w:rPr>
          <w:rFonts w:eastAsia="Segoe UI"/>
          <w:i/>
          <w:iCs/>
          <w:color w:val="000000" w:themeColor="text1"/>
          <w:sz w:val="20"/>
          <w:szCs w:val="20"/>
          <w:lang w:eastAsia="ja-JP"/>
        </w:rPr>
        <w:t xml:space="preserve"> </w:t>
      </w:r>
    </w:p>
    <w:p w14:paraId="26DA2B97" w14:textId="7A05D44C" w:rsidR="008A5E08" w:rsidRPr="008A5E08" w:rsidRDefault="00976EBA" w:rsidP="008A5E08">
      <w:pPr>
        <w:spacing w:after="0" w:line="240" w:lineRule="auto"/>
        <w:jc w:val="both"/>
        <w:rPr>
          <w:rFonts w:eastAsia="Segoe UI" w:cstheme="minorHAnsi"/>
          <w:lang w:eastAsia="ja-JP"/>
        </w:rPr>
      </w:pPr>
      <w:r w:rsidRPr="008A5E08">
        <w:rPr>
          <w:rFonts w:eastAsiaTheme="minorEastAsia" w:cstheme="minorHAnsi"/>
          <w:i/>
          <w:iCs/>
          <w:noProof/>
          <w:lang w:eastAsia="ja-JP"/>
        </w:rPr>
        <w:drawing>
          <wp:anchor distT="0" distB="0" distL="114300" distR="114300" simplePos="0" relativeHeight="251663360" behindDoc="0" locked="0" layoutInCell="1" allowOverlap="1" wp14:anchorId="598F40FA" wp14:editId="40EEA92F">
            <wp:simplePos x="0" y="0"/>
            <wp:positionH relativeFrom="margin">
              <wp:align>left</wp:align>
            </wp:positionH>
            <wp:positionV relativeFrom="paragraph">
              <wp:posOffset>17780</wp:posOffset>
            </wp:positionV>
            <wp:extent cx="2743200" cy="3041650"/>
            <wp:effectExtent l="0" t="0" r="0" b="6350"/>
            <wp:wrapSquare wrapText="bothSides"/>
            <wp:docPr id="1736502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6">
                      <a:extLst>
                        <a:ext uri="{28A0092B-C50C-407E-A947-70E740481C1C}">
                          <a14:useLocalDpi xmlns:a14="http://schemas.microsoft.com/office/drawing/2010/main" val="0"/>
                        </a:ext>
                      </a:extLst>
                    </a:blip>
                    <a:stretch>
                      <a:fillRect/>
                    </a:stretch>
                  </pic:blipFill>
                  <pic:spPr>
                    <a:xfrm>
                      <a:off x="0" y="0"/>
                      <a:ext cx="2746999" cy="3046176"/>
                    </a:xfrm>
                    <a:prstGeom prst="rect">
                      <a:avLst/>
                    </a:prstGeom>
                  </pic:spPr>
                </pic:pic>
              </a:graphicData>
            </a:graphic>
            <wp14:sizeRelH relativeFrom="page">
              <wp14:pctWidth>0</wp14:pctWidth>
            </wp14:sizeRelH>
            <wp14:sizeRelV relativeFrom="page">
              <wp14:pctHeight>0</wp14:pctHeight>
            </wp14:sizeRelV>
          </wp:anchor>
        </w:drawing>
      </w:r>
      <w:r w:rsidR="008A5E08" w:rsidRPr="008A5E08">
        <w:rPr>
          <w:rFonts w:eastAsia="Segoe UI" w:cstheme="minorHAnsi"/>
          <w:b/>
          <w:lang w:eastAsia="ja-JP"/>
        </w:rPr>
        <w:t xml:space="preserve">Utilization of both outpatient and inpatient services remains low across Somalia. </w:t>
      </w:r>
      <w:r w:rsidR="008A5E08" w:rsidRPr="008A5E08">
        <w:rPr>
          <w:rFonts w:eastAsia="Segoe UI" w:cstheme="minorHAnsi"/>
          <w:lang w:eastAsia="ja-JP"/>
        </w:rPr>
        <w:t>The outpatient service utilization rate, measured as the number of outpatient visits for ambulant care per capita across the country, is 0.23 visits per person per year while the inpatient service utilization rate, measured as the number of hospital discharges per 100 population, is about 0.81.</w:t>
      </w:r>
      <w:r w:rsidR="008A5E08" w:rsidRPr="008A5E08">
        <w:rPr>
          <w:rFonts w:eastAsia="Segoe UI" w:cstheme="minorHAnsi"/>
          <w:vertAlign w:val="superscript"/>
          <w:lang w:eastAsia="ja-JP"/>
        </w:rPr>
        <w:footnoteReference w:id="67"/>
      </w:r>
      <w:r w:rsidR="008A5E08" w:rsidRPr="008A5E08">
        <w:rPr>
          <w:rFonts w:eastAsia="Segoe UI" w:cstheme="minorHAnsi"/>
          <w:lang w:eastAsia="ja-JP"/>
        </w:rPr>
        <w:t xml:space="preserve"> </w:t>
      </w:r>
      <w:r w:rsidR="008A5E08" w:rsidRPr="008A5E08">
        <w:rPr>
          <w:rFonts w:eastAsiaTheme="minorEastAsia" w:cstheme="minorHAnsi"/>
          <w:lang w:eastAsia="ja-JP"/>
        </w:rPr>
        <w:t>Significant demand side barriers magnify supply side problems, and are responsible for the low service utilization rates across the country.</w:t>
      </w:r>
      <w:r w:rsidR="008A5E08" w:rsidRPr="008A5E08">
        <w:rPr>
          <w:rFonts w:eastAsiaTheme="minorEastAsia" w:cstheme="minorHAnsi"/>
          <w:b/>
          <w:bCs/>
          <w:lang w:eastAsia="ja-JP"/>
        </w:rPr>
        <w:t xml:space="preserve"> </w:t>
      </w:r>
      <w:r w:rsidR="008A5E08" w:rsidRPr="008A5E08">
        <w:rPr>
          <w:rFonts w:eastAsiaTheme="minorEastAsia" w:cstheme="minorHAnsi"/>
          <w:lang w:eastAsia="ja-JP"/>
        </w:rPr>
        <w:t>Among women, these barriers include financial constraints with about 65 percent of all women aged 15-49 surveyed in the 2020 SHDS citing this as a major constraint to accessing needed healthcare, and distance to health facility which is identified as major constraint by 62 percent of women. In addition, 42 percent of the women cite the need for permission from the household head to access healthcare as a major barrier.</w:t>
      </w:r>
      <w:r w:rsidR="008A5E08" w:rsidRPr="008A5E08">
        <w:rPr>
          <w:rFonts w:eastAsiaTheme="minorEastAsia" w:cstheme="minorHAnsi"/>
          <w:vertAlign w:val="superscript"/>
          <w:lang w:eastAsia="ja-JP"/>
        </w:rPr>
        <w:footnoteReference w:id="68"/>
      </w:r>
    </w:p>
    <w:p w14:paraId="5318E86A" w14:textId="77777777" w:rsidR="00315302" w:rsidRPr="008A5E08" w:rsidRDefault="00315302" w:rsidP="00315302">
      <w:pPr>
        <w:spacing w:line="240" w:lineRule="exact"/>
        <w:jc w:val="both"/>
        <w:rPr>
          <w:rFonts w:eastAsia="Segoe UI" w:cstheme="minorHAnsi"/>
          <w:i/>
          <w:sz w:val="20"/>
          <w:szCs w:val="20"/>
          <w:lang w:eastAsia="ja-JP"/>
        </w:rPr>
      </w:pPr>
      <w:r w:rsidRPr="008A5E08">
        <w:rPr>
          <w:rFonts w:eastAsia="Segoe UI" w:cstheme="minorHAnsi"/>
          <w:i/>
          <w:sz w:val="20"/>
          <w:szCs w:val="20"/>
          <w:lang w:eastAsia="ja-JP"/>
        </w:rPr>
        <w:t>Note: Lower values are in red, middle-range values are in orange while higher values are in green. Data source: Service Availability and Readiness (SARA) Survey, Somalia 2016. Map production: World Bank Health Team</w:t>
      </w:r>
    </w:p>
    <w:p w14:paraId="61CD235F" w14:textId="77777777" w:rsidR="008A5E08" w:rsidRPr="008A5E08" w:rsidRDefault="008A5E08" w:rsidP="00976EBA">
      <w:pPr>
        <w:spacing w:after="120" w:line="240" w:lineRule="auto"/>
        <w:jc w:val="both"/>
        <w:rPr>
          <w:rFonts w:eastAsiaTheme="minorEastAsia" w:cstheme="minorHAnsi"/>
          <w:i/>
          <w:lang w:eastAsia="ja-JP"/>
        </w:rPr>
      </w:pPr>
      <w:r w:rsidRPr="008A5E08">
        <w:rPr>
          <w:rFonts w:eastAsia="Times New Roman" w:cstheme="minorHAnsi"/>
          <w:color w:val="000000"/>
          <w:u w:val="single"/>
          <w:shd w:val="clear" w:color="auto" w:fill="FFFFFF"/>
        </w:rPr>
        <w:t>Sector Stewardship</w:t>
      </w:r>
      <w:r w:rsidRPr="008A5E08">
        <w:rPr>
          <w:rFonts w:eastAsiaTheme="minorEastAsia" w:cstheme="minorHAnsi"/>
          <w:i/>
          <w:lang w:eastAsia="ja-JP"/>
        </w:rPr>
        <w:t xml:space="preserve"> </w:t>
      </w:r>
    </w:p>
    <w:p w14:paraId="54E2F2EF" w14:textId="77777777" w:rsidR="008A5E08" w:rsidRPr="008A5E08" w:rsidRDefault="008A5E08" w:rsidP="0002211B">
      <w:pPr>
        <w:shd w:val="clear" w:color="auto" w:fill="FFFFFF"/>
        <w:spacing w:after="120" w:line="240" w:lineRule="auto"/>
        <w:jc w:val="both"/>
        <w:rPr>
          <w:rFonts w:eastAsiaTheme="minorEastAsia" w:cstheme="minorHAnsi"/>
          <w:lang w:eastAsia="ja-JP"/>
        </w:rPr>
      </w:pPr>
      <w:r w:rsidRPr="008A5E08">
        <w:rPr>
          <w:rFonts w:eastAsiaTheme="minorEastAsia"/>
          <w:lang w:eastAsia="ja-JP"/>
        </w:rPr>
        <w:t>Somalia’s Federal Ministry of Health (</w:t>
      </w:r>
      <w:proofErr w:type="spellStart"/>
      <w:r w:rsidRPr="008A5E08">
        <w:rPr>
          <w:rFonts w:eastAsiaTheme="minorEastAsia"/>
          <w:lang w:eastAsia="ja-JP"/>
        </w:rPr>
        <w:t>FMoH</w:t>
      </w:r>
      <w:proofErr w:type="spellEnd"/>
      <w:r w:rsidRPr="008A5E08">
        <w:rPr>
          <w:rFonts w:eastAsiaTheme="minorEastAsia"/>
          <w:lang w:eastAsia="ja-JP"/>
        </w:rPr>
        <w:t>), formed with the FGS in 2012, is nascent and in the process of developing its role as the steward of the health sector. In addition, Somalia’s lengthy constitutional review process is yet to be concluded, which is expected to further clarify the roles between the FGS and FMS. While definitions of health sector stewardship vary within the literature and public health organizations, it is broadly defined as “the wide range of functions carried out seeking to achieve national health policy objectives”.</w:t>
      </w:r>
      <w:r w:rsidRPr="008A5E08">
        <w:rPr>
          <w:rFonts w:eastAsiaTheme="minorEastAsia"/>
          <w:vertAlign w:val="superscript"/>
          <w:lang w:eastAsia="ja-JP"/>
        </w:rPr>
        <w:footnoteReference w:id="69"/>
      </w:r>
      <w:r w:rsidRPr="008A5E08">
        <w:rPr>
          <w:rFonts w:eastAsiaTheme="minorEastAsia"/>
          <w:lang w:eastAsia="ja-JP"/>
        </w:rPr>
        <w:t xml:space="preserve"> Elaborating on the WHO’s health systems function, Murray and </w:t>
      </w:r>
      <w:proofErr w:type="spellStart"/>
      <w:r w:rsidRPr="008A5E08">
        <w:rPr>
          <w:rFonts w:eastAsiaTheme="minorEastAsia"/>
          <w:lang w:eastAsia="ja-JP"/>
        </w:rPr>
        <w:t>Frenk</w:t>
      </w:r>
      <w:proofErr w:type="spellEnd"/>
      <w:r w:rsidRPr="008A5E08">
        <w:rPr>
          <w:rFonts w:eastAsiaTheme="minorEastAsia"/>
          <w:lang w:eastAsia="ja-JP"/>
        </w:rPr>
        <w:t xml:space="preserve"> (2000) identify six core health sector stewardship functions: system design, performance assessment, priority setting, intersectoral advocacy, regulation, and consumer protection. This section will focus specifically on: (i) policy and priority setting, (ii) sector coordination, (iii) regulation, and (iv) health information systems and performance management. </w:t>
      </w:r>
    </w:p>
    <w:p w14:paraId="76010E64" w14:textId="77777777" w:rsidR="008A5E08" w:rsidRPr="008A5E08" w:rsidRDefault="008A5E08" w:rsidP="008A5E08">
      <w:pPr>
        <w:spacing w:after="120" w:line="240" w:lineRule="auto"/>
        <w:jc w:val="both"/>
        <w:rPr>
          <w:rFonts w:eastAsiaTheme="minorEastAsia" w:cstheme="minorHAnsi"/>
          <w:i/>
          <w:lang w:eastAsia="ja-JP"/>
        </w:rPr>
      </w:pPr>
      <w:r w:rsidRPr="008A5E08">
        <w:rPr>
          <w:rFonts w:eastAsiaTheme="minorEastAsia" w:cstheme="minorHAnsi"/>
          <w:i/>
          <w:lang w:eastAsia="ja-JP"/>
        </w:rPr>
        <w:t>Policy and Priority Setting</w:t>
      </w:r>
    </w:p>
    <w:p w14:paraId="2192177A" w14:textId="77777777" w:rsidR="008A5E08" w:rsidRPr="008A5E08" w:rsidRDefault="008A5E08" w:rsidP="0002211B">
      <w:pPr>
        <w:spacing w:after="120" w:line="240" w:lineRule="auto"/>
        <w:jc w:val="both"/>
        <w:rPr>
          <w:rFonts w:eastAsiaTheme="minorEastAsia" w:cstheme="minorHAnsi"/>
          <w:lang w:eastAsia="ja-JP"/>
        </w:rPr>
      </w:pPr>
      <w:r w:rsidRPr="008A5E08">
        <w:rPr>
          <w:rFonts w:eastAsiaTheme="minorEastAsia" w:cstheme="minorHAnsi"/>
          <w:b/>
          <w:lang w:eastAsia="ja-JP"/>
        </w:rPr>
        <w:t xml:space="preserve">The </w:t>
      </w:r>
      <w:proofErr w:type="spellStart"/>
      <w:r w:rsidRPr="008A5E08">
        <w:rPr>
          <w:rFonts w:eastAsiaTheme="minorEastAsia" w:cstheme="minorHAnsi"/>
          <w:b/>
          <w:lang w:eastAsia="ja-JP"/>
        </w:rPr>
        <w:t>FMoH</w:t>
      </w:r>
      <w:proofErr w:type="spellEnd"/>
      <w:r w:rsidRPr="008A5E08">
        <w:rPr>
          <w:rFonts w:eastAsiaTheme="minorEastAsia" w:cstheme="minorHAnsi"/>
          <w:b/>
          <w:lang w:eastAsia="ja-JP"/>
        </w:rPr>
        <w:t>, in coordination with the FMSs, develops policies to guide health service delivery</w:t>
      </w:r>
      <w:r w:rsidRPr="008A5E08">
        <w:rPr>
          <w:rFonts w:eastAsiaTheme="minorEastAsia" w:cstheme="minorHAnsi"/>
          <w:lang w:eastAsia="ja-JP"/>
        </w:rPr>
        <w:t xml:space="preserve">. The FGS prepared the Second Health Sector Strategic Plan (HSSP-II; 2017–2021), which is in line with the National Development Plan (NDP; 2020–2024). Recently, the Reproductive Maternal, Neonatal, Child and Adolescent Health (RMNCAH) Strategy 2020–2024 was validated. While these policies aim to address relevant issues to Somalia, their implementation faces challenges as the scope of the strategies is beyond available resources and implementation capacity. In 2020, the government revised the EPHS, developing a comprehensive package of health services, based on the most recent burden of disease data and other updated information. Balancing the breadth of coverage and the breadth of services within the EPHS package within a limited available resource envelope was a key challenge in updating the 2020 EPHS. The </w:t>
      </w:r>
      <w:r w:rsidRPr="008A5E08">
        <w:rPr>
          <w:rFonts w:eastAsiaTheme="minorEastAsia" w:cstheme="minorHAnsi"/>
          <w:lang w:eastAsia="ja-JP"/>
        </w:rPr>
        <w:lastRenderedPageBreak/>
        <w:t xml:space="preserve">government is in the process of coordinating partners to effectively align around the 2020 EPHS, with consideration for available resources as well as implementation capacity. </w:t>
      </w:r>
    </w:p>
    <w:p w14:paraId="72D5AE4F" w14:textId="77777777" w:rsidR="008A5E08" w:rsidRPr="008A5E08" w:rsidRDefault="008A5E08" w:rsidP="008A5E08">
      <w:pPr>
        <w:spacing w:after="120" w:line="240" w:lineRule="auto"/>
        <w:jc w:val="both"/>
        <w:rPr>
          <w:rFonts w:eastAsiaTheme="minorEastAsia" w:cstheme="minorHAnsi"/>
          <w:i/>
          <w:lang w:eastAsia="ja-JP"/>
        </w:rPr>
      </w:pPr>
      <w:r w:rsidRPr="008A5E08">
        <w:rPr>
          <w:rFonts w:eastAsiaTheme="minorEastAsia" w:cstheme="minorHAnsi"/>
          <w:i/>
          <w:lang w:eastAsia="ja-JP"/>
        </w:rPr>
        <w:t>Sector Coordination</w:t>
      </w:r>
    </w:p>
    <w:p w14:paraId="5739C2EB" w14:textId="77777777" w:rsidR="0002211B" w:rsidRDefault="008A5E08" w:rsidP="0002211B">
      <w:pPr>
        <w:spacing w:after="120" w:line="240" w:lineRule="auto"/>
        <w:jc w:val="both"/>
        <w:rPr>
          <w:rFonts w:eastAsiaTheme="minorEastAsia" w:cstheme="minorHAnsi"/>
          <w:lang w:eastAsia="ja-JP"/>
        </w:rPr>
      </w:pPr>
      <w:r w:rsidRPr="008A5E08">
        <w:rPr>
          <w:rFonts w:eastAsiaTheme="minorEastAsia" w:cstheme="minorHAnsi"/>
          <w:b/>
          <w:lang w:eastAsia="ja-JP"/>
        </w:rPr>
        <w:t xml:space="preserve">Government health sector coordination capacity is weak, partially as a function of the </w:t>
      </w:r>
      <w:proofErr w:type="spellStart"/>
      <w:r w:rsidRPr="008A5E08">
        <w:rPr>
          <w:rFonts w:eastAsiaTheme="minorEastAsia" w:cstheme="minorHAnsi"/>
          <w:b/>
          <w:lang w:eastAsia="ja-JP"/>
        </w:rPr>
        <w:t>FMoH’s</w:t>
      </w:r>
      <w:proofErr w:type="spellEnd"/>
      <w:r w:rsidRPr="008A5E08">
        <w:rPr>
          <w:rFonts w:eastAsiaTheme="minorEastAsia" w:cstheme="minorHAnsi"/>
          <w:b/>
          <w:lang w:eastAsia="ja-JP"/>
        </w:rPr>
        <w:t xml:space="preserve"> nascent state and partially a </w:t>
      </w:r>
      <w:r w:rsidRPr="008A5E08">
        <w:rPr>
          <w:rFonts w:eastAsiaTheme="minorEastAsia" w:cstheme="minorHAnsi"/>
          <w:b/>
          <w:bCs/>
          <w:lang w:eastAsia="ja-JP"/>
        </w:rPr>
        <w:t xml:space="preserve">result of substantial fragmentation in both country and donor financing and interventions. </w:t>
      </w:r>
      <w:r w:rsidRPr="008A5E08">
        <w:rPr>
          <w:rFonts w:eastAsiaTheme="minorEastAsia" w:cstheme="minorHAnsi"/>
          <w:lang w:eastAsia="ja-JP"/>
        </w:rPr>
        <w:t>Health development coordination has been primarily through the NDP coordination structure, with health coordination under the Social and Human Development pillar along with education and water/sanitation. The Human Development Pillar has Government leadership from the health, Water and Sanitation, and Education sectors, with donor co-chairs.  The platform does not have participation from all FMSs, and follow-through on actions and specific focus on the health sector are limited. Each development partner and financier has been running separate coordination structures for their programs. The country has an active humanitarian cluster system, which is also fragmented from development coordination in the health sector. The attempt for coordinated financing and service delivery around the common EPHS by the key partners between 2013 and 2016 demonstrated an effective mechanism. However, due to the closure of the program and changes to political structure, the health sector coordination committee has been constrained. The GFF in collaboration with other partners is currently supporting the government’s efforts to set up a government-led health sector multi-stakeholder country coordination platform with support from GFF to accelerate efforts to align resources around government priorities for improved health status in the country through identifying and filling gaps in service delivery, institutional capacity, and  health system building.</w:t>
      </w:r>
    </w:p>
    <w:p w14:paraId="08A3F3FB" w14:textId="3F2706B9" w:rsidR="008A5E08" w:rsidRPr="008A5E08" w:rsidRDefault="008A5E08" w:rsidP="0002211B">
      <w:pPr>
        <w:spacing w:after="120" w:line="240" w:lineRule="auto"/>
        <w:jc w:val="both"/>
        <w:rPr>
          <w:rFonts w:eastAsiaTheme="minorEastAsia" w:cstheme="minorHAnsi"/>
          <w:lang w:eastAsia="ja-JP"/>
        </w:rPr>
      </w:pPr>
      <w:r w:rsidRPr="008A5E08">
        <w:rPr>
          <w:rFonts w:eastAsiaTheme="minorEastAsia" w:cstheme="minorHAnsi"/>
          <w:b/>
          <w:bCs/>
          <w:lang w:eastAsia="ja-JP"/>
        </w:rPr>
        <w:t>Inter-governmental coordination in the health sector is also limited, reflecting political complexity and the nascent state of federalism.</w:t>
      </w:r>
      <w:r w:rsidRPr="008A5E08">
        <w:rPr>
          <w:rFonts w:eastAsiaTheme="minorEastAsia" w:cstheme="minorHAnsi"/>
          <w:lang w:eastAsia="ja-JP"/>
        </w:rPr>
        <w:t xml:space="preserve"> Building on the successful experience of inter-governmental coordination between Ministries of Finance at the FGS and FMS levels, and given the importance of effective inter-governmental policy dialogue for service delivery in federations, ad hoc inter-governmental coordination activities in various sectors, including health, are being formalized.</w:t>
      </w:r>
    </w:p>
    <w:p w14:paraId="130F4FD9" w14:textId="77777777" w:rsidR="008A5E08" w:rsidRPr="008A5E08" w:rsidRDefault="008A5E08" w:rsidP="008A5E08">
      <w:pPr>
        <w:spacing w:after="120" w:line="240" w:lineRule="auto"/>
        <w:jc w:val="both"/>
        <w:rPr>
          <w:rFonts w:eastAsiaTheme="minorEastAsia" w:cstheme="minorHAnsi"/>
          <w:i/>
          <w:lang w:eastAsia="ja-JP"/>
        </w:rPr>
      </w:pPr>
      <w:r w:rsidRPr="008A5E08">
        <w:rPr>
          <w:rFonts w:eastAsiaTheme="minorEastAsia" w:cstheme="minorHAnsi"/>
          <w:i/>
          <w:lang w:eastAsia="ja-JP"/>
        </w:rPr>
        <w:t>Regulation</w:t>
      </w:r>
    </w:p>
    <w:p w14:paraId="66B80129" w14:textId="09E9E404" w:rsidR="008A5E08" w:rsidRDefault="008A5E08" w:rsidP="00F9733B">
      <w:pPr>
        <w:spacing w:after="120" w:line="240" w:lineRule="auto"/>
        <w:jc w:val="both"/>
        <w:rPr>
          <w:rFonts w:eastAsiaTheme="minorEastAsia" w:cstheme="minorHAnsi"/>
          <w:lang w:eastAsia="ja-JP"/>
        </w:rPr>
      </w:pPr>
      <w:r w:rsidRPr="008A5E08">
        <w:rPr>
          <w:rFonts w:eastAsiaTheme="minorEastAsia" w:cstheme="minorHAnsi"/>
          <w:b/>
          <w:bCs/>
          <w:lang w:eastAsia="ja-JP"/>
        </w:rPr>
        <w:t xml:space="preserve">Due to the legacy of state collapse and conflict, the Somali health sector is largely unregulated, including for pharmaceuticals, medical services, supply, and registration and licensing of health workers. </w:t>
      </w:r>
      <w:r w:rsidRPr="008A5E08">
        <w:rPr>
          <w:rFonts w:eastAsiaTheme="minorEastAsia" w:cstheme="minorHAnsi"/>
          <w:lang w:eastAsia="ja-JP"/>
        </w:rPr>
        <w:t xml:space="preserve">Although Somaliland and Puntland have more developed regulatory frameworks in some areas, implementation remains weak. Regulation of the health sector is fundamental to translating health policy goals into outcomes </w:t>
      </w:r>
      <w:proofErr w:type="gramStart"/>
      <w:r w:rsidRPr="008A5E08">
        <w:rPr>
          <w:rFonts w:eastAsiaTheme="minorEastAsia" w:cstheme="minorHAnsi"/>
          <w:lang w:eastAsia="ja-JP"/>
        </w:rPr>
        <w:t>through the use of</w:t>
      </w:r>
      <w:proofErr w:type="gramEnd"/>
      <w:r w:rsidRPr="008A5E08">
        <w:rPr>
          <w:rFonts w:eastAsiaTheme="minorEastAsia" w:cstheme="minorHAnsi"/>
          <w:lang w:eastAsia="ja-JP"/>
        </w:rPr>
        <w:t xml:space="preserve"> standards and sanctions to guide service delivery, and ensuring that patients receive safe, quality healthcare. However, the </w:t>
      </w:r>
      <w:proofErr w:type="spellStart"/>
      <w:r w:rsidRPr="008A5E08">
        <w:rPr>
          <w:rFonts w:eastAsiaTheme="minorEastAsia" w:cstheme="minorHAnsi"/>
          <w:lang w:eastAsia="ja-JP"/>
        </w:rPr>
        <w:t>FMoH’s</w:t>
      </w:r>
      <w:proofErr w:type="spellEnd"/>
      <w:r w:rsidRPr="008A5E08">
        <w:rPr>
          <w:rFonts w:eastAsiaTheme="minorEastAsia" w:cstheme="minorHAnsi"/>
          <w:lang w:eastAsia="ja-JP"/>
        </w:rPr>
        <w:t xml:space="preserve"> limited capacity, along with financial and logistic constraints, have hampered its ability to design and implement a functioning regulatory framework, and there are virtually no functional regulatory mechanisms for pharmaceuticals, health service quality, or health professionals. The only requirement to provide medical services or to import and sell pharmaceuticals in Somalia is the acquisition of a business license.</w:t>
      </w:r>
      <w:r w:rsidRPr="008A5E08">
        <w:rPr>
          <w:rFonts w:eastAsiaTheme="minorEastAsia" w:cstheme="minorHAnsi"/>
          <w:vertAlign w:val="superscript"/>
          <w:lang w:eastAsia="ja-JP"/>
        </w:rPr>
        <w:footnoteReference w:id="70"/>
      </w:r>
      <w:r w:rsidRPr="008A5E08">
        <w:rPr>
          <w:rFonts w:eastAsiaTheme="minorEastAsia" w:cstheme="minorHAnsi"/>
          <w:lang w:eastAsia="ja-JP"/>
        </w:rPr>
        <w:t xml:space="preserve"> Despite all the limitations, the Somali Federal Parliament unanimously passed the National Health Professionals Council (NHPC) Act in July 2020, which marks an important first step to build a functioning regulatory body for health services and professionals to improve the quality, safety and efficiency of health service delivery for Somali people.  However, given limited regulatory capacity, functional regulation of the Somali health sector will take time to develop and is expected in the medium to long term. </w:t>
      </w:r>
    </w:p>
    <w:p w14:paraId="6CDD2BDE" w14:textId="77777777" w:rsidR="00F9733B" w:rsidRPr="008A5E08" w:rsidRDefault="00F9733B" w:rsidP="00F9733B">
      <w:pPr>
        <w:spacing w:after="120" w:line="240" w:lineRule="auto"/>
        <w:jc w:val="both"/>
        <w:rPr>
          <w:rFonts w:eastAsiaTheme="minorEastAsia" w:cstheme="minorHAnsi"/>
          <w:lang w:eastAsia="ja-JP"/>
        </w:rPr>
      </w:pPr>
    </w:p>
    <w:p w14:paraId="3C117BA7" w14:textId="77777777" w:rsidR="008A5E08" w:rsidRPr="008A5E08" w:rsidRDefault="008A5E08" w:rsidP="008A5E08">
      <w:pPr>
        <w:spacing w:after="120" w:line="240" w:lineRule="auto"/>
        <w:jc w:val="both"/>
        <w:rPr>
          <w:rFonts w:eastAsiaTheme="minorEastAsia" w:cstheme="minorHAnsi"/>
          <w:i/>
          <w:lang w:eastAsia="ja-JP"/>
        </w:rPr>
      </w:pPr>
      <w:r w:rsidRPr="008A5E08">
        <w:rPr>
          <w:rFonts w:eastAsiaTheme="minorEastAsia" w:cstheme="minorHAnsi"/>
          <w:i/>
          <w:lang w:eastAsia="ja-JP"/>
        </w:rPr>
        <w:lastRenderedPageBreak/>
        <w:t xml:space="preserve">Health Information Systems and Performance Management </w:t>
      </w:r>
    </w:p>
    <w:p w14:paraId="05C195E1" w14:textId="77777777" w:rsidR="008A5E08" w:rsidRPr="008A5E08" w:rsidRDefault="008A5E08" w:rsidP="00F9733B">
      <w:pPr>
        <w:spacing w:after="120" w:line="240" w:lineRule="auto"/>
        <w:jc w:val="both"/>
        <w:rPr>
          <w:rFonts w:eastAsiaTheme="minorEastAsia" w:cstheme="minorHAnsi"/>
          <w:i/>
          <w:iCs/>
          <w:lang w:eastAsia="ja-JP"/>
        </w:rPr>
      </w:pPr>
      <w:r w:rsidRPr="008A5E08">
        <w:rPr>
          <w:rFonts w:eastAsiaTheme="minorEastAsia" w:cstheme="minorHAnsi"/>
          <w:b/>
          <w:bCs/>
          <w:lang w:eastAsia="ja-JP"/>
        </w:rPr>
        <w:t xml:space="preserve">There are substantial gaps in both the availability of reliable, timely health information in Somalia and data use. </w:t>
      </w:r>
      <w:r w:rsidRPr="008A5E08">
        <w:rPr>
          <w:rFonts w:eastAsiaTheme="minorEastAsia" w:cstheme="minorHAnsi"/>
          <w:lang w:eastAsia="ja-JP"/>
        </w:rPr>
        <w:t>Somalia’s 2020 Health and Demographic Survey (SHDS) was the country’s first nationwide survey on health outcomes and service delivery. Previous surveys included the 2016 Service Availability and Readiness Assessment (SARA, 2016, WHO), which detailed health service availability; a 2014 population estimate survey conducted by the government in collaboration with UNFPA; and a 2011 Multi Indicator Cluster Survey (MICS), which was limited to Somaliland and Puntland. The SHDS’s execution and publication, while complicated by delays and challenges in the release of disaggregated and raw data, signaled a progression towards increased availability of health service data in Somalia. The lack of available data has made use of information for performance management difficult, engendering a reliance on soft information with little documented evidence base. Since the SHDS’s publication, there have increasingly been efforts to use the data as the basis for decision making, including the development and prioritization of the EPHS.</w:t>
      </w:r>
      <w:r w:rsidRPr="008A5E08" w:rsidDel="001E71FD">
        <w:rPr>
          <w:rFonts w:eastAsiaTheme="minorEastAsia" w:cstheme="minorHAnsi"/>
          <w:lang w:eastAsia="ja-JP"/>
        </w:rPr>
        <w:t xml:space="preserve"> </w:t>
      </w:r>
    </w:p>
    <w:p w14:paraId="7B205CA6" w14:textId="77777777" w:rsidR="008A5E08" w:rsidRPr="008A5E08" w:rsidRDefault="008A5E08" w:rsidP="00F9733B">
      <w:pPr>
        <w:spacing w:after="120" w:line="240" w:lineRule="auto"/>
        <w:jc w:val="both"/>
        <w:rPr>
          <w:rFonts w:eastAsiaTheme="minorEastAsia" w:cstheme="minorHAnsi"/>
          <w:lang w:eastAsia="ja-JP"/>
        </w:rPr>
      </w:pPr>
      <w:r w:rsidRPr="008A5E08">
        <w:rPr>
          <w:rFonts w:eastAsiaTheme="minorEastAsia" w:cstheme="minorHAnsi"/>
          <w:b/>
          <w:bCs/>
          <w:lang w:eastAsia="ja-JP"/>
        </w:rPr>
        <w:t xml:space="preserve">Somalia’s Health Management and Information System (HMIS) is nascent. </w:t>
      </w:r>
      <w:r w:rsidRPr="008A5E08">
        <w:rPr>
          <w:rFonts w:eastAsiaTheme="minorEastAsia" w:cstheme="minorHAnsi"/>
          <w:lang w:eastAsia="ja-JP"/>
        </w:rPr>
        <w:t xml:space="preserve">Somali governments at the FGS and the FMS levels have committed to using the District Health Information System (DHIS2), although reporting is not consistent across all regions within the country and quality remains low. Data use is concentrated at higher levels of the system with limited data flowing down to health facilities and little use of data to improve health outcomes, which is the </w:t>
      </w:r>
      <w:proofErr w:type="gramStart"/>
      <w:r w:rsidRPr="008A5E08">
        <w:rPr>
          <w:rFonts w:eastAsiaTheme="minorEastAsia" w:cstheme="minorHAnsi"/>
          <w:lang w:eastAsia="ja-JP"/>
        </w:rPr>
        <w:t>ultimate goal</w:t>
      </w:r>
      <w:proofErr w:type="gramEnd"/>
      <w:r w:rsidRPr="008A5E08">
        <w:rPr>
          <w:rFonts w:eastAsiaTheme="minorEastAsia" w:cstheme="minorHAnsi"/>
          <w:lang w:eastAsia="ja-JP"/>
        </w:rPr>
        <w:t xml:space="preserve"> of routine information systems. Fragmentation in partner support for HMIS has constrained the development of strong HMIS supervisory, quality improvement, and data use activities, although efforts are underway to harmonize partner support for HMIS. In addition, the government is currently integrating vertical databases into DHIS2 and updating indicators in the DHIS2 system.  In conjunction with increased use of survey data, the government is in the process of increasing use of routine data for decision making. </w:t>
      </w:r>
    </w:p>
    <w:p w14:paraId="48C50803" w14:textId="77777777" w:rsidR="008A5E08" w:rsidRPr="008A5E08" w:rsidRDefault="008A5E08" w:rsidP="008A5E08">
      <w:pPr>
        <w:spacing w:after="120" w:line="240" w:lineRule="auto"/>
        <w:jc w:val="both"/>
        <w:rPr>
          <w:rFonts w:eastAsiaTheme="minorEastAsia" w:cstheme="minorHAnsi"/>
          <w:lang w:eastAsia="ja-JP"/>
        </w:rPr>
      </w:pPr>
      <w:r w:rsidRPr="008A5E08">
        <w:rPr>
          <w:rFonts w:eastAsiaTheme="minorEastAsia"/>
          <w:b/>
          <w:bCs/>
          <w:lang w:eastAsia="ja-JP"/>
        </w:rPr>
        <w:t>Taken together, Somalia’s health and health system needs are substantial</w:t>
      </w:r>
      <w:r w:rsidRPr="008A5E08">
        <w:rPr>
          <w:rFonts w:eastAsiaTheme="minorEastAsia"/>
          <w:lang w:eastAsia="ja-JP"/>
        </w:rPr>
        <w:t>. However, there are currently important opportunities to strengthen health systems for improved health outcomes. Somalia is currently developing an investment case for health, which is a prioritized plan of key reforms that different partners and the government can support. The investment case is a key opportunity for increased coordination among partners.</w:t>
      </w:r>
      <w:r w:rsidRPr="008A5E08">
        <w:rPr>
          <w:rFonts w:eastAsiaTheme="minorEastAsia"/>
          <w:vertAlign w:val="superscript"/>
          <w:lang w:eastAsia="ja-JP"/>
        </w:rPr>
        <w:t xml:space="preserve"> </w:t>
      </w:r>
      <w:r w:rsidRPr="008A5E08">
        <w:rPr>
          <w:rFonts w:eastAsiaTheme="minorEastAsia"/>
          <w:lang w:eastAsia="ja-JP"/>
        </w:rPr>
        <w:t xml:space="preserve">Given the substantial needs in Somalia, there are critical questions on how the government and partners can effectively use current opportunities to improve Somalia’s health systems and outcomes, including: i) what is the role of the government in the health system?; ii) how can resource efficiency be improved in light of current fragmentation?; and iii) to rapidly improve health outcomes, where should service delivery initially focus? The next sections will explore these questions in greater detail. </w:t>
      </w:r>
    </w:p>
    <w:p w14:paraId="49D1330E" w14:textId="77777777" w:rsidR="008A5E08" w:rsidRPr="008A5E08" w:rsidRDefault="008A5E08" w:rsidP="00F9733B">
      <w:pPr>
        <w:pStyle w:val="Heading2"/>
        <w:spacing w:before="120" w:after="120"/>
        <w:rPr>
          <w:lang w:eastAsia="ja-JP"/>
        </w:rPr>
      </w:pPr>
      <w:bookmarkStart w:id="154" w:name="_Toc71725906"/>
      <w:r w:rsidRPr="008A5E08">
        <w:rPr>
          <w:lang w:eastAsia="ja-JP"/>
        </w:rPr>
        <w:t>How Can the Somali Health Sector be Strengthened to Better Respond to Health Needs in the Next Three to Five Years?</w:t>
      </w:r>
      <w:bookmarkEnd w:id="154"/>
      <w:r w:rsidRPr="008A5E08">
        <w:rPr>
          <w:lang w:eastAsia="ja-JP"/>
        </w:rPr>
        <w:t xml:space="preserve"> </w:t>
      </w:r>
    </w:p>
    <w:p w14:paraId="1DDC7A7A" w14:textId="670CE64E"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lang w:eastAsia="ja-JP"/>
        </w:rPr>
        <w:t xml:space="preserve">Building on the health system bottlenecks identified in the previous section, this section will outline proposed strategies which the Somali health sector should focus on in the next three–five years to address health system challenges, while accounting for limited resources and capacity along with substantial health needs. This chapter is organized by the health system functions financing, service delivery, and governance (see </w:t>
      </w:r>
      <w:r w:rsidR="00F9733B" w:rsidRPr="00F9733B">
        <w:rPr>
          <w:rFonts w:eastAsiaTheme="minorEastAsia" w:cstheme="minorHAnsi"/>
          <w:lang w:eastAsia="ja-JP"/>
        </w:rPr>
        <w:fldChar w:fldCharType="begin"/>
      </w:r>
      <w:r w:rsidR="00F9733B" w:rsidRPr="00F9733B">
        <w:rPr>
          <w:rFonts w:eastAsiaTheme="minorEastAsia" w:cstheme="minorHAnsi"/>
          <w:lang w:eastAsia="ja-JP"/>
        </w:rPr>
        <w:instrText xml:space="preserve"> REF _Ref71574195 \h  \* MERGEFORMAT </w:instrText>
      </w:r>
      <w:r w:rsidR="00F9733B" w:rsidRPr="00F9733B">
        <w:rPr>
          <w:rFonts w:eastAsiaTheme="minorEastAsia" w:cstheme="minorHAnsi"/>
          <w:lang w:eastAsia="ja-JP"/>
        </w:rPr>
      </w:r>
      <w:r w:rsidR="00F9733B" w:rsidRPr="00F9733B">
        <w:rPr>
          <w:rFonts w:eastAsiaTheme="minorEastAsia" w:cstheme="minorHAnsi"/>
          <w:lang w:eastAsia="ja-JP"/>
        </w:rPr>
        <w:fldChar w:fldCharType="separate"/>
      </w:r>
      <w:r w:rsidR="00C64667" w:rsidRPr="00C64667">
        <w:rPr>
          <w:color w:val="000000" w:themeColor="text1"/>
        </w:rPr>
        <w:t xml:space="preserve">Figure </w:t>
      </w:r>
      <w:r w:rsidR="00C64667" w:rsidRPr="00C64667">
        <w:rPr>
          <w:noProof/>
          <w:color w:val="000000" w:themeColor="text1"/>
        </w:rPr>
        <w:t>36</w:t>
      </w:r>
      <w:r w:rsidR="00F9733B" w:rsidRPr="00F9733B">
        <w:rPr>
          <w:rFonts w:eastAsiaTheme="minorEastAsia" w:cstheme="minorHAnsi"/>
          <w:lang w:eastAsia="ja-JP"/>
        </w:rPr>
        <w:fldChar w:fldCharType="end"/>
      </w:r>
      <w:r w:rsidRPr="008A5E08">
        <w:rPr>
          <w:rFonts w:eastAsiaTheme="minorEastAsia" w:cstheme="minorHAnsi"/>
          <w:lang w:eastAsia="ja-JP"/>
        </w:rPr>
        <w:t xml:space="preserve">) and will answer three key questions: i) How can resource efficiency be improved, in light of current fragmentation?; ii) To rapidly improve health outcomes, where should the initial focus of service delivery be?; and iii) What is the role of the government in the health system? </w:t>
      </w:r>
    </w:p>
    <w:p w14:paraId="2E535F2E" w14:textId="1C312B90" w:rsidR="008A5E08" w:rsidRPr="008A5E08" w:rsidRDefault="00F9733B" w:rsidP="00F9733B">
      <w:pPr>
        <w:keepNext/>
        <w:spacing w:after="0" w:line="240" w:lineRule="exact"/>
        <w:jc w:val="both"/>
        <w:rPr>
          <w:rFonts w:eastAsia="Segoe UI" w:cstheme="minorHAnsi"/>
          <w:i/>
          <w:color w:val="000000" w:themeColor="text1"/>
          <w:sz w:val="20"/>
          <w:szCs w:val="20"/>
          <w:lang w:eastAsia="ja-JP"/>
        </w:rPr>
      </w:pPr>
      <w:bookmarkStart w:id="155" w:name="_Ref71574195"/>
      <w:bookmarkStart w:id="156" w:name="_Toc71725954"/>
      <w:r w:rsidRPr="00F9733B">
        <w:rPr>
          <w:b/>
          <w:color w:val="000000" w:themeColor="text1"/>
        </w:rPr>
        <w:lastRenderedPageBreak/>
        <w:t xml:space="preserve">Figure </w:t>
      </w:r>
      <w:r w:rsidRPr="00F9733B">
        <w:rPr>
          <w:b/>
          <w:color w:val="000000" w:themeColor="text1"/>
        </w:rPr>
        <w:fldChar w:fldCharType="begin"/>
      </w:r>
      <w:r w:rsidRPr="00F9733B">
        <w:rPr>
          <w:b/>
          <w:color w:val="000000" w:themeColor="text1"/>
        </w:rPr>
        <w:instrText xml:space="preserve"> SEQ Figure \* ARABIC </w:instrText>
      </w:r>
      <w:r w:rsidRPr="00F9733B">
        <w:rPr>
          <w:b/>
          <w:color w:val="000000" w:themeColor="text1"/>
        </w:rPr>
        <w:fldChar w:fldCharType="separate"/>
      </w:r>
      <w:r w:rsidR="001079AA">
        <w:rPr>
          <w:b/>
          <w:noProof/>
          <w:color w:val="000000" w:themeColor="text1"/>
        </w:rPr>
        <w:t>36</w:t>
      </w:r>
      <w:r w:rsidRPr="00F9733B">
        <w:rPr>
          <w:b/>
          <w:color w:val="000000" w:themeColor="text1"/>
        </w:rPr>
        <w:fldChar w:fldCharType="end"/>
      </w:r>
      <w:bookmarkEnd w:id="155"/>
      <w:r w:rsidR="008A5E08" w:rsidRPr="008A5E08">
        <w:rPr>
          <w:rFonts w:eastAsia="Segoe UI" w:cstheme="minorHAnsi"/>
          <w:b/>
          <w:color w:val="000000" w:themeColor="text1"/>
          <w:lang w:eastAsia="ja-JP"/>
        </w:rPr>
        <w:t>: Key health systems functions to purchase and deliver basic PHC services</w:t>
      </w:r>
      <w:bookmarkEnd w:id="156"/>
    </w:p>
    <w:p w14:paraId="4F773EC7" w14:textId="77777777" w:rsidR="008A5E08" w:rsidRPr="008A5E08" w:rsidRDefault="008A5E08" w:rsidP="00A277A5">
      <w:pPr>
        <w:keepNext/>
        <w:spacing w:after="0" w:line="240" w:lineRule="auto"/>
        <w:jc w:val="center"/>
        <w:rPr>
          <w:rFonts w:eastAsiaTheme="minorEastAsia" w:cstheme="minorHAnsi"/>
          <w:lang w:eastAsia="ja-JP"/>
        </w:rPr>
      </w:pPr>
      <w:r w:rsidRPr="008A5E08">
        <w:rPr>
          <w:rFonts w:eastAsiaTheme="minorEastAsia"/>
          <w:noProof/>
          <w:lang w:eastAsia="ja-JP"/>
        </w:rPr>
        <w:drawing>
          <wp:inline distT="0" distB="0" distL="0" distR="0" wp14:anchorId="4BD7C918" wp14:editId="77582D17">
            <wp:extent cx="2707572" cy="2067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7">
                      <a:extLst>
                        <a:ext uri="{28A0092B-C50C-407E-A947-70E740481C1C}">
                          <a14:useLocalDpi xmlns:a14="http://schemas.microsoft.com/office/drawing/2010/main" val="0"/>
                        </a:ext>
                      </a:extLst>
                    </a:blip>
                    <a:stretch>
                      <a:fillRect/>
                    </a:stretch>
                  </pic:blipFill>
                  <pic:spPr>
                    <a:xfrm>
                      <a:off x="0" y="0"/>
                      <a:ext cx="2729410" cy="2084013"/>
                    </a:xfrm>
                    <a:prstGeom prst="rect">
                      <a:avLst/>
                    </a:prstGeom>
                  </pic:spPr>
                </pic:pic>
              </a:graphicData>
            </a:graphic>
          </wp:inline>
        </w:drawing>
      </w:r>
    </w:p>
    <w:p w14:paraId="2CB034AE" w14:textId="77777777" w:rsidR="008A5E08" w:rsidRPr="008A5E08" w:rsidRDefault="008A5E08" w:rsidP="00E1129B">
      <w:pPr>
        <w:keepNext/>
        <w:keepLines/>
        <w:numPr>
          <w:ilvl w:val="0"/>
          <w:numId w:val="11"/>
        </w:numPr>
        <w:spacing w:before="240" w:after="0"/>
        <w:ind w:left="432" w:hanging="432"/>
        <w:outlineLvl w:val="0"/>
        <w:rPr>
          <w:rFonts w:asciiTheme="majorHAnsi" w:eastAsiaTheme="majorEastAsia" w:hAnsiTheme="majorHAnsi" w:cstheme="majorBidi"/>
          <w:vanish/>
          <w:color w:val="2F5496" w:themeColor="accent1" w:themeShade="BF"/>
          <w:sz w:val="32"/>
          <w:szCs w:val="32"/>
          <w:lang w:eastAsia="ja-JP"/>
        </w:rPr>
      </w:pPr>
      <w:bookmarkStart w:id="157" w:name="_Toc71574647"/>
      <w:bookmarkStart w:id="158" w:name="_Toc71574822"/>
      <w:bookmarkStart w:id="159" w:name="_Toc71617946"/>
      <w:bookmarkStart w:id="160" w:name="_Toc71618681"/>
      <w:bookmarkStart w:id="161" w:name="_Toc71725907"/>
      <w:bookmarkEnd w:id="157"/>
      <w:bookmarkEnd w:id="158"/>
      <w:bookmarkEnd w:id="159"/>
      <w:bookmarkEnd w:id="160"/>
      <w:bookmarkEnd w:id="161"/>
    </w:p>
    <w:p w14:paraId="7EE1CF9F" w14:textId="77777777" w:rsidR="008A5E08" w:rsidRPr="008A5E08" w:rsidRDefault="008A5E08" w:rsidP="00E1129B">
      <w:pPr>
        <w:keepNext/>
        <w:keepLines/>
        <w:numPr>
          <w:ilvl w:val="0"/>
          <w:numId w:val="11"/>
        </w:numPr>
        <w:spacing w:before="240" w:after="0"/>
        <w:ind w:left="432" w:hanging="432"/>
        <w:outlineLvl w:val="0"/>
        <w:rPr>
          <w:rFonts w:asciiTheme="majorHAnsi" w:eastAsiaTheme="majorEastAsia" w:hAnsiTheme="majorHAnsi" w:cstheme="majorBidi"/>
          <w:vanish/>
          <w:color w:val="2F5496" w:themeColor="accent1" w:themeShade="BF"/>
          <w:sz w:val="32"/>
          <w:szCs w:val="32"/>
          <w:lang w:eastAsia="ja-JP"/>
        </w:rPr>
      </w:pPr>
      <w:bookmarkStart w:id="162" w:name="_Toc71574648"/>
      <w:bookmarkStart w:id="163" w:name="_Toc71574823"/>
      <w:bookmarkStart w:id="164" w:name="_Toc71617947"/>
      <w:bookmarkStart w:id="165" w:name="_Toc71618682"/>
      <w:bookmarkStart w:id="166" w:name="_Toc71725908"/>
      <w:bookmarkEnd w:id="162"/>
      <w:bookmarkEnd w:id="163"/>
      <w:bookmarkEnd w:id="164"/>
      <w:bookmarkEnd w:id="165"/>
      <w:bookmarkEnd w:id="166"/>
    </w:p>
    <w:p w14:paraId="37E713DA" w14:textId="77777777" w:rsidR="008A5E08" w:rsidRPr="008A5E08" w:rsidRDefault="008A5E08" w:rsidP="00E1129B">
      <w:pPr>
        <w:keepNext/>
        <w:keepLines/>
        <w:numPr>
          <w:ilvl w:val="0"/>
          <w:numId w:val="11"/>
        </w:numPr>
        <w:spacing w:before="240" w:after="0"/>
        <w:ind w:left="432" w:hanging="432"/>
        <w:outlineLvl w:val="0"/>
        <w:rPr>
          <w:rFonts w:asciiTheme="majorHAnsi" w:eastAsiaTheme="majorEastAsia" w:hAnsiTheme="majorHAnsi" w:cstheme="majorBidi"/>
          <w:vanish/>
          <w:color w:val="2F5496" w:themeColor="accent1" w:themeShade="BF"/>
          <w:sz w:val="32"/>
          <w:szCs w:val="32"/>
          <w:lang w:eastAsia="ja-JP"/>
        </w:rPr>
      </w:pPr>
      <w:bookmarkStart w:id="167" w:name="_Toc71574649"/>
      <w:bookmarkStart w:id="168" w:name="_Toc71574824"/>
      <w:bookmarkStart w:id="169" w:name="_Toc71617948"/>
      <w:bookmarkStart w:id="170" w:name="_Toc71618683"/>
      <w:bookmarkStart w:id="171" w:name="_Toc71725909"/>
      <w:bookmarkEnd w:id="167"/>
      <w:bookmarkEnd w:id="168"/>
      <w:bookmarkEnd w:id="169"/>
      <w:bookmarkEnd w:id="170"/>
      <w:bookmarkEnd w:id="171"/>
    </w:p>
    <w:p w14:paraId="36F16D3C" w14:textId="77777777" w:rsidR="008A5E08" w:rsidRPr="008A5E08" w:rsidRDefault="008A5E08" w:rsidP="00F31CF3">
      <w:pPr>
        <w:pStyle w:val="Heading3"/>
        <w:spacing w:before="120" w:after="120"/>
        <w:rPr>
          <w:lang w:eastAsia="ja-JP"/>
        </w:rPr>
      </w:pPr>
      <w:bookmarkStart w:id="172" w:name="_Toc71574650"/>
      <w:bookmarkStart w:id="173" w:name="_Toc71574825"/>
      <w:bookmarkStart w:id="174" w:name="_Toc71617949"/>
      <w:bookmarkStart w:id="175" w:name="_Toc71618684"/>
      <w:bookmarkStart w:id="176" w:name="_Toc71725910"/>
      <w:r w:rsidRPr="008A5E08">
        <w:rPr>
          <w:lang w:eastAsia="ja-JP"/>
        </w:rPr>
        <w:t>Health Financing: How to improve health service efficiency?</w:t>
      </w:r>
      <w:bookmarkEnd w:id="172"/>
      <w:bookmarkEnd w:id="173"/>
      <w:bookmarkEnd w:id="174"/>
      <w:bookmarkEnd w:id="175"/>
      <w:bookmarkEnd w:id="176"/>
    </w:p>
    <w:p w14:paraId="6242A330" w14:textId="4B430DA7" w:rsidR="008A5E08" w:rsidRPr="008A5E08" w:rsidRDefault="008A5E08" w:rsidP="00F31CF3">
      <w:pPr>
        <w:spacing w:after="0" w:line="240" w:lineRule="auto"/>
        <w:jc w:val="both"/>
        <w:rPr>
          <w:rFonts w:eastAsiaTheme="minorEastAsia" w:cstheme="minorHAnsi"/>
          <w:lang w:eastAsia="ja-JP"/>
        </w:rPr>
      </w:pPr>
      <w:r w:rsidRPr="008A5E08">
        <w:rPr>
          <w:rFonts w:eastAsiaTheme="minorEastAsia" w:cstheme="minorHAnsi"/>
          <w:lang w:eastAsia="ja-JP"/>
        </w:rPr>
        <w:t xml:space="preserve">There are three globally recognized health financing functions:  Health purchasing includes “who” to purchase from, “how” to purchase or through which provider payment systems, “what” to purchase or what constitutes the health service package. “How” to purchase and “who” to purchase from are covered within the health financing section; “what” to purchase is covered within the health service delivery section. Revenue collection is the source and amount of funds, pooling is the accumulation of prepaid revenues on behalf of a population, and purchasing is the transfer of pooled funds to providers on behalf of a population. </w:t>
      </w:r>
    </w:p>
    <w:p w14:paraId="317B6305" w14:textId="77777777" w:rsidR="008A5E08" w:rsidRPr="008A5E08" w:rsidRDefault="008A5E08" w:rsidP="00F31CF3">
      <w:pPr>
        <w:keepNext/>
        <w:spacing w:before="120" w:after="120" w:line="240" w:lineRule="auto"/>
        <w:jc w:val="both"/>
        <w:rPr>
          <w:rFonts w:eastAsiaTheme="minorEastAsia" w:cstheme="minorHAnsi"/>
          <w:u w:val="single"/>
          <w:lang w:eastAsia="ja-JP"/>
        </w:rPr>
      </w:pPr>
      <w:r w:rsidRPr="008A5E08">
        <w:rPr>
          <w:rFonts w:eastAsiaTheme="minorEastAsia" w:cstheme="minorHAnsi"/>
          <w:u w:val="single"/>
          <w:lang w:eastAsia="ja-JP"/>
        </w:rPr>
        <w:t xml:space="preserve">Who to purchase the set of health services from? </w:t>
      </w:r>
    </w:p>
    <w:p w14:paraId="659296F3" w14:textId="19D276C8" w:rsid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Government contracting of health service providers has been demonstrated to be a means to rapidly expand health service provision in the context of low government service delivery capacity</w:t>
      </w:r>
      <w:r w:rsidRPr="008A5E08">
        <w:rPr>
          <w:rFonts w:eastAsiaTheme="minorEastAsia" w:cstheme="minorHAnsi"/>
          <w:lang w:eastAsia="ja-JP"/>
        </w:rPr>
        <w:t xml:space="preserve">.  To support rapid expansion of health services within limited capacity, the Government has decided to use health service contracting as the means for health service delivery in the forthcoming World Bank financed </w:t>
      </w:r>
      <w:proofErr w:type="spellStart"/>
      <w:r w:rsidRPr="008A5E08">
        <w:rPr>
          <w:rFonts w:eastAsiaTheme="minorEastAsia" w:cstheme="minorHAnsi"/>
          <w:lang w:eastAsia="ja-JP"/>
        </w:rPr>
        <w:t>Damal</w:t>
      </w:r>
      <w:proofErr w:type="spellEnd"/>
      <w:r w:rsidRPr="008A5E08">
        <w:rPr>
          <w:rFonts w:eastAsiaTheme="minorEastAsia" w:cstheme="minorHAnsi"/>
          <w:lang w:eastAsia="ja-JP"/>
        </w:rPr>
        <w:t xml:space="preserve"> </w:t>
      </w:r>
      <w:proofErr w:type="spellStart"/>
      <w:r w:rsidRPr="008A5E08">
        <w:rPr>
          <w:rFonts w:eastAsiaTheme="minorEastAsia" w:cstheme="minorHAnsi"/>
          <w:lang w:eastAsia="ja-JP"/>
        </w:rPr>
        <w:t>Caafimaad</w:t>
      </w:r>
      <w:proofErr w:type="spellEnd"/>
      <w:r w:rsidRPr="008A5E08">
        <w:rPr>
          <w:rFonts w:eastAsiaTheme="minorEastAsia" w:cstheme="minorHAnsi"/>
          <w:lang w:eastAsia="ja-JP"/>
        </w:rPr>
        <w:t xml:space="preserve"> project. In a Government contracting model, roles between the government and contractors are clearly established: the government is the purchaser and regulator of health services, while contractors manage and deliver health services. This clear division of responsibilities will help improve transparency and accountability in Somalia’s nascent health systems. </w:t>
      </w:r>
      <w:proofErr w:type="gramStart"/>
      <w:r w:rsidRPr="008A5E08">
        <w:rPr>
          <w:rFonts w:eastAsiaTheme="minorEastAsia" w:cstheme="minorHAnsi"/>
          <w:lang w:eastAsia="ja-JP"/>
        </w:rPr>
        <w:t>Somalia‘</w:t>
      </w:r>
      <w:proofErr w:type="gramEnd"/>
      <w:r w:rsidRPr="008A5E08">
        <w:rPr>
          <w:rFonts w:eastAsiaTheme="minorEastAsia" w:cstheme="minorHAnsi"/>
          <w:lang w:eastAsia="ja-JP"/>
        </w:rPr>
        <w:t xml:space="preserve">s large number of NGOs are a service delivery asset. Currently, most of these NGOs are financed by development partners or private donors and operate almost entirely outside of government systems. Government contracting of these service providers is a way to effectively harness this existing resource and move towards reduced fragmentation, and increased efficiency and Government leadership. In the short-term, the existing capacity and knowledge of these NGO providers will help facilitate rapid expansion of health services to the population of Somalia. In the medium-term, the government may decide to either continue contracting with non-state actors for a health service package or develop a mixed model of contracting with both public and private providers. Somalia also has </w:t>
      </w:r>
      <w:proofErr w:type="gramStart"/>
      <w:r w:rsidRPr="008A5E08">
        <w:rPr>
          <w:rFonts w:eastAsiaTheme="minorEastAsia" w:cstheme="minorHAnsi"/>
          <w:lang w:eastAsia="ja-JP"/>
        </w:rPr>
        <w:t>a large number of</w:t>
      </w:r>
      <w:proofErr w:type="gramEnd"/>
      <w:r w:rsidRPr="008A5E08">
        <w:rPr>
          <w:rFonts w:eastAsiaTheme="minorEastAsia" w:cstheme="minorHAnsi"/>
          <w:lang w:eastAsia="ja-JP"/>
        </w:rPr>
        <w:t xml:space="preserve"> existing, largely for-profit </w:t>
      </w:r>
      <w:r w:rsidRPr="008A5E08">
        <w:rPr>
          <w:rFonts w:eastAsiaTheme="minorEastAsia" w:cstheme="minorHAnsi"/>
          <w:lang w:eastAsia="ja-JP"/>
        </w:rPr>
        <w:lastRenderedPageBreak/>
        <w:t xml:space="preserve">private sector service providers who can be contracted to improve health service quality, equity, and to ensure they are delivering a mix of services that addresses the populations needs. This process will also incorporate broader policy dialogue across levels of government, and with development partners and non-state actors to develop comprehensive policies, strategies and plans for the structure of the Somali health system (health system structure in concert with the service delivery model in the Service Delivery section below). </w:t>
      </w:r>
    </w:p>
    <w:p w14:paraId="3A2383B0" w14:textId="77777777" w:rsidR="00F31CF3" w:rsidRPr="008A5E08" w:rsidRDefault="00F31CF3" w:rsidP="008A5E08">
      <w:pPr>
        <w:spacing w:line="240" w:lineRule="auto"/>
        <w:jc w:val="both"/>
        <w:rPr>
          <w:rFonts w:eastAsiaTheme="minorEastAsia" w:cstheme="minorHAnsi"/>
          <w:lang w:eastAsia="ja-JP"/>
        </w:rPr>
      </w:pPr>
    </w:p>
    <w:p w14:paraId="43B5C3D7"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Efficient and effective health financing and contracting to purchase a health service package requires good financial management at service provider level.</w:t>
      </w:r>
      <w:r w:rsidRPr="008A5E08">
        <w:rPr>
          <w:rFonts w:eastAsiaTheme="minorEastAsia" w:cstheme="minorHAnsi"/>
          <w:lang w:eastAsia="ja-JP"/>
        </w:rPr>
        <w:t xml:space="preserve"> The strategy of contracting with service providers to purchase a health service package will be complemented by building financial management competencies at the service provider level. Somali health systems can be strengthened over the next three to five years by creating space and actively encouraging service provider management through good financial management systems and processes. Contract terms, standards, requirements and monitoring indicators could help improve performance in many aspects of service provider management and accountability, including: i) financial management systems and processes to establish basic business management functions and better use information (e.g., plan, budget, procure, internal controls, account, report, internal and external audit, human resource management); and ii) build capacity in the discipline of management, including confidence to respond to incentives and better use of information and analysis to assemble inputs into service outputs and deliver services to clients. </w:t>
      </w:r>
    </w:p>
    <w:p w14:paraId="2F26E799"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u w:val="single"/>
          <w:lang w:eastAsia="ja-JP"/>
        </w:rPr>
        <w:t xml:space="preserve">How to purchase a health service package? </w:t>
      </w:r>
    </w:p>
    <w:p w14:paraId="028F9FEB"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Using provider payments to contract service providers requires a mechanism or system to establish the price or payment amount of the health service package.</w:t>
      </w:r>
      <w:r w:rsidRPr="008A5E08">
        <w:rPr>
          <w:rFonts w:eastAsiaTheme="minorEastAsia" w:cstheme="minorHAnsi"/>
          <w:lang w:eastAsia="ja-JP"/>
        </w:rPr>
        <w:t xml:space="preserve"> The price or payment amounts can be determined through market dynamics where bidders can individually determine prices for their services and the government can select contractors based on a series of factors including cost. Such a system is likely to put the future Somali health purchaser in a difficult position by driving inequality, fragmentation, cost escalation and an inability to move towards universal health coverage (UHC). </w:t>
      </w:r>
      <w:r w:rsidRPr="008A5E08">
        <w:rPr>
          <w:rFonts w:eastAsia="Calibri" w:cstheme="minorHAnsi"/>
          <w:lang w:eastAsia="ja-JP"/>
        </w:rPr>
        <w:t>Specifically, if one service provider is successful in negotiating higher payment rates than another service provider to deliver the same services to a population with largely the same characteristics,</w:t>
      </w:r>
      <w:r w:rsidRPr="008A5E08">
        <w:rPr>
          <w:rFonts w:eastAsia="Calibri" w:cstheme="minorHAnsi"/>
          <w:b/>
          <w:bCs/>
          <w:lang w:eastAsia="ja-JP"/>
        </w:rPr>
        <w:t xml:space="preserve"> </w:t>
      </w:r>
      <w:r w:rsidRPr="008A5E08">
        <w:rPr>
          <w:rFonts w:eastAsia="Calibri" w:cstheme="minorHAnsi"/>
          <w:lang w:eastAsia="ja-JP"/>
        </w:rPr>
        <w:t>the government will have difficulty  convincing this provider to accept lower payment rates in the future.</w:t>
      </w:r>
      <w:r w:rsidRPr="008A5E08" w:rsidDel="003002CC">
        <w:rPr>
          <w:rFonts w:eastAsia="Calibri" w:cstheme="minorHAnsi"/>
          <w:lang w:eastAsia="ja-JP"/>
        </w:rPr>
        <w:t xml:space="preserve"> </w:t>
      </w:r>
      <w:r w:rsidRPr="008A5E08">
        <w:rPr>
          <w:rFonts w:eastAsiaTheme="minorEastAsia" w:cstheme="minorHAnsi"/>
          <w:lang w:eastAsia="ja-JP"/>
        </w:rPr>
        <w:t xml:space="preserve">Similar problems will persist within the country if different development partners use different payment formulas. Alternatively, the government can utilize regulatory policy to establish pre-defined parameters which determine total contract price for specific services. A harmonized payment system can be used for both NGOs and government contracting of private, for-profit health service providers to harness Somalia’s large private healthcare market and standardize payments to improve efficiency and harmonize fund flows to move towards fund pooling. </w:t>
      </w:r>
    </w:p>
    <w:p w14:paraId="5AF6AAD9"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Given weaknesses in Somalia’s HMIS system and nascent payment systems, bundled output-based payments to purchase a health service package are a means to harmonize payments, reduce fragmentation, and increase efficiency within the Somali context.</w:t>
      </w:r>
      <w:r w:rsidRPr="008A5E08">
        <w:rPr>
          <w:rFonts w:eastAsiaTheme="minorEastAsia" w:cstheme="minorHAnsi"/>
          <w:lang w:eastAsia="ja-JP"/>
        </w:rPr>
        <w:t xml:space="preserve"> By design, output-based payments will enable the government and development partners to match limited resources to a prioritized health service package while empowering service providers to determine the optimal mix of inputs to deliver service outputs. While payments could also be made based on inputs of the service being delivered  (e.g.: salaries, supplies, drugs, travel, utilities, etc.),  without a well-established system and with limited information on health service delivery, as is the case in Somalia, input-based payments are unlikely to match the covered benefits or services being purchased.  Further, exactly what is being purchased would not be transparent to either the health purchaser or service provider. Input-based payment systems also </w:t>
      </w:r>
      <w:r w:rsidRPr="008A5E08">
        <w:rPr>
          <w:rFonts w:eastAsiaTheme="minorEastAsia" w:cstheme="minorHAnsi"/>
          <w:lang w:eastAsia="ja-JP"/>
        </w:rPr>
        <w:lastRenderedPageBreak/>
        <w:t>allow minimal flexibility for service providers to adapt to local needs and conditions on the ground. Evidence in fragile settings have found these systems to be ineffective in improving health service delivery and health outcomes, while output based systems (e.g.: payments on services provided or delivery outcomes) have been found to improve health outcomes through a focus on results.</w:t>
      </w:r>
      <w:r w:rsidRPr="008A5E08">
        <w:rPr>
          <w:rFonts w:eastAsiaTheme="minorEastAsia" w:cstheme="minorHAnsi"/>
          <w:vertAlign w:val="superscript"/>
          <w:lang w:eastAsia="ja-JP"/>
        </w:rPr>
        <w:footnoteReference w:id="71"/>
      </w:r>
      <w:r w:rsidRPr="008A5E08">
        <w:rPr>
          <w:rFonts w:eastAsiaTheme="minorEastAsia" w:cstheme="minorHAnsi"/>
          <w:lang w:eastAsia="ja-JP"/>
        </w:rPr>
        <w:t xml:space="preserve"> Similarly, unbundled payments (e.g., consultation, diagnostic test, surgical procedure) increase the risk to the purchaser of exceeding the available budget if providers submit greater than expected claims.  Unbundled payments also require fully functional, established data and payment operating systems are required to effectively track services provided and make timely payments. Although bundled service payments may contribute to underserving patients and increases the risk to the service provider of service costs exceeding payments (often due to factors beyond their control), given weaknesses in data and financial management systems these make the most sense for Somalia’s context. </w:t>
      </w:r>
    </w:p>
    <w:p w14:paraId="440534AE"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lang w:eastAsia="ja-JP"/>
        </w:rPr>
        <w:t xml:space="preserve">Given that service delivery needs are different for different populations, adjustors can be included in the formulas to ensure that sufficient funds are available for populations whose services may have additional delivery costs and to incorporate policy objectives such as need, equity, and performance. </w:t>
      </w:r>
      <w:r w:rsidRPr="008A5E08">
        <w:rPr>
          <w:rFonts w:eastAsiaTheme="minorEastAsia" w:cstheme="minorHAnsi"/>
          <w:lang w:eastAsia="ja-JP"/>
        </w:rPr>
        <w:t xml:space="preserve">For example, women of reproductive health age and infants tend to need and use more PHC services than young men; specific population groups such as the urban and rural poor may have higher service delivery costs and may be a priority group within government policy, necessitating additional funds. Output-based payment formulas can be set at realistic intervals (i.e., annually) and do not necessitate real-time data. As such, they are more feasible as they can use existing national data, more efficient with lower administrative costs, will reduce the risk of overspending available budget, and will enable establishment of government health purchaser role in setting up provider payment rates. In addition, bundled output-based payments can incentivize the provision of services across the entire package, facilitating holistic and patient-oriented care, and focus on prevention, health promotion and disease management without prioritizing specific services. Further, such a method could be used in conjunction with other performance-based payment systems on top of base payments (bonuses) to incentivize specific needed improvements, such as health service quality. </w:t>
      </w:r>
    </w:p>
    <w:p w14:paraId="16C2CCA2"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Ensuring contracted service providers have autonomy to determine the best mix of inputs, is a way to support service providers to improve health service outcomes.  </w:t>
      </w:r>
      <w:r w:rsidRPr="008A5E08">
        <w:rPr>
          <w:rFonts w:eastAsiaTheme="minorEastAsia" w:cstheme="minorHAnsi"/>
          <w:lang w:eastAsia="ja-JP"/>
        </w:rPr>
        <w:t>With autonomy, health service providers can use locally available information to determine how to best improve health service and produce results, based on established indicators</w:t>
      </w:r>
      <w:r w:rsidRPr="008A5E08">
        <w:rPr>
          <w:rFonts w:eastAsiaTheme="minorEastAsia" w:cstheme="minorHAnsi"/>
          <w:b/>
          <w:bCs/>
          <w:lang w:eastAsia="ja-JP"/>
        </w:rPr>
        <w:t>.</w:t>
      </w:r>
      <w:r w:rsidRPr="008A5E08">
        <w:rPr>
          <w:rFonts w:eastAsiaTheme="minorEastAsia" w:cstheme="minorHAnsi"/>
          <w:lang w:eastAsia="ja-JP"/>
        </w:rPr>
        <w:t xml:space="preserve"> This allows them the flexibility to manage service delivery and adapt to changing environments. </w:t>
      </w:r>
    </w:p>
    <w:p w14:paraId="4A311906"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The second phase of health financing can focus on increasing health sector allocations, pooling funds, </w:t>
      </w:r>
      <w:proofErr w:type="gramStart"/>
      <w:r w:rsidRPr="008A5E08">
        <w:rPr>
          <w:rFonts w:eastAsiaTheme="minorEastAsia" w:cstheme="minorHAnsi"/>
          <w:b/>
          <w:bCs/>
          <w:lang w:eastAsia="ja-JP"/>
        </w:rPr>
        <w:t>refining</w:t>
      </w:r>
      <w:proofErr w:type="gramEnd"/>
      <w:r w:rsidRPr="008A5E08">
        <w:rPr>
          <w:rFonts w:eastAsiaTheme="minorEastAsia" w:cstheme="minorHAnsi"/>
          <w:b/>
          <w:bCs/>
          <w:lang w:eastAsia="ja-JP"/>
        </w:rPr>
        <w:t xml:space="preserve"> and deepening health purchasing and financial management, and further addressing health system inefficiencie</w:t>
      </w:r>
      <w:r w:rsidRPr="008A5E08">
        <w:rPr>
          <w:rFonts w:eastAsiaTheme="minorEastAsia" w:cstheme="minorHAnsi"/>
          <w:lang w:eastAsia="ja-JP"/>
        </w:rPr>
        <w:t xml:space="preserve">s. Revenue collection activities include dialogue between health and finance authorities on the appropriate level and types of revenue for the health sector, and steps to ensure certain and predictable general revenue for service provision. Pooling government and development partner funds to purchase a health service package from both public and private providers will be difficult before government structures and capacity are built. However, a key government role is to increase efficiency by reducing fund flow fragmentation and administrative costs while increasing equity and financial risk protection on the road to universal health coverage. To improve health purchasing and financial management in the second phase, the impact of financial incentives on provider service delivery will be </w:t>
      </w:r>
      <w:r w:rsidRPr="008A5E08">
        <w:rPr>
          <w:rFonts w:eastAsiaTheme="minorEastAsia" w:cstheme="minorHAnsi"/>
          <w:lang w:eastAsia="ja-JP"/>
        </w:rPr>
        <w:lastRenderedPageBreak/>
        <w:t>assessed and improved data used to gradually refine provider payment, provider financial management, and PFM systems to adapt to both evolving health policy and service provider responses. In addition, more complex purchasing of outpatient specialty and rehabilitative or other forms of long-term care could be incorporated into a second phase of a health service package purchasing. Further, identifying the most effective interventions to reduce unnecessary care, improving the quality of care, and ensuring the right services are delivered by providers who are well-trained, and placed can reduce inefficiencies and increase value for money.</w:t>
      </w:r>
    </w:p>
    <w:p w14:paraId="5899E188" w14:textId="77777777" w:rsidR="008A5E08" w:rsidRPr="008A5E08" w:rsidRDefault="008A5E08" w:rsidP="0042795F">
      <w:pPr>
        <w:pStyle w:val="Heading2"/>
        <w:spacing w:before="120" w:after="120"/>
        <w:rPr>
          <w:lang w:eastAsia="ja-JP"/>
        </w:rPr>
      </w:pPr>
      <w:bookmarkStart w:id="177" w:name="_Toc71725911"/>
      <w:r w:rsidRPr="008A5E08">
        <w:rPr>
          <w:lang w:eastAsia="ja-JP"/>
        </w:rPr>
        <w:t>Service Delivery: to rapidly improve health outcomes, where should service delivery initially focus?</w:t>
      </w:r>
      <w:bookmarkEnd w:id="177"/>
      <w:r w:rsidRPr="008A5E08">
        <w:rPr>
          <w:lang w:eastAsia="ja-JP"/>
        </w:rPr>
        <w:t xml:space="preserve">  </w:t>
      </w:r>
    </w:p>
    <w:p w14:paraId="708B928A" w14:textId="338A7F78"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There is a pressing need to improve health outcomes in Somalia, as argued in Sections 1 and 2 above.</w:t>
      </w:r>
      <w:r w:rsidRPr="008A5E08">
        <w:rPr>
          <w:rFonts w:eastAsiaTheme="minorEastAsia" w:cstheme="minorHAnsi"/>
          <w:lang w:eastAsia="ja-JP"/>
        </w:rPr>
        <w:t xml:space="preserve"> Somalia’s high mortality and morbidity rates and low life expectancy are driven by high rates of neonatal mortality, maternal mortality, injury, and communicable diseases, which are the major causes of morbidity and mortality in the country (see Figure 6). Based on global evidence, focusing on the major causes of morbidity and mortality using high-impact, cost-effective interventions </w:t>
      </w:r>
      <w:proofErr w:type="gramStart"/>
      <w:r w:rsidRPr="008A5E08">
        <w:rPr>
          <w:rFonts w:eastAsiaTheme="minorEastAsia" w:cstheme="minorHAnsi"/>
          <w:lang w:eastAsia="ja-JP"/>
        </w:rPr>
        <w:t>is</w:t>
      </w:r>
      <w:proofErr w:type="gramEnd"/>
      <w:r w:rsidRPr="008A5E08">
        <w:rPr>
          <w:rFonts w:eastAsiaTheme="minorEastAsia" w:cstheme="minorHAnsi"/>
          <w:lang w:eastAsia="ja-JP"/>
        </w:rPr>
        <w:t xml:space="preserve"> a means to rapidly improve health outcomes within limited health service resources and capacity. Given limited resources and current capacity, an extensive package including areas with less of an impact on mortality and morbidity will divert resources and capacity from the major causes of morbidity and mortality, impacting the ability to reduce the top causes of morbidity and mortality.  For example, in Afghanistan, using a prioritized package of high-impact health services, the country reduced child mortality from 254 out of every 1,000 live births in 2003 to 161 in 2008 and 55 in 206.  Similarly, antenatal care visits in Afghanistan increased from less than 10</w:t>
      </w:r>
      <w:r w:rsidR="00820142">
        <w:rPr>
          <w:rFonts w:eastAsiaTheme="minorEastAsia" w:cstheme="minorHAnsi"/>
          <w:lang w:eastAsia="ja-JP"/>
        </w:rPr>
        <w:t xml:space="preserve"> percent</w:t>
      </w:r>
      <w:r w:rsidRPr="008A5E08">
        <w:rPr>
          <w:rFonts w:eastAsiaTheme="minorEastAsia" w:cstheme="minorHAnsi"/>
          <w:lang w:eastAsia="ja-JP"/>
        </w:rPr>
        <w:t xml:space="preserve"> of pregnancies in 2003 to over 50</w:t>
      </w:r>
      <w:r w:rsidR="00820142">
        <w:rPr>
          <w:rFonts w:eastAsiaTheme="minorEastAsia" w:cstheme="minorHAnsi"/>
          <w:lang w:eastAsia="ja-JP"/>
        </w:rPr>
        <w:t xml:space="preserve"> percent</w:t>
      </w:r>
      <w:r w:rsidRPr="008A5E08">
        <w:rPr>
          <w:rFonts w:eastAsiaTheme="minorEastAsia" w:cstheme="minorHAnsi"/>
          <w:lang w:eastAsia="ja-JP"/>
        </w:rPr>
        <w:t xml:space="preserve"> of pregnancies in 2010 and over 60</w:t>
      </w:r>
      <w:r w:rsidR="00820142">
        <w:rPr>
          <w:rFonts w:eastAsiaTheme="minorEastAsia" w:cstheme="minorHAnsi"/>
          <w:lang w:eastAsia="ja-JP"/>
        </w:rPr>
        <w:t xml:space="preserve"> percent</w:t>
      </w:r>
      <w:r w:rsidRPr="008A5E08">
        <w:rPr>
          <w:rFonts w:eastAsiaTheme="minorEastAsia" w:cstheme="minorHAnsi"/>
          <w:lang w:eastAsia="ja-JP"/>
        </w:rPr>
        <w:t xml:space="preserve"> of pregnancies in 2015.  To identify high-impact health services which have proven to be cost effective and focus on Somalia’s major causes of morbidity and mortality, Somalia used global data available in the Global Health Cost Effectiveness Analysis and the third edition of the Disease Control Priorities (DCP3). The result is a health service package with high-impact interventions focusing on reproductive, maternal, child, and neonatal health as well as communicable disease and injury. </w:t>
      </w:r>
    </w:p>
    <w:p w14:paraId="35819E90"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In addition to improving health outcomes, a health service package focusing on high impact interventions to address the major causes of morbidity and mortality is also feasible within available capacity and can help improve health equity.</w:t>
      </w:r>
      <w:r w:rsidRPr="008A5E08">
        <w:rPr>
          <w:rFonts w:eastAsiaTheme="minorEastAsia" w:cstheme="minorHAnsi"/>
          <w:lang w:eastAsia="ja-JP"/>
        </w:rPr>
        <w:t xml:space="preserve"> Along with focusing on the major causes of disease, these interventions can be delivered with consideration of Somalia’s currently limited-service delivery capacity. While improvements in staffing and physical infrastructure will be needed, these are largely enhancements to existing service capacity to improve health service quality and coverage. A package focusing on high-impact interventions addressing the major causes of disease can also be scaled up to increase population coverage and improve health service equity. Over time, as available resources increase and service capacity improves, additional interventions can be added to the package of health services.  </w:t>
      </w:r>
    </w:p>
    <w:p w14:paraId="48ACB97A" w14:textId="77777777" w:rsidR="008A5E08" w:rsidRPr="008A5E08" w:rsidRDefault="008A5E08" w:rsidP="008A5E08">
      <w:pPr>
        <w:spacing w:after="0" w:line="240" w:lineRule="auto"/>
        <w:jc w:val="both"/>
        <w:rPr>
          <w:rFonts w:eastAsiaTheme="minorEastAsia" w:cstheme="minorHAnsi"/>
          <w:lang w:eastAsia="ja-JP"/>
        </w:rPr>
      </w:pPr>
      <w:r w:rsidRPr="008A5E08">
        <w:rPr>
          <w:rFonts w:eastAsiaTheme="minorEastAsia" w:cstheme="minorHAnsi"/>
          <w:b/>
          <w:bCs/>
          <w:lang w:eastAsia="ja-JP"/>
        </w:rPr>
        <w:t>Expanding coverage of a health service package with high impact, cost-effective interventions will also increase life expectancy and promote a healthier and a more productive workforce within the current capacity and resource constraints in Somalia</w:t>
      </w:r>
      <w:r w:rsidRPr="008A5E08">
        <w:rPr>
          <w:rFonts w:eastAsiaTheme="minorEastAsia" w:cstheme="minorHAnsi"/>
          <w:lang w:eastAsia="ja-JP"/>
        </w:rPr>
        <w:t>. An increase in the life expectancy and health of the Somali labor force will provide a much-needed basis for the government to expand revenue mobilization through taxation and other pooling mechanisms to fund the long-term goal of achieving self-sustaining universal health coverage.</w:t>
      </w:r>
    </w:p>
    <w:p w14:paraId="25545BE2" w14:textId="00CE68F1" w:rsidR="008A5E08" w:rsidRDefault="008A5E08" w:rsidP="008A5E08">
      <w:pPr>
        <w:spacing w:after="0" w:line="240" w:lineRule="auto"/>
        <w:jc w:val="both"/>
        <w:rPr>
          <w:rFonts w:eastAsiaTheme="minorEastAsia" w:cstheme="minorHAnsi"/>
          <w:lang w:eastAsia="ja-JP"/>
        </w:rPr>
      </w:pPr>
    </w:p>
    <w:p w14:paraId="099C9236" w14:textId="56A1DEFC" w:rsidR="0042795F" w:rsidRDefault="0042795F" w:rsidP="008A5E08">
      <w:pPr>
        <w:spacing w:after="0" w:line="240" w:lineRule="auto"/>
        <w:jc w:val="both"/>
        <w:rPr>
          <w:rFonts w:eastAsiaTheme="minorEastAsia" w:cstheme="minorHAnsi"/>
          <w:lang w:eastAsia="ja-JP"/>
        </w:rPr>
      </w:pPr>
    </w:p>
    <w:p w14:paraId="1AF445D3" w14:textId="28276A66" w:rsidR="0042795F" w:rsidRDefault="0042795F" w:rsidP="008A5E08">
      <w:pPr>
        <w:spacing w:after="0" w:line="240" w:lineRule="auto"/>
        <w:jc w:val="both"/>
        <w:rPr>
          <w:rFonts w:eastAsiaTheme="minorEastAsia" w:cstheme="minorHAnsi"/>
          <w:lang w:eastAsia="ja-JP"/>
        </w:rPr>
      </w:pPr>
    </w:p>
    <w:p w14:paraId="0B298E1E" w14:textId="77777777" w:rsidR="0042795F" w:rsidRPr="008A5E08" w:rsidRDefault="0042795F" w:rsidP="008A5E08">
      <w:pPr>
        <w:spacing w:after="0" w:line="240" w:lineRule="auto"/>
        <w:jc w:val="both"/>
        <w:rPr>
          <w:rFonts w:eastAsiaTheme="minorEastAsia" w:cstheme="minorHAnsi"/>
          <w:lang w:eastAsia="ja-JP"/>
        </w:rPr>
      </w:pPr>
    </w:p>
    <w:p w14:paraId="3055A96C" w14:textId="77777777" w:rsidR="008A5E08" w:rsidRPr="008A5E08" w:rsidRDefault="008A5E08" w:rsidP="0042795F">
      <w:pPr>
        <w:pStyle w:val="Heading2"/>
        <w:spacing w:before="120" w:after="120"/>
        <w:rPr>
          <w:rFonts w:cstheme="minorHAnsi"/>
          <w:lang w:eastAsia="ja-JP"/>
        </w:rPr>
      </w:pPr>
      <w:bookmarkStart w:id="178" w:name="_Toc71725912"/>
      <w:r w:rsidRPr="008A5E08">
        <w:rPr>
          <w:lang w:eastAsia="ja-JP"/>
        </w:rPr>
        <w:t>Governance: what is the role of the government in the health system?</w:t>
      </w:r>
      <w:bookmarkEnd w:id="178"/>
    </w:p>
    <w:p w14:paraId="077DB42E"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 xml:space="preserve">In the health service contracting model, the government has a regulatory, oversight and monitoring role. </w:t>
      </w:r>
      <w:r w:rsidRPr="008A5E08">
        <w:rPr>
          <w:rFonts w:eastAsiaTheme="minorEastAsia" w:cstheme="minorHAnsi"/>
          <w:lang w:eastAsia="ja-JP"/>
        </w:rPr>
        <w:t xml:space="preserve">These are roles which can only be filled by the government and require developing oversight, </w:t>
      </w:r>
      <w:proofErr w:type="gramStart"/>
      <w:r w:rsidRPr="008A5E08">
        <w:rPr>
          <w:rFonts w:eastAsiaTheme="minorEastAsia" w:cstheme="minorHAnsi"/>
          <w:lang w:eastAsia="ja-JP"/>
        </w:rPr>
        <w:t>accountability</w:t>
      </w:r>
      <w:proofErr w:type="gramEnd"/>
      <w:r w:rsidRPr="008A5E08">
        <w:rPr>
          <w:rFonts w:eastAsiaTheme="minorEastAsia" w:cstheme="minorHAnsi"/>
          <w:lang w:eastAsia="ja-JP"/>
        </w:rPr>
        <w:t xml:space="preserve"> and monitoring capacities. Oversight of contracts purchasing a health service package requires establishing procurement, financial management systems, and accountability systems </w:t>
      </w:r>
      <w:proofErr w:type="gramStart"/>
      <w:r w:rsidRPr="008A5E08">
        <w:rPr>
          <w:rFonts w:eastAsiaTheme="minorEastAsia" w:cstheme="minorHAnsi"/>
          <w:lang w:eastAsia="ja-JP"/>
        </w:rPr>
        <w:t>including  internal</w:t>
      </w:r>
      <w:proofErr w:type="gramEnd"/>
      <w:r w:rsidRPr="008A5E08">
        <w:rPr>
          <w:rFonts w:eastAsiaTheme="minorEastAsia" w:cstheme="minorHAnsi"/>
          <w:lang w:eastAsia="ja-JP"/>
        </w:rPr>
        <w:t xml:space="preserve"> and external audit as well as mechanisms for community engagement. Two regulatory priorities include regulating medicine supply (including essential medicines list, import process and taxation, and ensuring high quality medicines), and developing a legal and regulatory framework for health service providers, including ensuring a level public-private provider playing field. </w:t>
      </w:r>
    </w:p>
    <w:p w14:paraId="7C75F66A"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Health information systems and use of data for analysis and decision-making are key to both system level strengthening and provider level service delivery.</w:t>
      </w:r>
      <w:r w:rsidRPr="008A5E08">
        <w:rPr>
          <w:rFonts w:eastAsiaTheme="minorEastAsia" w:cstheme="minorHAnsi"/>
          <w:lang w:eastAsia="ja-JP"/>
        </w:rPr>
        <w:t xml:space="preserve"> Ultimately, output-based payment systems rely on accurate, reliable data, and while the payments can be initiated using existing data, refinement of the systems will require high-quality, real-time data. Further, </w:t>
      </w:r>
      <w:proofErr w:type="gramStart"/>
      <w:r w:rsidRPr="008A5E08">
        <w:rPr>
          <w:rFonts w:eastAsiaTheme="minorEastAsia" w:cstheme="minorHAnsi"/>
          <w:lang w:eastAsia="ja-JP"/>
        </w:rPr>
        <w:t>integrated</w:t>
      </w:r>
      <w:proofErr w:type="gramEnd"/>
      <w:r w:rsidRPr="008A5E08">
        <w:rPr>
          <w:rFonts w:eastAsiaTheme="minorEastAsia" w:cstheme="minorHAnsi"/>
          <w:lang w:eastAsia="ja-JP"/>
        </w:rPr>
        <w:t xml:space="preserve"> or interoperable systems will help avoid the fragmentation, inefficiency, and lack of reliable data that has occurred in other developing countries. Linking health and financial information systems has a variety of benefits, including that health information directly related to payments tends to generate higher quality data due to penalties for inaccurate reporting. Harmonized or interoperable information systems can also enable better analysis and use of data for decision-making at both service provider and system levels. In the medium to long term digital health information systems can be used to improve interoperability of data as well as availability and reliability.  </w:t>
      </w:r>
    </w:p>
    <w:p w14:paraId="547B3911" w14:textId="77777777"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Organizational and individual capacity building, as well as on-the-job training will contribute to implementation of health system strengthening interventions and help realize the envisioned role of the government in the health sector.</w:t>
      </w:r>
      <w:r w:rsidRPr="008A5E08">
        <w:rPr>
          <w:rFonts w:eastAsiaTheme="minorEastAsia" w:cstheme="minorHAnsi"/>
          <w:lang w:eastAsia="ja-JP"/>
        </w:rPr>
        <w:t xml:space="preserve"> Organizational and individual development will help ensure the “right organization or person does the right thing.” Individual capacity building should include both theory and practice, with a focus on on-the-job training to take advantage of strategies and systems put in place to strengthen all health functions, particularly health financing and management of service delivery. Capacity building will also focus on confidence building, as many individuals are positioned to play their roles but need the inspiration and confidence. Government and development partner capacity building will encompass training, mentoring, and other mechanisms to enable staff to perform at both system and provider levels. The initial focus will be on the practical, feasible and sustainable first step functions and systems described throughout this paper, while in parallel, laying the groundwork for subsequent implementation phases. </w:t>
      </w:r>
    </w:p>
    <w:p w14:paraId="1649250F" w14:textId="59BA9022" w:rsidR="008A5E08" w:rsidRPr="008A5E08" w:rsidRDefault="008A5E08" w:rsidP="008A5E08">
      <w:pPr>
        <w:spacing w:line="240" w:lineRule="auto"/>
        <w:jc w:val="both"/>
        <w:rPr>
          <w:rFonts w:eastAsiaTheme="minorEastAsia" w:cstheme="minorHAnsi"/>
          <w:lang w:eastAsia="ja-JP"/>
        </w:rPr>
      </w:pPr>
      <w:r w:rsidRPr="008A5E08">
        <w:rPr>
          <w:rFonts w:eastAsiaTheme="minorEastAsia" w:cstheme="minorHAnsi"/>
          <w:b/>
          <w:bCs/>
          <w:lang w:eastAsia="ja-JP"/>
        </w:rPr>
        <w:t>Strengthened accountability systems are critical to improve transparency and the Government’s responsiveness to citizens’ needs.</w:t>
      </w:r>
      <w:r w:rsidRPr="008A5E08">
        <w:rPr>
          <w:rFonts w:eastAsiaTheme="minorEastAsia" w:cstheme="minorHAnsi"/>
          <w:lang w:eastAsia="ja-JP"/>
        </w:rPr>
        <w:t xml:space="preserve">  Accountability systems can be improved through health facility level feedback.  In addition, routine household surveys collecting information on both citizen and beneficiary perspectives on health services can be used to help improve the health system’s responsiveness to citizens.  Additionally, digital means of citizens feedback, such as mobile </w:t>
      </w:r>
      <w:r w:rsidR="00B61A40" w:rsidRPr="008A5E08">
        <w:rPr>
          <w:rFonts w:eastAsiaTheme="minorEastAsia" w:cstheme="minorHAnsi"/>
          <w:lang w:eastAsia="ja-JP"/>
        </w:rPr>
        <w:t>phone-based</w:t>
      </w:r>
      <w:r w:rsidRPr="008A5E08">
        <w:rPr>
          <w:rFonts w:eastAsiaTheme="minorEastAsia" w:cstheme="minorHAnsi"/>
          <w:lang w:eastAsia="ja-JP"/>
        </w:rPr>
        <w:t xml:space="preserve"> platforms, can help to improve collection of feedback on health services from citizens, taking advantage of Somalia’s relatively extensive mobile phone coverage. Strengthened government-led coordination platforms, incorporating robust data use, with engagement of civil society, donors, and the private sector </w:t>
      </w:r>
      <w:proofErr w:type="gramStart"/>
      <w:r w:rsidRPr="008A5E08">
        <w:rPr>
          <w:rFonts w:eastAsiaTheme="minorEastAsia" w:cstheme="minorHAnsi"/>
          <w:lang w:eastAsia="ja-JP"/>
        </w:rPr>
        <w:t>and also</w:t>
      </w:r>
      <w:proofErr w:type="gramEnd"/>
      <w:r w:rsidRPr="008A5E08">
        <w:rPr>
          <w:rFonts w:eastAsiaTheme="minorEastAsia" w:cstheme="minorHAnsi"/>
          <w:lang w:eastAsia="ja-JP"/>
        </w:rPr>
        <w:t xml:space="preserve"> critical to improving accountability. In addition, strengthened financial transparency through PFM systems, with engagement of civil society, FMS, and the FGS, is important to improve use of financial resources.  </w:t>
      </w:r>
    </w:p>
    <w:p w14:paraId="0F1F68CC" w14:textId="77777777" w:rsidR="008A5E08" w:rsidRPr="008A5E08" w:rsidRDefault="008A5E08" w:rsidP="008A5E08">
      <w:pPr>
        <w:spacing w:line="240" w:lineRule="auto"/>
        <w:jc w:val="both"/>
        <w:rPr>
          <w:rFonts w:eastAsiaTheme="minorEastAsia" w:cstheme="minorHAnsi"/>
          <w:lang w:eastAsia="ja-JP"/>
        </w:rPr>
      </w:pPr>
      <w:r w:rsidRPr="00057A4C">
        <w:rPr>
          <w:rFonts w:eastAsiaTheme="minorEastAsia" w:cstheme="minorHAnsi"/>
          <w:b/>
          <w:bCs/>
          <w:lang w:eastAsia="ja-JP"/>
        </w:rPr>
        <w:lastRenderedPageBreak/>
        <w:t>Development of institutional roles, rights, responsibilities, and relationships is another critical governance task which is critical for contracting.</w:t>
      </w:r>
      <w:r w:rsidRPr="008A5E08">
        <w:rPr>
          <w:rFonts w:eastAsiaTheme="minorEastAsia" w:cstheme="minorHAnsi"/>
          <w:lang w:eastAsia="ja-JP"/>
        </w:rPr>
        <w:t xml:space="preserve"> The process of defining and strengthening the role of the government in the health sector should take into account: i) roles across levels of government, including assignment of functions and ownership of public providers; ii) roles across national level government structures, including for key multi-sectoral programs such as health, nutrition, and social welfare; iii) the division of responsibilities between the FGS and FMSs under a contract management arrangement; and iv) structure and roles within </w:t>
      </w:r>
      <w:proofErr w:type="spellStart"/>
      <w:r w:rsidRPr="008A5E08">
        <w:rPr>
          <w:rFonts w:eastAsiaTheme="minorEastAsia" w:cstheme="minorHAnsi"/>
          <w:lang w:eastAsia="ja-JP"/>
        </w:rPr>
        <w:t>FMoH</w:t>
      </w:r>
      <w:proofErr w:type="spellEnd"/>
      <w:r w:rsidRPr="008A5E08">
        <w:rPr>
          <w:rFonts w:eastAsiaTheme="minorEastAsia" w:cstheme="minorHAnsi"/>
          <w:lang w:eastAsia="ja-JP"/>
        </w:rPr>
        <w:t xml:space="preserve">, including health purchaser contracting for delivering a health service package and organization of service delivery departments.  </w:t>
      </w:r>
    </w:p>
    <w:p w14:paraId="4304245D" w14:textId="77777777" w:rsidR="008A5E08" w:rsidRPr="008A5E08" w:rsidRDefault="008A5E08" w:rsidP="008A5E08">
      <w:pPr>
        <w:spacing w:line="240" w:lineRule="auto"/>
        <w:jc w:val="both"/>
        <w:rPr>
          <w:rFonts w:eastAsiaTheme="minorEastAsia"/>
          <w:lang w:eastAsia="ja-JP"/>
        </w:rPr>
      </w:pPr>
      <w:r w:rsidRPr="008A5E08">
        <w:rPr>
          <w:rFonts w:eastAsiaTheme="minorEastAsia"/>
          <w:b/>
          <w:bCs/>
          <w:lang w:eastAsia="ja-JP"/>
        </w:rPr>
        <w:t>Somalia is a new federal country and like many other federations in the world, including Brazil, Ethiopia, India, Nigeria, Pakistan, and Uganda, Somalia’s federal structure has developed in response to its unique history, culture, and socio-economic needs.</w:t>
      </w:r>
      <w:r w:rsidRPr="008A5E08">
        <w:rPr>
          <w:rFonts w:eastAsiaTheme="minorEastAsia"/>
          <w:b/>
          <w:bCs/>
          <w:vertAlign w:val="superscript"/>
          <w:lang w:eastAsia="ja-JP"/>
        </w:rPr>
        <w:footnoteReference w:id="72"/>
      </w:r>
      <w:r w:rsidRPr="008A5E08">
        <w:rPr>
          <w:rFonts w:eastAsiaTheme="minorEastAsia"/>
          <w:lang w:eastAsia="ja-JP"/>
        </w:rPr>
        <w:t xml:space="preserve"> Federalism presents a number of benefits for the health sector, in particular the proximity of decentralized levels to local needs provides opportunity </w:t>
      </w:r>
      <w:r w:rsidRPr="008A5E08">
        <w:rPr>
          <w:rFonts w:ascii="Calibri" w:eastAsiaTheme="minorEastAsia" w:hAnsi="Calibri" w:cs="Calibri"/>
          <w:lang w:eastAsia="ja-JP"/>
        </w:rPr>
        <w:t xml:space="preserve">for decision-making </w:t>
      </w:r>
      <w:r w:rsidRPr="008A5E08">
        <w:rPr>
          <w:rFonts w:eastAsiaTheme="minorEastAsia"/>
          <w:lang w:eastAsia="ja-JP"/>
        </w:rPr>
        <w:t xml:space="preserve">planning, and budgeting based on local context and evidence and can increase the timeliness of decision making.  However, many federal systems face revenue generation challenges and inadequate planning and implementation capacity at the decentralized levels. </w:t>
      </w:r>
    </w:p>
    <w:p w14:paraId="10F3DDDA" w14:textId="77777777" w:rsidR="008A5E08" w:rsidRPr="008A5E08" w:rsidRDefault="008A5E08" w:rsidP="008A5E08">
      <w:pPr>
        <w:spacing w:line="240" w:lineRule="auto"/>
        <w:jc w:val="both"/>
        <w:rPr>
          <w:rFonts w:eastAsiaTheme="minorEastAsia"/>
          <w:lang w:eastAsia="ja-JP"/>
        </w:rPr>
      </w:pPr>
      <w:r w:rsidRPr="008A5E08">
        <w:rPr>
          <w:rFonts w:eastAsiaTheme="minorEastAsia"/>
          <w:b/>
          <w:bCs/>
          <w:lang w:eastAsia="ja-JP"/>
        </w:rPr>
        <w:t>Health functions in Somalia’s federal system have yet to be delineated between the FGS and the FMS.</w:t>
      </w:r>
      <w:r w:rsidRPr="008A5E08">
        <w:rPr>
          <w:rFonts w:eastAsiaTheme="minorEastAsia"/>
          <w:lang w:eastAsia="ja-JP"/>
        </w:rPr>
        <w:t xml:space="preserve">  Delineation of health system functions is part of broader constitutional development efforts underway for the country.  Currently, the country is at a critical juncture for identifying roles in the federal system.  Core considerations in identifying roles within the federal system include how to ensure equity, effectively operationalizing health system functions, and tailoring health services to local needs.  In addition, capacity is a key consideration in determining the responsibilities of the federal versus state levels of the health system. In addition, capacity at both the FMS and FGS levels is nascent and being developed. As a result, current roles in the federal system may differ from longer-term roles, as capacity increases.  </w:t>
      </w:r>
    </w:p>
    <w:p w14:paraId="7692B468" w14:textId="7F311763" w:rsidR="008A5E08" w:rsidRDefault="008A5E08" w:rsidP="008A5E08">
      <w:pPr>
        <w:spacing w:line="240" w:lineRule="auto"/>
        <w:jc w:val="both"/>
        <w:rPr>
          <w:rFonts w:eastAsiaTheme="minorEastAsia"/>
          <w:lang w:eastAsia="ja-JP"/>
        </w:rPr>
      </w:pPr>
      <w:r w:rsidRPr="008A5E08">
        <w:rPr>
          <w:rFonts w:eastAsiaTheme="minorEastAsia"/>
          <w:b/>
          <w:bCs/>
          <w:lang w:eastAsia="ja-JP"/>
        </w:rPr>
        <w:t>Given the likelihood that short term functions in the Federal system will likely differ from long-term functions, to ensure effective divisions of responsibility, there is a need to proactively identify short and long-term options for decentralization.</w:t>
      </w:r>
      <w:r w:rsidRPr="008A5E08">
        <w:rPr>
          <w:rFonts w:eastAsiaTheme="minorEastAsia"/>
          <w:lang w:eastAsia="ja-JP"/>
        </w:rPr>
        <w:t xml:space="preserve">  In the long-term, lessons and experience from other federal countries indicate that to ensure high-quality, equitable health services sub-national governments are best placed to manage health service delivery while the federal government is best placed to be responsible for intra-state coordination, setting quality standards, and regulation.</w:t>
      </w:r>
      <w:r w:rsidRPr="008A5E08" w:rsidDel="00D85703">
        <w:rPr>
          <w:rFonts w:eastAsiaTheme="minorEastAsia"/>
          <w:lang w:eastAsia="ja-JP"/>
        </w:rPr>
        <w:t xml:space="preserve"> </w:t>
      </w:r>
      <w:r w:rsidRPr="008A5E08">
        <w:rPr>
          <w:rFonts w:eastAsiaTheme="minorEastAsia"/>
          <w:lang w:eastAsia="ja-JP"/>
        </w:rPr>
        <w:t xml:space="preserve">However, ensuring consistent, equitable delivery of basic health services is a priority.  To address capacity gaps and inconsistencies at the FMS level and ensure equity and consistency across the country, in the short term it may be most effective for service delivery to be coordinated by FGS. Simultaneously, regulatory functions, such as regulation of health workers and health facilities, pharmaceuticals, and health service quality can be established at the federal level, with execution at both the federal and sub-national levels.  For example, the federal level may set regulatory standards for pharmaceuticals, while the state level may carry out quality checks on pharmaceuticals to ensure that pharmaceuticals meet standards set at the federal level.  In terms of health service delivery, day to day oversight of health service delivery as well as determining service locations and the facility mix may benefit from local, contextual knowledge and oversight inherent to decentralization at the state level, while the FGS may identify the health service delivery package to be delivered throughout the country, to ensure equity and align with global targets.  Initially, health service purchasing (contracting) may be through the Federal level with a gradual transition of contracting to the FMS level as FMS capacity increases. </w:t>
      </w:r>
    </w:p>
    <w:p w14:paraId="195B37EA" w14:textId="5B7CC4BA" w:rsidR="0042795F" w:rsidRDefault="0042795F" w:rsidP="008A5E08">
      <w:pPr>
        <w:spacing w:line="240" w:lineRule="auto"/>
        <w:jc w:val="both"/>
        <w:rPr>
          <w:rFonts w:eastAsiaTheme="minorEastAsia"/>
          <w:lang w:eastAsia="ja-JP"/>
        </w:rPr>
      </w:pPr>
    </w:p>
    <w:p w14:paraId="5C9400AA" w14:textId="77777777" w:rsidR="0042795F" w:rsidRPr="008A5E08" w:rsidRDefault="0042795F" w:rsidP="008A5E08">
      <w:pPr>
        <w:spacing w:line="240" w:lineRule="auto"/>
        <w:jc w:val="both"/>
        <w:rPr>
          <w:rFonts w:eastAsiaTheme="minorEastAsia"/>
          <w:lang w:eastAsia="ja-JP"/>
        </w:rPr>
      </w:pPr>
    </w:p>
    <w:p w14:paraId="751FED2B" w14:textId="77777777" w:rsidR="008A5E08" w:rsidRPr="008A5E08" w:rsidRDefault="008A5E08" w:rsidP="0042795F">
      <w:pPr>
        <w:pStyle w:val="Heading2"/>
        <w:spacing w:before="120" w:after="120"/>
        <w:rPr>
          <w:lang w:eastAsia="ja-JP"/>
        </w:rPr>
      </w:pPr>
      <w:bookmarkStart w:id="179" w:name="_Toc71725913"/>
      <w:r w:rsidRPr="008A5E08">
        <w:rPr>
          <w:lang w:eastAsia="ja-JP"/>
        </w:rPr>
        <w:t>Conclusion</w:t>
      </w:r>
      <w:bookmarkEnd w:id="179"/>
      <w:r w:rsidRPr="008A5E08">
        <w:rPr>
          <w:lang w:eastAsia="ja-JP"/>
        </w:rPr>
        <w:t xml:space="preserve"> </w:t>
      </w:r>
    </w:p>
    <w:p w14:paraId="2D7A2482" w14:textId="44D68CB7" w:rsidR="008A5E08" w:rsidRPr="008A5E08" w:rsidRDefault="008A5E08" w:rsidP="00E1129B">
      <w:pPr>
        <w:spacing w:after="120" w:line="240" w:lineRule="auto"/>
        <w:jc w:val="both"/>
        <w:rPr>
          <w:rFonts w:eastAsiaTheme="minorEastAsia" w:cstheme="minorHAnsi"/>
          <w:lang w:eastAsia="ja-JP"/>
        </w:rPr>
      </w:pPr>
      <w:r w:rsidRPr="008A5E08">
        <w:rPr>
          <w:rFonts w:eastAsiaTheme="minorEastAsia" w:cstheme="minorHAnsi"/>
          <w:b/>
          <w:bCs/>
          <w:lang w:eastAsia="ja-JP"/>
        </w:rPr>
        <w:t>While Somalia has a long road ahead to strengthen the health system and improve health outcomes, at present there are important opportunities to have a tangible impact on Somalia’s health sector.</w:t>
      </w:r>
      <w:r w:rsidRPr="008A5E08">
        <w:rPr>
          <w:rFonts w:eastAsiaTheme="minorEastAsia" w:cstheme="minorHAnsi"/>
          <w:lang w:eastAsia="ja-JP"/>
        </w:rPr>
        <w:t xml:space="preserve"> </w:t>
      </w:r>
      <w:r w:rsidR="0042795F" w:rsidRPr="008A5E08">
        <w:rPr>
          <w:rFonts w:eastAsiaTheme="minorEastAsia" w:cstheme="minorHAnsi"/>
          <w:lang w:eastAsia="ja-JP"/>
        </w:rPr>
        <w:t>The recommendations</w:t>
      </w:r>
      <w:r w:rsidRPr="008A5E08">
        <w:rPr>
          <w:rFonts w:eastAsiaTheme="minorEastAsia" w:cstheme="minorHAnsi"/>
          <w:lang w:eastAsia="ja-JP"/>
        </w:rPr>
        <w:t xml:space="preserve"> for the health sector based on the findings in the SEU are as follows and further summarized in </w:t>
      </w:r>
      <w:r w:rsidR="0042795F" w:rsidRPr="0042795F">
        <w:rPr>
          <w:rFonts w:eastAsiaTheme="minorEastAsia" w:cstheme="minorHAnsi"/>
          <w:lang w:eastAsia="ja-JP"/>
        </w:rPr>
        <w:fldChar w:fldCharType="begin"/>
      </w:r>
      <w:r w:rsidR="0042795F" w:rsidRPr="0042795F">
        <w:rPr>
          <w:rFonts w:eastAsiaTheme="minorEastAsia" w:cstheme="minorHAnsi"/>
          <w:lang w:eastAsia="ja-JP"/>
        </w:rPr>
        <w:instrText xml:space="preserve"> REF _Ref71574396 \h  \* MERGEFORMAT </w:instrText>
      </w:r>
      <w:r w:rsidR="0042795F" w:rsidRPr="0042795F">
        <w:rPr>
          <w:rFonts w:eastAsiaTheme="minorEastAsia" w:cstheme="minorHAnsi"/>
          <w:lang w:eastAsia="ja-JP"/>
        </w:rPr>
      </w:r>
      <w:r w:rsidR="0042795F" w:rsidRPr="0042795F">
        <w:rPr>
          <w:rFonts w:eastAsiaTheme="minorEastAsia" w:cstheme="minorHAnsi"/>
          <w:lang w:eastAsia="ja-JP"/>
        </w:rPr>
        <w:fldChar w:fldCharType="separate"/>
      </w:r>
      <w:r w:rsidR="0042795F" w:rsidRPr="008A5E08">
        <w:rPr>
          <w:rFonts w:eastAsiaTheme="minorEastAsia"/>
          <w:lang w:eastAsia="ja-JP"/>
        </w:rPr>
        <w:t xml:space="preserve">Table </w:t>
      </w:r>
      <w:r w:rsidR="0042795F" w:rsidRPr="0042795F">
        <w:rPr>
          <w:rFonts w:eastAsiaTheme="minorEastAsia"/>
          <w:noProof/>
          <w:lang w:eastAsia="ja-JP"/>
        </w:rPr>
        <w:t>7</w:t>
      </w:r>
      <w:r w:rsidR="0042795F" w:rsidRPr="0042795F">
        <w:rPr>
          <w:rFonts w:eastAsiaTheme="minorEastAsia" w:cstheme="minorHAnsi"/>
          <w:lang w:eastAsia="ja-JP"/>
        </w:rPr>
        <w:fldChar w:fldCharType="end"/>
      </w:r>
      <w:r w:rsidRPr="008A5E08">
        <w:rPr>
          <w:rFonts w:eastAsiaTheme="minorEastAsia" w:cstheme="minorHAnsi"/>
          <w:lang w:eastAsia="ja-JP"/>
        </w:rPr>
        <w:t>:</w:t>
      </w:r>
    </w:p>
    <w:p w14:paraId="7B5A5739" w14:textId="77777777" w:rsidR="008A5E08" w:rsidRPr="008A5E08" w:rsidRDefault="008A5E08" w:rsidP="00E1129B">
      <w:pPr>
        <w:numPr>
          <w:ilvl w:val="0"/>
          <w:numId w:val="12"/>
        </w:numPr>
        <w:spacing w:after="0" w:line="240" w:lineRule="auto"/>
        <w:contextualSpacing/>
        <w:jc w:val="both"/>
        <w:rPr>
          <w:rFonts w:eastAsiaTheme="minorEastAsia" w:cstheme="minorHAnsi"/>
          <w:lang w:eastAsia="ja-JP"/>
        </w:rPr>
      </w:pPr>
      <w:r w:rsidRPr="008A5E08">
        <w:rPr>
          <w:rFonts w:eastAsiaTheme="minorEastAsia" w:cstheme="minorHAnsi"/>
          <w:b/>
          <w:bCs/>
          <w:lang w:eastAsia="ja-JP"/>
        </w:rPr>
        <w:t>Health Financing:</w:t>
      </w:r>
      <w:r w:rsidRPr="008A5E08">
        <w:rPr>
          <w:rFonts w:eastAsiaTheme="minorEastAsia" w:cstheme="minorHAnsi"/>
          <w:lang w:eastAsia="ja-JP"/>
        </w:rPr>
        <w:t xml:space="preserve"> Use of a harmonized, output-based provider payment formula will help to establish the government’s role in setting health service prices towards equitable service delivery. These harmonized, output-based payments will also establish a basis through which pooling can be further established. Further, g</w:t>
      </w:r>
      <w:r w:rsidRPr="008A5E08">
        <w:rPr>
          <w:rFonts w:eastAsiaTheme="minorEastAsia" w:cstheme="minorHAnsi"/>
          <w:bCs/>
          <w:lang w:eastAsia="ja-JP"/>
        </w:rPr>
        <w:t xml:space="preserve">overnment contracting of NGOs to deliver health services is an optimal way to expand health service delivery in the context of limited government capacity. Contracting is also a way to define roles between the health service purchaser (the government) and providers (NGOs). Health service contracting can also be used to harness Somalia’s large, existing, and primarily for-profit private sector which can be more effectively deployed to deliver health services. </w:t>
      </w:r>
    </w:p>
    <w:p w14:paraId="53D11281" w14:textId="77777777" w:rsidR="008A5E08" w:rsidRPr="008A5E08" w:rsidRDefault="008A5E08" w:rsidP="00E1129B">
      <w:pPr>
        <w:numPr>
          <w:ilvl w:val="0"/>
          <w:numId w:val="12"/>
        </w:numPr>
        <w:spacing w:after="0" w:line="240" w:lineRule="auto"/>
        <w:contextualSpacing/>
        <w:jc w:val="both"/>
        <w:rPr>
          <w:rFonts w:eastAsiaTheme="minorEastAsia" w:cstheme="minorHAnsi"/>
          <w:lang w:eastAsia="ja-JP"/>
        </w:rPr>
      </w:pPr>
      <w:r w:rsidRPr="008A5E08">
        <w:rPr>
          <w:rFonts w:eastAsiaTheme="minorEastAsia" w:cstheme="minorHAnsi"/>
          <w:b/>
          <w:lang w:eastAsia="ja-JP"/>
        </w:rPr>
        <w:t>Health Service Delivery:</w:t>
      </w:r>
      <w:r w:rsidRPr="008A5E08">
        <w:rPr>
          <w:rFonts w:eastAsiaTheme="minorEastAsia" w:cstheme="minorHAnsi"/>
          <w:lang w:eastAsia="ja-JP"/>
        </w:rPr>
        <w:t xml:space="preserve"> Incoming donor funding into Somalia through the World Bank and other partners offers the opportunity to focus on cost-effective, high impact interventions which target the primary burdens of disease to improve health outcomes in Somalia. Improvements in quality of services can have a dramatic impact on value-for-money. Health outcome improvements will have substantial economic impacts for the country, improving economic participation and increasing livelihood generation capacity. </w:t>
      </w:r>
    </w:p>
    <w:p w14:paraId="16BFAED1" w14:textId="77777777" w:rsidR="008A5E08" w:rsidRPr="008A5E08" w:rsidRDefault="008A5E08" w:rsidP="00E1129B">
      <w:pPr>
        <w:numPr>
          <w:ilvl w:val="0"/>
          <w:numId w:val="12"/>
        </w:numPr>
        <w:spacing w:after="0" w:line="240" w:lineRule="auto"/>
        <w:contextualSpacing/>
        <w:jc w:val="both"/>
        <w:rPr>
          <w:rFonts w:eastAsiaTheme="minorEastAsia" w:cstheme="minorHAnsi"/>
          <w:lang w:eastAsia="ja-JP"/>
        </w:rPr>
      </w:pPr>
      <w:r w:rsidRPr="008A5E08">
        <w:rPr>
          <w:rFonts w:eastAsiaTheme="minorEastAsia" w:cstheme="minorHAnsi"/>
          <w:b/>
          <w:lang w:eastAsia="ja-JP"/>
        </w:rPr>
        <w:t>Stewardship:</w:t>
      </w:r>
      <w:r w:rsidRPr="008A5E08">
        <w:rPr>
          <w:rFonts w:eastAsiaTheme="minorEastAsia" w:cstheme="minorHAnsi"/>
          <w:lang w:eastAsia="ja-JP"/>
        </w:rPr>
        <w:t xml:space="preserve"> Complementary to improving health outcomes, developing government stewardship capacity is a means to strengthening the health sector response to the population’s health needs by enabling sound and sustainable regulatory, monitoring, and oversight systems. Further, health service contracting will not only rapidly expand health service delivery in the context of limited government capacity but will also clearly delineate roles and responsibilities between the health service purchaser and provider, strengthening PFM. In the short term, the FGS can contract health service providers, while capacity of FMS is further strengthened.  FMS can be responsible for day-to-day monitoring of health service contracts.  Contingent on the direction of ongoing discussions on constitutional arrangements between the FGS and FMS, the FMS can gradually take on responsibility for service delivery.</w:t>
      </w:r>
    </w:p>
    <w:p w14:paraId="52A23422" w14:textId="77777777" w:rsidR="008A5E08" w:rsidRPr="008A5E08" w:rsidRDefault="008A5E08" w:rsidP="008A5E08">
      <w:pPr>
        <w:spacing w:after="0" w:line="240" w:lineRule="auto"/>
        <w:jc w:val="both"/>
        <w:rPr>
          <w:rFonts w:ascii="Calibri" w:eastAsia="Yu Mincho" w:hAnsi="Calibri" w:cs="Arial"/>
          <w:lang w:eastAsia="ja-JP"/>
        </w:rPr>
      </w:pPr>
    </w:p>
    <w:p w14:paraId="33B6DCA3" w14:textId="386FDE60" w:rsidR="008A5E08" w:rsidRPr="008A5E08" w:rsidRDefault="008A5E08" w:rsidP="0042795F">
      <w:pPr>
        <w:keepNext/>
        <w:spacing w:after="0" w:line="240" w:lineRule="auto"/>
        <w:rPr>
          <w:rFonts w:eastAsiaTheme="minorEastAsia"/>
          <w:b/>
          <w:bCs/>
          <w:i/>
          <w:iCs/>
          <w:color w:val="44546A" w:themeColor="text2"/>
          <w:sz w:val="18"/>
          <w:szCs w:val="18"/>
          <w:lang w:eastAsia="ja-JP"/>
        </w:rPr>
      </w:pPr>
      <w:bookmarkStart w:id="180" w:name="_Ref71574396"/>
      <w:bookmarkStart w:id="181" w:name="_Toc71725964"/>
      <w:r w:rsidRPr="008A5E08">
        <w:rPr>
          <w:rFonts w:eastAsiaTheme="minorEastAsia"/>
          <w:b/>
          <w:bCs/>
          <w:lang w:eastAsia="ja-JP"/>
        </w:rPr>
        <w:t xml:space="preserve">Table </w:t>
      </w:r>
      <w:r w:rsidRPr="008A5E08">
        <w:rPr>
          <w:rFonts w:eastAsiaTheme="minorEastAsia"/>
          <w:b/>
          <w:bCs/>
          <w:lang w:eastAsia="ja-JP"/>
        </w:rPr>
        <w:fldChar w:fldCharType="begin"/>
      </w:r>
      <w:r w:rsidRPr="008A5E08">
        <w:rPr>
          <w:rFonts w:eastAsiaTheme="minorEastAsia"/>
          <w:b/>
          <w:bCs/>
          <w:lang w:eastAsia="ja-JP"/>
        </w:rPr>
        <w:instrText xml:space="preserve"> SEQ Table \* ARABIC </w:instrText>
      </w:r>
      <w:r w:rsidRPr="008A5E08">
        <w:rPr>
          <w:rFonts w:eastAsiaTheme="minorEastAsia"/>
          <w:b/>
          <w:bCs/>
          <w:lang w:eastAsia="ja-JP"/>
        </w:rPr>
        <w:fldChar w:fldCharType="separate"/>
      </w:r>
      <w:r w:rsidR="0042795F">
        <w:rPr>
          <w:rFonts w:eastAsiaTheme="minorEastAsia"/>
          <w:b/>
          <w:bCs/>
          <w:noProof/>
          <w:lang w:eastAsia="ja-JP"/>
        </w:rPr>
        <w:t>7</w:t>
      </w:r>
      <w:r w:rsidRPr="008A5E08">
        <w:rPr>
          <w:rFonts w:eastAsiaTheme="minorEastAsia"/>
          <w:b/>
          <w:bCs/>
          <w:lang w:eastAsia="ja-JP"/>
        </w:rPr>
        <w:fldChar w:fldCharType="end"/>
      </w:r>
      <w:bookmarkEnd w:id="180"/>
      <w:r w:rsidRPr="008A5E08">
        <w:rPr>
          <w:rFonts w:eastAsiaTheme="minorEastAsia"/>
          <w:b/>
          <w:bCs/>
          <w:lang w:eastAsia="ja-JP"/>
        </w:rPr>
        <w:t>: Summary of Recommended Actions in the Short and Medium Term</w:t>
      </w:r>
      <w:bookmarkEnd w:id="181"/>
    </w:p>
    <w:tbl>
      <w:tblPr>
        <w:tblStyle w:val="GridTable2-Accent5"/>
        <w:tblW w:w="0" w:type="auto"/>
        <w:tblLook w:val="04A0" w:firstRow="1" w:lastRow="0" w:firstColumn="1" w:lastColumn="0" w:noHBand="0" w:noVBand="1"/>
      </w:tblPr>
      <w:tblGrid>
        <w:gridCol w:w="1525"/>
        <w:gridCol w:w="4410"/>
        <w:gridCol w:w="3415"/>
      </w:tblGrid>
      <w:tr w:rsidR="008A5E08" w:rsidRPr="00E1129B" w14:paraId="196F3D70" w14:textId="77777777" w:rsidTr="00E11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93B1C5B" w14:textId="77777777" w:rsidR="008A5E08" w:rsidRPr="00E1129B" w:rsidRDefault="008A5E08" w:rsidP="008A5E08">
            <w:pPr>
              <w:rPr>
                <w:rFonts w:eastAsiaTheme="minorEastAsia"/>
                <w:lang w:eastAsia="ja-JP"/>
              </w:rPr>
            </w:pPr>
            <w:r w:rsidRPr="00E1129B">
              <w:rPr>
                <w:rFonts w:eastAsiaTheme="minorEastAsia"/>
                <w:lang w:eastAsia="ja-JP"/>
              </w:rPr>
              <w:t>Area</w:t>
            </w:r>
          </w:p>
        </w:tc>
        <w:tc>
          <w:tcPr>
            <w:tcW w:w="4410" w:type="dxa"/>
          </w:tcPr>
          <w:p w14:paraId="3BBB78F2" w14:textId="77777777" w:rsidR="008A5E08" w:rsidRPr="00E1129B" w:rsidRDefault="008A5E08" w:rsidP="008A5E08">
            <w:pPr>
              <w:cnfStyle w:val="100000000000" w:firstRow="1" w:lastRow="0" w:firstColumn="0" w:lastColumn="0" w:oddVBand="0" w:evenVBand="0" w:oddHBand="0" w:evenHBand="0" w:firstRowFirstColumn="0" w:firstRowLastColumn="0" w:lastRowFirstColumn="0" w:lastRowLastColumn="0"/>
              <w:rPr>
                <w:rFonts w:eastAsiaTheme="minorEastAsia"/>
                <w:lang w:eastAsia="ja-JP"/>
              </w:rPr>
            </w:pPr>
            <w:r w:rsidRPr="00E1129B">
              <w:rPr>
                <w:rFonts w:eastAsiaTheme="minorEastAsia"/>
                <w:lang w:eastAsia="ja-JP"/>
              </w:rPr>
              <w:t>Short Term Recommendations</w:t>
            </w:r>
          </w:p>
        </w:tc>
        <w:tc>
          <w:tcPr>
            <w:tcW w:w="3415" w:type="dxa"/>
          </w:tcPr>
          <w:p w14:paraId="221BA3FF" w14:textId="77777777" w:rsidR="008A5E08" w:rsidRPr="00E1129B" w:rsidRDefault="008A5E08" w:rsidP="008A5E08">
            <w:pPr>
              <w:cnfStyle w:val="100000000000" w:firstRow="1" w:lastRow="0" w:firstColumn="0" w:lastColumn="0" w:oddVBand="0" w:evenVBand="0" w:oddHBand="0" w:evenHBand="0" w:firstRowFirstColumn="0" w:firstRowLastColumn="0" w:lastRowFirstColumn="0" w:lastRowLastColumn="0"/>
              <w:rPr>
                <w:rFonts w:eastAsiaTheme="minorEastAsia"/>
                <w:lang w:eastAsia="ja-JP"/>
              </w:rPr>
            </w:pPr>
            <w:r w:rsidRPr="00E1129B">
              <w:rPr>
                <w:rFonts w:eastAsiaTheme="minorEastAsia"/>
                <w:lang w:eastAsia="ja-JP"/>
              </w:rPr>
              <w:t>Medium-Term Recommendations</w:t>
            </w:r>
          </w:p>
        </w:tc>
      </w:tr>
      <w:tr w:rsidR="008A5E08" w:rsidRPr="008A5E08" w14:paraId="5BD6623E" w14:textId="77777777" w:rsidTr="00E11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B94B652" w14:textId="77777777" w:rsidR="008A5E08" w:rsidRPr="008A5E08" w:rsidRDefault="008A5E08" w:rsidP="008A5E08">
            <w:pPr>
              <w:rPr>
                <w:rFonts w:eastAsiaTheme="minorEastAsia"/>
                <w:b w:val="0"/>
                <w:bCs w:val="0"/>
                <w:lang w:eastAsia="ja-JP"/>
              </w:rPr>
            </w:pPr>
            <w:r w:rsidRPr="008A5E08">
              <w:rPr>
                <w:rFonts w:eastAsiaTheme="minorEastAsia"/>
                <w:b w:val="0"/>
                <w:bCs w:val="0"/>
                <w:lang w:eastAsia="ja-JP"/>
              </w:rPr>
              <w:t>Health Financing</w:t>
            </w:r>
          </w:p>
        </w:tc>
        <w:tc>
          <w:tcPr>
            <w:tcW w:w="4410" w:type="dxa"/>
          </w:tcPr>
          <w:p w14:paraId="73235050" w14:textId="77777777" w:rsidR="008A5E08" w:rsidRPr="008A5E08" w:rsidRDefault="008A5E08" w:rsidP="00E1129B">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cstheme="minorHAnsi"/>
                <w:lang w:eastAsia="ja-JP"/>
              </w:rPr>
              <w:t>Use of a harmonized, output-based provider payment formula</w:t>
            </w:r>
          </w:p>
          <w:p w14:paraId="2CCCF5D0" w14:textId="77777777" w:rsidR="008A5E08" w:rsidRPr="008A5E08" w:rsidRDefault="008A5E08" w:rsidP="00E1129B">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cstheme="minorHAnsi"/>
                <w:lang w:eastAsia="ja-JP"/>
              </w:rPr>
              <w:t>Contracting of NGOs to deliver health services</w:t>
            </w:r>
          </w:p>
        </w:tc>
        <w:tc>
          <w:tcPr>
            <w:tcW w:w="3415" w:type="dxa"/>
          </w:tcPr>
          <w:p w14:paraId="4DFF0401" w14:textId="77777777" w:rsidR="008A5E08" w:rsidRPr="008A5E08" w:rsidRDefault="008A5E08" w:rsidP="00E1129B">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Harmonized, output based provider payment formula used by financers as a step towards pooling</w:t>
            </w:r>
          </w:p>
          <w:p w14:paraId="4B49733A" w14:textId="77777777" w:rsidR="008A5E08" w:rsidRPr="008A5E08" w:rsidRDefault="008A5E08" w:rsidP="00E1129B">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Government contracting of for-profit, private sector health service providers using harmonized payment formula</w:t>
            </w:r>
          </w:p>
        </w:tc>
      </w:tr>
      <w:tr w:rsidR="008A5E08" w:rsidRPr="008A5E08" w14:paraId="5006F9AC" w14:textId="77777777" w:rsidTr="00E1129B">
        <w:tc>
          <w:tcPr>
            <w:cnfStyle w:val="001000000000" w:firstRow="0" w:lastRow="0" w:firstColumn="1" w:lastColumn="0" w:oddVBand="0" w:evenVBand="0" w:oddHBand="0" w:evenHBand="0" w:firstRowFirstColumn="0" w:firstRowLastColumn="0" w:lastRowFirstColumn="0" w:lastRowLastColumn="0"/>
            <w:tcW w:w="1525" w:type="dxa"/>
          </w:tcPr>
          <w:p w14:paraId="4A83CD1F" w14:textId="77777777" w:rsidR="008A5E08" w:rsidRPr="008A5E08" w:rsidRDefault="008A5E08" w:rsidP="008A5E08">
            <w:pPr>
              <w:rPr>
                <w:rFonts w:eastAsiaTheme="minorEastAsia"/>
                <w:b w:val="0"/>
                <w:bCs w:val="0"/>
                <w:lang w:eastAsia="ja-JP"/>
              </w:rPr>
            </w:pPr>
            <w:r w:rsidRPr="008A5E08">
              <w:rPr>
                <w:rFonts w:eastAsiaTheme="minorEastAsia"/>
                <w:b w:val="0"/>
                <w:bCs w:val="0"/>
                <w:lang w:eastAsia="ja-JP"/>
              </w:rPr>
              <w:lastRenderedPageBreak/>
              <w:t>Health Service Delivery</w:t>
            </w:r>
          </w:p>
        </w:tc>
        <w:tc>
          <w:tcPr>
            <w:tcW w:w="4410" w:type="dxa"/>
          </w:tcPr>
          <w:p w14:paraId="3D610DFB" w14:textId="77777777" w:rsidR="008A5E08" w:rsidRPr="008A5E08" w:rsidRDefault="008A5E08" w:rsidP="00E1129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8A5E08">
              <w:rPr>
                <w:rFonts w:eastAsiaTheme="minorEastAsia"/>
                <w:lang w:eastAsia="ja-JP"/>
              </w:rPr>
              <w:t>Finance high-impact, cost-effective interventions to rapidly improve health outcomes</w:t>
            </w:r>
          </w:p>
          <w:p w14:paraId="4F62295A" w14:textId="77777777" w:rsidR="008A5E08" w:rsidRPr="008A5E08" w:rsidRDefault="008A5E08" w:rsidP="00E1129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8A5E08">
              <w:rPr>
                <w:rFonts w:eastAsiaTheme="minorEastAsia"/>
                <w:lang w:eastAsia="ja-JP"/>
              </w:rPr>
              <w:t>Strengthen HMIS System through a focus on improved data use and quality</w:t>
            </w:r>
          </w:p>
        </w:tc>
        <w:tc>
          <w:tcPr>
            <w:tcW w:w="3415" w:type="dxa"/>
          </w:tcPr>
          <w:p w14:paraId="03D9535E" w14:textId="77777777" w:rsidR="008A5E08" w:rsidRPr="008A5E08" w:rsidRDefault="008A5E08" w:rsidP="00E1129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8A5E08">
              <w:rPr>
                <w:rFonts w:eastAsiaTheme="minorEastAsia"/>
                <w:lang w:eastAsia="ja-JP"/>
              </w:rPr>
              <w:t>Finance additional interventions as additional resources become available and health outcomes improve</w:t>
            </w:r>
          </w:p>
          <w:p w14:paraId="435FDF51" w14:textId="77777777" w:rsidR="008A5E08" w:rsidRPr="008A5E08" w:rsidRDefault="008A5E08" w:rsidP="00E1129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8A5E08">
              <w:rPr>
                <w:rFonts w:eastAsiaTheme="minorEastAsia"/>
                <w:lang w:eastAsia="ja-JP"/>
              </w:rPr>
              <w:t>Introduce digital data options to improve timeliness of data</w:t>
            </w:r>
          </w:p>
        </w:tc>
      </w:tr>
      <w:tr w:rsidR="008A5E08" w:rsidRPr="008A5E08" w14:paraId="4C34BDC0" w14:textId="77777777" w:rsidTr="00E11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A50DC2" w14:textId="77777777" w:rsidR="008A5E08" w:rsidRPr="008A5E08" w:rsidRDefault="008A5E08" w:rsidP="008A5E08">
            <w:pPr>
              <w:rPr>
                <w:rFonts w:eastAsiaTheme="minorEastAsia"/>
                <w:b w:val="0"/>
                <w:bCs w:val="0"/>
                <w:lang w:eastAsia="ja-JP"/>
              </w:rPr>
            </w:pPr>
            <w:r w:rsidRPr="008A5E08">
              <w:rPr>
                <w:rFonts w:eastAsiaTheme="minorEastAsia"/>
                <w:b w:val="0"/>
                <w:bCs w:val="0"/>
                <w:lang w:eastAsia="ja-JP"/>
              </w:rPr>
              <w:t>Stewardship</w:t>
            </w:r>
          </w:p>
        </w:tc>
        <w:tc>
          <w:tcPr>
            <w:tcW w:w="4410" w:type="dxa"/>
          </w:tcPr>
          <w:p w14:paraId="750D8FE2" w14:textId="77777777" w:rsidR="008A5E08" w:rsidRPr="008A5E08" w:rsidRDefault="008A5E08" w:rsidP="00E1129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Capacity development of FGS and FMS</w:t>
            </w:r>
          </w:p>
          <w:p w14:paraId="2455CB16" w14:textId="77777777" w:rsidR="008A5E08" w:rsidRPr="008A5E08" w:rsidRDefault="008A5E08" w:rsidP="00E1129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Delineation of service delivery roles and responsibilities</w:t>
            </w:r>
          </w:p>
          <w:p w14:paraId="0A5CD9BF" w14:textId="77777777" w:rsidR="008A5E08" w:rsidRPr="008A5E08" w:rsidRDefault="008A5E08" w:rsidP="00E1129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Contracting of health service providers by FGS with day to day monitoring from FMS</w:t>
            </w:r>
          </w:p>
        </w:tc>
        <w:tc>
          <w:tcPr>
            <w:tcW w:w="3415" w:type="dxa"/>
          </w:tcPr>
          <w:p w14:paraId="271A2431" w14:textId="77777777" w:rsidR="008A5E08" w:rsidRPr="008A5E08" w:rsidRDefault="008A5E08" w:rsidP="00E1129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Continued FGS and FMS capacity development</w:t>
            </w:r>
          </w:p>
          <w:p w14:paraId="30EB414C" w14:textId="77777777" w:rsidR="008A5E08" w:rsidRPr="008A5E08" w:rsidRDefault="008A5E08" w:rsidP="00E1129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8A5E08">
              <w:rPr>
                <w:rFonts w:eastAsiaTheme="minorEastAsia"/>
                <w:lang w:eastAsia="ja-JP"/>
              </w:rPr>
              <w:t>Increasing service delivery role for FMS, dependent on direction of constitutional discussions</w:t>
            </w:r>
          </w:p>
        </w:tc>
      </w:tr>
    </w:tbl>
    <w:p w14:paraId="64700643" w14:textId="77777777" w:rsidR="00FD064A" w:rsidRPr="004E5301" w:rsidRDefault="00FD064A" w:rsidP="001E09E9">
      <w:pPr>
        <w:pStyle w:val="Bodytextparanumbers"/>
        <w:numPr>
          <w:ilvl w:val="0"/>
          <w:numId w:val="0"/>
        </w:numPr>
        <w:rPr>
          <w:rFonts w:cs="Adobe Garamond Pro"/>
          <w:color w:val="000000"/>
        </w:rPr>
      </w:pPr>
    </w:p>
    <w:sectPr w:rsidR="00FD064A" w:rsidRPr="004E5301" w:rsidSect="00F260B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47954" w14:textId="77777777" w:rsidR="00F94141" w:rsidRDefault="00F94141" w:rsidP="00395E91">
      <w:pPr>
        <w:spacing w:after="0" w:line="240" w:lineRule="auto"/>
      </w:pPr>
      <w:r>
        <w:separator/>
      </w:r>
    </w:p>
  </w:endnote>
  <w:endnote w:type="continuationSeparator" w:id="0">
    <w:p w14:paraId="1EE11E7E" w14:textId="77777777" w:rsidR="00F94141" w:rsidRDefault="00F94141" w:rsidP="00395E91">
      <w:pPr>
        <w:spacing w:after="0" w:line="240" w:lineRule="auto"/>
      </w:pPr>
      <w:r>
        <w:continuationSeparator/>
      </w:r>
    </w:p>
  </w:endnote>
  <w:endnote w:type="continuationNotice" w:id="1">
    <w:p w14:paraId="796BD9BB" w14:textId="77777777" w:rsidR="00F94141" w:rsidRDefault="00F94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20002A87" w:usb1="00000000" w:usb2="00000000" w:usb3="00000000" w:csb0="000001FF" w:csb1="00000000"/>
  </w:font>
  <w:font w:name="Calibri-Bold">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B612" w14:textId="77777777" w:rsidR="00F453BB" w:rsidRDefault="00F45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219616"/>
      <w:docPartObj>
        <w:docPartGallery w:val="Page Numbers (Bottom of Page)"/>
        <w:docPartUnique/>
      </w:docPartObj>
    </w:sdtPr>
    <w:sdtEndPr>
      <w:rPr>
        <w:noProof/>
      </w:rPr>
    </w:sdtEndPr>
    <w:sdtContent>
      <w:p w14:paraId="062F9184" w14:textId="6DDD14CC" w:rsidR="00F453BB" w:rsidRDefault="00F453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A65EE3" w14:textId="77777777" w:rsidR="00F453BB" w:rsidRDefault="00F45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8186" w14:textId="77777777" w:rsidR="00F453BB" w:rsidRDefault="00F4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FA144" w14:textId="77777777" w:rsidR="00F94141" w:rsidRDefault="00F94141" w:rsidP="00395E91">
      <w:pPr>
        <w:spacing w:after="0" w:line="240" w:lineRule="auto"/>
      </w:pPr>
      <w:r>
        <w:separator/>
      </w:r>
    </w:p>
  </w:footnote>
  <w:footnote w:type="continuationSeparator" w:id="0">
    <w:p w14:paraId="483A0B4B" w14:textId="77777777" w:rsidR="00F94141" w:rsidRDefault="00F94141" w:rsidP="00395E91">
      <w:pPr>
        <w:spacing w:after="0" w:line="240" w:lineRule="auto"/>
      </w:pPr>
      <w:r>
        <w:continuationSeparator/>
      </w:r>
    </w:p>
  </w:footnote>
  <w:footnote w:type="continuationNotice" w:id="1">
    <w:p w14:paraId="4920305B" w14:textId="77777777" w:rsidR="00F94141" w:rsidRDefault="00F94141">
      <w:pPr>
        <w:spacing w:after="0" w:line="240" w:lineRule="auto"/>
      </w:pPr>
    </w:p>
  </w:footnote>
  <w:footnote w:id="2">
    <w:p w14:paraId="179FD809" w14:textId="77777777" w:rsidR="00F453BB" w:rsidRDefault="00F453BB" w:rsidP="00720A29">
      <w:pPr>
        <w:pStyle w:val="FootnoteText"/>
      </w:pPr>
      <w:r>
        <w:rPr>
          <w:rStyle w:val="FootnoteReference"/>
        </w:rPr>
        <w:footnoteRef/>
      </w:r>
      <w:r>
        <w:t xml:space="preserve"> It is assumed 500,000 vaccination in 2021 and 700,000 in 2022</w:t>
      </w:r>
    </w:p>
  </w:footnote>
  <w:footnote w:id="3">
    <w:p w14:paraId="3CAAA353" w14:textId="77777777" w:rsidR="00F453BB" w:rsidRPr="00EB15F0" w:rsidRDefault="00F453BB" w:rsidP="004606F2">
      <w:pPr>
        <w:pStyle w:val="FootnoteText"/>
        <w:rPr>
          <w:rFonts w:cstheme="minorHAnsi"/>
        </w:rPr>
      </w:pPr>
      <w:r w:rsidRPr="00EB15F0">
        <w:rPr>
          <w:rStyle w:val="FootnoteReference"/>
          <w:rFonts w:cstheme="minorHAnsi"/>
        </w:rPr>
        <w:footnoteRef/>
      </w:r>
      <w:r w:rsidRPr="00EB15F0">
        <w:rPr>
          <w:rFonts w:cstheme="minorHAnsi"/>
        </w:rPr>
        <w:t xml:space="preserve"> </w:t>
      </w:r>
      <w:r w:rsidRPr="00EB15F0">
        <w:rPr>
          <w:rFonts w:cstheme="minorHAnsi"/>
        </w:rPr>
        <w:t>Mckinsey Global Institute (2020). How prioritizing health could help rebuild economies.</w:t>
      </w:r>
    </w:p>
  </w:footnote>
  <w:footnote w:id="4">
    <w:p w14:paraId="635A8753" w14:textId="5330ED31" w:rsidR="00F453BB" w:rsidRPr="003E75D5" w:rsidRDefault="00F453BB">
      <w:pPr>
        <w:pStyle w:val="FootnoteText"/>
        <w:rPr>
          <w:rFonts w:cstheme="minorHAnsi"/>
        </w:rPr>
      </w:pPr>
      <w:r w:rsidRPr="003E75D5">
        <w:rPr>
          <w:rStyle w:val="FootnoteReference"/>
          <w:rFonts w:cstheme="minorHAnsi"/>
        </w:rPr>
        <w:footnoteRef/>
      </w:r>
      <w:r w:rsidRPr="003E75D5">
        <w:rPr>
          <w:rFonts w:cstheme="minorHAnsi"/>
        </w:rPr>
        <w:t xml:space="preserve"> The World Bank’s January 2021 </w:t>
      </w:r>
      <w:r w:rsidRPr="003E75D5">
        <w:rPr>
          <w:rFonts w:cstheme="minorHAnsi"/>
          <w:i/>
          <w:iCs/>
        </w:rPr>
        <w:t>Global Economic Prospects</w:t>
      </w:r>
      <w:r w:rsidRPr="003E75D5">
        <w:rPr>
          <w:rFonts w:cstheme="minorHAnsi"/>
        </w:rPr>
        <w:t xml:space="preserve"> estimated that the world economy contracted by 4.3 percent in 2020 and forecast that it would rebound with growth of 4.3 percent in 2021 and 3.8 percent in 2022. The World Bank is likely to revise these estimates upwards in June 2021. </w:t>
      </w:r>
    </w:p>
  </w:footnote>
  <w:footnote w:id="5">
    <w:p w14:paraId="75F40C35" w14:textId="34C7773F" w:rsidR="00F453BB" w:rsidRPr="003E75D5" w:rsidRDefault="00F453BB">
      <w:pPr>
        <w:pStyle w:val="FootnoteText"/>
        <w:rPr>
          <w:rFonts w:cstheme="minorHAnsi"/>
        </w:rPr>
      </w:pPr>
      <w:r w:rsidRPr="003E75D5">
        <w:rPr>
          <w:rStyle w:val="FootnoteReference"/>
          <w:rFonts w:cstheme="minorHAnsi"/>
        </w:rPr>
        <w:footnoteRef/>
      </w:r>
      <w:r w:rsidRPr="003E75D5">
        <w:rPr>
          <w:rFonts w:cstheme="minorHAnsi"/>
        </w:rPr>
        <w:t xml:space="preserve"> World Bank, </w:t>
      </w:r>
      <w:r w:rsidRPr="003E75D5">
        <w:rPr>
          <w:rFonts w:cstheme="minorHAnsi"/>
          <w:i/>
          <w:iCs/>
        </w:rPr>
        <w:t>Africa’s Pulse,</w:t>
      </w:r>
      <w:r w:rsidRPr="003E75D5">
        <w:rPr>
          <w:rFonts w:cstheme="minorHAnsi"/>
        </w:rPr>
        <w:t xml:space="preserve"> April </w:t>
      </w:r>
      <w:r w:rsidRPr="003E75D5">
        <w:rPr>
          <w:rFonts w:cstheme="minorHAnsi"/>
        </w:rPr>
        <w:t>2021 and October 2020.</w:t>
      </w:r>
    </w:p>
  </w:footnote>
  <w:footnote w:id="6">
    <w:p w14:paraId="6FD452A4" w14:textId="641218D0" w:rsidR="00F453BB" w:rsidRPr="003E75D5" w:rsidRDefault="00F453BB">
      <w:pPr>
        <w:pStyle w:val="FootnoteText"/>
        <w:rPr>
          <w:rFonts w:cstheme="minorHAnsi"/>
        </w:rPr>
      </w:pPr>
      <w:r w:rsidRPr="003E75D5">
        <w:rPr>
          <w:rStyle w:val="FootnoteReference"/>
          <w:rFonts w:cstheme="minorHAnsi"/>
        </w:rPr>
        <w:footnoteRef/>
      </w:r>
      <w:r w:rsidRPr="003E75D5">
        <w:rPr>
          <w:rFonts w:cstheme="minorHAnsi"/>
        </w:rPr>
        <w:t xml:space="preserve"> </w:t>
      </w:r>
      <w:r>
        <w:rPr>
          <w:rFonts w:cstheme="minorHAnsi"/>
        </w:rPr>
        <w:t>World Bank, Global Economic Prospects June 2021</w:t>
      </w:r>
    </w:p>
  </w:footnote>
  <w:footnote w:id="7">
    <w:p w14:paraId="397F3185" w14:textId="667F0C8B" w:rsidR="00F453BB" w:rsidRDefault="00F453BB">
      <w:pPr>
        <w:pStyle w:val="FootnoteText"/>
      </w:pPr>
      <w:r>
        <w:rPr>
          <w:rStyle w:val="FootnoteReference"/>
        </w:rPr>
        <w:footnoteRef/>
      </w:r>
      <w:r>
        <w:t xml:space="preserve"> The triple shocks in 2020 were floods, locusts’ infestation, and COVID19 pandemic. </w:t>
      </w:r>
    </w:p>
  </w:footnote>
  <w:footnote w:id="8">
    <w:p w14:paraId="6B323FE3" w14:textId="56662854" w:rsidR="00F453BB" w:rsidRDefault="00F453BB">
      <w:pPr>
        <w:pStyle w:val="FootnoteText"/>
      </w:pPr>
      <w:r>
        <w:rPr>
          <w:rStyle w:val="FootnoteReference"/>
        </w:rPr>
        <w:footnoteRef/>
      </w:r>
      <w:r>
        <w:t xml:space="preserve"> Remittances may be countercyclical, as relatives and friends often send more during economic downturns, disasters, conflicts, or other negative shocks (World Bank 2019).</w:t>
      </w:r>
    </w:p>
  </w:footnote>
  <w:footnote w:id="9">
    <w:p w14:paraId="3F9C2531" w14:textId="2A9E71C5" w:rsidR="00F453BB" w:rsidRDefault="00F453BB">
      <w:pPr>
        <w:pStyle w:val="FootnoteText"/>
      </w:pPr>
      <w:r>
        <w:rPr>
          <w:rStyle w:val="FootnoteReference"/>
        </w:rPr>
        <w:footnoteRef/>
      </w:r>
      <w:r>
        <w:t xml:space="preserve"> According to </w:t>
      </w:r>
      <w:r w:rsidRPr="001E09E9">
        <w:rPr>
          <w:i/>
          <w:iCs/>
        </w:rPr>
        <w:t>Somalia Poverty and Vulnerability Assessment</w:t>
      </w:r>
      <w:r>
        <w:t xml:space="preserve"> (World Bank 2019), only 1/5th of households receives remittances and that these households are less poor than other households and are concentrated in Mogadishu and rural areas of the northeast, IDPs and many other groups.</w:t>
      </w:r>
    </w:p>
  </w:footnote>
  <w:footnote w:id="10">
    <w:p w14:paraId="64418A98" w14:textId="75A5798D" w:rsidR="00F453BB" w:rsidRDefault="00F453BB">
      <w:pPr>
        <w:pStyle w:val="FootnoteText"/>
      </w:pPr>
      <w:r>
        <w:rPr>
          <w:rStyle w:val="FootnoteReference"/>
        </w:rPr>
        <w:footnoteRef/>
      </w:r>
      <w:r>
        <w:t xml:space="preserve"> FAO database</w:t>
      </w:r>
    </w:p>
  </w:footnote>
  <w:footnote w:id="11">
    <w:p w14:paraId="340706B8" w14:textId="4C28F691" w:rsidR="00F453BB" w:rsidRPr="003E75D5" w:rsidRDefault="00F453BB" w:rsidP="00BD787F">
      <w:pPr>
        <w:pStyle w:val="FootnoteText"/>
        <w:rPr>
          <w:rFonts w:cstheme="minorHAnsi"/>
        </w:rPr>
      </w:pPr>
      <w:r w:rsidRPr="003E75D5">
        <w:rPr>
          <w:rStyle w:val="FootnoteReference"/>
          <w:rFonts w:cstheme="minorHAnsi"/>
        </w:rPr>
        <w:footnoteRef/>
      </w:r>
      <w:r w:rsidRPr="003E75D5">
        <w:rPr>
          <w:rFonts w:cstheme="minorHAnsi"/>
        </w:rPr>
        <w:t xml:space="preserve"> </w:t>
      </w:r>
      <w:r>
        <w:rPr>
          <w:rFonts w:cstheme="minorHAnsi"/>
        </w:rPr>
        <w:t>Enterprise Survey 2020: “</w:t>
      </w:r>
      <w:r w:rsidRPr="006B497F">
        <w:rPr>
          <w:rFonts w:cstheme="minorHAnsi"/>
          <w:color w:val="000000"/>
          <w:sz w:val="22"/>
          <w:szCs w:val="22"/>
        </w:rPr>
        <w:t>Coronavirus and the private sector in Somalia:</w:t>
      </w:r>
      <w:r w:rsidRPr="006B497F">
        <w:rPr>
          <w:rFonts w:cstheme="minorHAnsi"/>
          <w:szCs w:val="22"/>
        </w:rPr>
        <w:t xml:space="preserve"> </w:t>
      </w:r>
      <w:r w:rsidRPr="006B497F">
        <w:rPr>
          <w:rFonts w:cstheme="minorHAnsi"/>
          <w:sz w:val="22"/>
          <w:szCs w:val="22"/>
        </w:rPr>
        <w:t>Results from Wave 2 of COVID-19 focused Enterprise Survey</w:t>
      </w:r>
      <w:r w:rsidRPr="00782E07">
        <w:rPr>
          <w:rFonts w:cstheme="minorHAnsi"/>
          <w:szCs w:val="22"/>
        </w:rPr>
        <w:t>”</w:t>
      </w:r>
      <w:r w:rsidRPr="00782E07">
        <w:rPr>
          <w:rFonts w:ascii="Garamond" w:hAnsi="Garamond" w:cs="Garamond"/>
          <w:b/>
          <w:bCs/>
          <w:sz w:val="36"/>
          <w:szCs w:val="36"/>
        </w:rPr>
        <w:t xml:space="preserve"> </w:t>
      </w:r>
      <w:r w:rsidRPr="001E09E9">
        <w:rPr>
          <w:rFonts w:cstheme="minorHAnsi"/>
        </w:rPr>
        <w:t>FGS, World Bank, IFC and UNIDO.</w:t>
      </w:r>
      <w:r w:rsidRPr="003E75D5">
        <w:rPr>
          <w:rFonts w:cstheme="minorHAnsi"/>
        </w:rPr>
        <w:t xml:space="preserve"> </w:t>
      </w:r>
      <w:r>
        <w:rPr>
          <w:rFonts w:cstheme="minorHAnsi"/>
        </w:rPr>
        <w:t xml:space="preserve">The first wave of the survey was conducted between </w:t>
      </w:r>
      <w:r w:rsidRPr="00344737">
        <w:rPr>
          <w:rFonts w:cstheme="minorHAnsi"/>
        </w:rPr>
        <w:t xml:space="preserve">June 14 </w:t>
      </w:r>
      <w:r>
        <w:rPr>
          <w:rFonts w:cstheme="minorHAnsi"/>
        </w:rPr>
        <w:t xml:space="preserve">and </w:t>
      </w:r>
      <w:r w:rsidRPr="00344737">
        <w:rPr>
          <w:rFonts w:cstheme="minorHAnsi"/>
        </w:rPr>
        <w:t>July 30</w:t>
      </w:r>
      <w:r>
        <w:rPr>
          <w:rFonts w:cstheme="minorHAnsi"/>
        </w:rPr>
        <w:t>, 2020. Wave 2</w:t>
      </w:r>
      <w:r w:rsidRPr="003E75D5">
        <w:rPr>
          <w:rFonts w:cstheme="minorHAnsi"/>
        </w:rPr>
        <w:t xml:space="preserve"> was conducted </w:t>
      </w:r>
      <w:r>
        <w:rPr>
          <w:rFonts w:cstheme="minorHAnsi"/>
        </w:rPr>
        <w:t>from</w:t>
      </w:r>
      <w:r w:rsidRPr="003E75D5">
        <w:rPr>
          <w:rFonts w:cstheme="minorHAnsi"/>
        </w:rPr>
        <w:t xml:space="preserve"> December 15, 2020, </w:t>
      </w:r>
      <w:r>
        <w:rPr>
          <w:rFonts w:cstheme="minorHAnsi"/>
        </w:rPr>
        <w:t>to</w:t>
      </w:r>
      <w:r w:rsidRPr="003E75D5">
        <w:rPr>
          <w:rFonts w:cstheme="minorHAnsi"/>
        </w:rPr>
        <w:t xml:space="preserve"> January 30, 2021.</w:t>
      </w:r>
    </w:p>
  </w:footnote>
  <w:footnote w:id="12">
    <w:p w14:paraId="72E9E375" w14:textId="6348F2F6" w:rsidR="00F453BB" w:rsidRPr="003E75D5" w:rsidRDefault="00F453BB" w:rsidP="00686A00">
      <w:pPr>
        <w:pStyle w:val="Default"/>
        <w:rPr>
          <w:rFonts w:cstheme="minorHAnsi"/>
          <w:sz w:val="20"/>
          <w:szCs w:val="20"/>
        </w:rPr>
      </w:pPr>
      <w:r w:rsidRPr="003E75D5">
        <w:rPr>
          <w:rStyle w:val="FootnoteReference"/>
          <w:rFonts w:cstheme="minorHAnsi"/>
          <w:sz w:val="20"/>
          <w:szCs w:val="20"/>
        </w:rPr>
        <w:footnoteRef/>
      </w:r>
      <w:r w:rsidRPr="003E75D5">
        <w:rPr>
          <w:rFonts w:cstheme="minorHAnsi"/>
          <w:sz w:val="20"/>
          <w:szCs w:val="20"/>
        </w:rPr>
        <w:t xml:space="preserve"> </w:t>
      </w:r>
      <w:r>
        <w:rPr>
          <w:rFonts w:cstheme="minorHAnsi"/>
          <w:sz w:val="20"/>
          <w:szCs w:val="20"/>
        </w:rPr>
        <w:t>Sixty-nine</w:t>
      </w:r>
      <w:r w:rsidRPr="003E75D5">
        <w:rPr>
          <w:rFonts w:cstheme="minorHAnsi"/>
          <w:sz w:val="20"/>
          <w:szCs w:val="20"/>
        </w:rPr>
        <w:t xml:space="preserve"> percent of firms started or increased online business activities since June/July, while 21</w:t>
      </w:r>
      <w:r>
        <w:rPr>
          <w:rFonts w:cstheme="minorHAnsi"/>
          <w:sz w:val="20"/>
          <w:szCs w:val="20"/>
        </w:rPr>
        <w:t xml:space="preserve"> percent</w:t>
      </w:r>
      <w:r w:rsidRPr="003E75D5">
        <w:rPr>
          <w:rFonts w:cstheme="minorHAnsi"/>
          <w:sz w:val="20"/>
          <w:szCs w:val="20"/>
        </w:rPr>
        <w:t xml:space="preserve"> report starting or increasing remote work arrangement for employees.</w:t>
      </w:r>
    </w:p>
    <w:p w14:paraId="11C804E1" w14:textId="77777777" w:rsidR="00F453BB" w:rsidRPr="003E75D5" w:rsidRDefault="00F453BB" w:rsidP="00686A00">
      <w:pPr>
        <w:pStyle w:val="FootnoteText"/>
        <w:rPr>
          <w:rFonts w:cstheme="minorHAnsi"/>
        </w:rPr>
      </w:pPr>
    </w:p>
  </w:footnote>
  <w:footnote w:id="13">
    <w:p w14:paraId="570809C0" w14:textId="6156D82F" w:rsidR="00F453BB" w:rsidRDefault="00F453BB">
      <w:pPr>
        <w:pStyle w:val="FootnoteText"/>
      </w:pPr>
      <w:r>
        <w:rPr>
          <w:rStyle w:val="FootnoteReference"/>
        </w:rPr>
        <w:footnoteRef/>
      </w:r>
      <w:r>
        <w:t xml:space="preserve"> </w:t>
      </w:r>
      <w:r w:rsidRPr="008D3FD4">
        <w:t>Somali High</w:t>
      </w:r>
      <w:r>
        <w:t xml:space="preserve"> </w:t>
      </w:r>
      <w:r w:rsidRPr="008D3FD4">
        <w:t>Frequency Phone Survey (SHFPS)</w:t>
      </w:r>
      <w:r>
        <w:t xml:space="preserve">, </w:t>
      </w:r>
      <w:r w:rsidRPr="008D3FD4">
        <w:t>January 2021</w:t>
      </w:r>
    </w:p>
  </w:footnote>
  <w:footnote w:id="14">
    <w:p w14:paraId="21180281" w14:textId="6E46AEF8" w:rsidR="00F453BB" w:rsidRPr="003E75D5" w:rsidRDefault="00F453BB" w:rsidP="00816581">
      <w:pPr>
        <w:pStyle w:val="FootnoteText"/>
        <w:rPr>
          <w:rFonts w:cstheme="minorHAnsi"/>
        </w:rPr>
      </w:pPr>
      <w:r w:rsidRPr="003E75D5">
        <w:rPr>
          <w:rStyle w:val="FootnoteReference"/>
          <w:rFonts w:cstheme="minorHAnsi"/>
        </w:rPr>
        <w:footnoteRef/>
      </w:r>
      <w:r>
        <w:rPr>
          <w:rFonts w:cstheme="minorHAnsi"/>
        </w:rPr>
        <w:t xml:space="preserve"> </w:t>
      </w:r>
      <w:r w:rsidRPr="003E75D5">
        <w:rPr>
          <w:rFonts w:cstheme="minorHAnsi"/>
        </w:rPr>
        <w:t xml:space="preserve">The Somalia Transaction and Reporting System (STARS) and Somalia Payment Switch (SPS) systems were installed, </w:t>
      </w:r>
      <w:r w:rsidRPr="003E75D5">
        <w:rPr>
          <w:rFonts w:cstheme="minorHAnsi"/>
        </w:rPr>
        <w:t>tested and accepted using cloud hosting computing platforms.</w:t>
      </w:r>
    </w:p>
  </w:footnote>
  <w:footnote w:id="15">
    <w:p w14:paraId="34DF94CA" w14:textId="1C7CB3B0" w:rsidR="00F453BB" w:rsidRDefault="00F453BB">
      <w:pPr>
        <w:pStyle w:val="FootnoteText"/>
      </w:pPr>
      <w:r>
        <w:rPr>
          <w:rStyle w:val="FootnoteReference"/>
        </w:rPr>
        <w:footnoteRef/>
      </w:r>
      <w:r>
        <w:t xml:space="preserve"> Saudi Arabia severely restricts imports of Somali sheep and goats except during the annual Hajj pilgrimage. </w:t>
      </w:r>
    </w:p>
  </w:footnote>
  <w:footnote w:id="16">
    <w:p w14:paraId="01901B7E" w14:textId="6D3F36D0" w:rsidR="0025274E" w:rsidRDefault="0025274E" w:rsidP="0025274E">
      <w:pPr>
        <w:pStyle w:val="FootnoteText"/>
      </w:pPr>
      <w:r>
        <w:rPr>
          <w:rStyle w:val="FootnoteReference"/>
        </w:rPr>
        <w:footnoteRef/>
      </w:r>
      <w:r>
        <w:t xml:space="preserve"> </w:t>
      </w:r>
      <w:r w:rsidR="0080230B" w:rsidRPr="0080230B">
        <w:t>2020 Somalia Economic Update</w:t>
      </w:r>
    </w:p>
  </w:footnote>
  <w:footnote w:id="17">
    <w:p w14:paraId="0267340B" w14:textId="6E258292" w:rsidR="00F453BB" w:rsidRDefault="00F453BB">
      <w:pPr>
        <w:pStyle w:val="FootnoteText"/>
      </w:pPr>
      <w:r>
        <w:rPr>
          <w:rStyle w:val="FootnoteReference"/>
        </w:rPr>
        <w:footnoteRef/>
      </w:r>
      <w:r w:rsidR="00F65D48">
        <w:t xml:space="preserve"> </w:t>
      </w:r>
      <w:r>
        <w:t>Security sector spending on “other general expenses” alone fell by US$12.6 million in 2020. This exceeds the decline in total FGS goods and services spending of US$11.3 million across all sectors and goods and services.</w:t>
      </w:r>
    </w:p>
  </w:footnote>
  <w:footnote w:id="18">
    <w:p w14:paraId="34050B14" w14:textId="77777777" w:rsidR="00F453BB" w:rsidRPr="003E75D5" w:rsidRDefault="00F453BB" w:rsidP="00AB24D1">
      <w:pPr>
        <w:pStyle w:val="FootnoteText"/>
        <w:rPr>
          <w:rFonts w:cstheme="minorHAnsi"/>
        </w:rPr>
      </w:pPr>
      <w:r w:rsidRPr="003E75D5">
        <w:rPr>
          <w:rStyle w:val="FootnoteReference"/>
          <w:rFonts w:cstheme="minorHAnsi"/>
        </w:rPr>
        <w:footnoteRef/>
      </w:r>
      <w:r>
        <w:rPr>
          <w:rFonts w:cstheme="minorHAnsi"/>
        </w:rPr>
        <w:t xml:space="preserve"> </w:t>
      </w:r>
      <w:r w:rsidRPr="003E75D5">
        <w:rPr>
          <w:rFonts w:eastAsia="Times New Roman" w:cstheme="minorHAnsi"/>
          <w:bCs/>
        </w:rPr>
        <w:t>The FGS also took over SNA stipend payments</w:t>
      </w:r>
    </w:p>
  </w:footnote>
  <w:footnote w:id="19">
    <w:p w14:paraId="2CD07F0C" w14:textId="731B97EF" w:rsidR="00F453BB" w:rsidRDefault="00F453BB">
      <w:pPr>
        <w:pStyle w:val="FootnoteText"/>
      </w:pPr>
      <w:r>
        <w:rPr>
          <w:rStyle w:val="FootnoteReference"/>
        </w:rPr>
        <w:footnoteRef/>
      </w:r>
      <w:r>
        <w:t xml:space="preserve"> See </w:t>
      </w:r>
      <w:r w:rsidRPr="00F63C39">
        <w:t xml:space="preserve">Gaël Raballand and Justine Knebelmann, </w:t>
      </w:r>
      <w:r>
        <w:t>“</w:t>
      </w:r>
      <w:r w:rsidRPr="00F63C39">
        <w:t>Domestic Resource Mobilization in Somalia,</w:t>
      </w:r>
      <w:r>
        <w:t>”</w:t>
      </w:r>
      <w:r w:rsidRPr="00F63C39">
        <w:t xml:space="preserve"> (Washington: World Bank, February 2021).</w:t>
      </w:r>
    </w:p>
  </w:footnote>
  <w:footnote w:id="20">
    <w:p w14:paraId="17655415" w14:textId="4FA32D93" w:rsidR="00F453BB" w:rsidRDefault="00F453BB" w:rsidP="005D12C1">
      <w:pPr>
        <w:pStyle w:val="FootnoteText"/>
      </w:pPr>
      <w:r>
        <w:rPr>
          <w:rStyle w:val="FootnoteReference"/>
        </w:rPr>
        <w:footnoteRef/>
      </w:r>
      <w:r>
        <w:t xml:space="preserve"> In addition to customs duties and other taxes on international trade, this figure includes harbor fees, overflight fees, stamp duty on customs, airport fees, and visa charges and passports.</w:t>
      </w:r>
    </w:p>
  </w:footnote>
  <w:footnote w:id="21">
    <w:p w14:paraId="7D2AC9E1" w14:textId="038161C3" w:rsidR="00F453BB" w:rsidRPr="003E75D5" w:rsidRDefault="00F453BB" w:rsidP="005D12C1">
      <w:pPr>
        <w:pStyle w:val="FootnoteText"/>
        <w:rPr>
          <w:rFonts w:cstheme="minorHAnsi"/>
        </w:rPr>
      </w:pPr>
      <w:r w:rsidRPr="003E75D5">
        <w:rPr>
          <w:rStyle w:val="FootnoteReference"/>
          <w:rFonts w:cstheme="minorHAnsi"/>
        </w:rPr>
        <w:footnoteRef/>
      </w:r>
      <w:r w:rsidRPr="003E75D5">
        <w:rPr>
          <w:rFonts w:cstheme="minorHAnsi"/>
        </w:rPr>
        <w:t xml:space="preserve"> </w:t>
      </w:r>
      <w:r w:rsidRPr="005D12C1">
        <w:rPr>
          <w:rFonts w:cstheme="minorHAnsi"/>
        </w:rPr>
        <w:t xml:space="preserve">The country is experiencing growing political tension over </w:t>
      </w:r>
      <w:r>
        <w:rPr>
          <w:rFonts w:cstheme="minorHAnsi"/>
        </w:rPr>
        <w:t xml:space="preserve">the delayed elections scheduled to have taken place </w:t>
      </w:r>
      <w:r>
        <w:rPr>
          <w:rFonts w:cstheme="minorHAnsi"/>
        </w:rPr>
        <w:t xml:space="preserve">in </w:t>
      </w:r>
      <w:r w:rsidRPr="005D12C1">
        <w:rPr>
          <w:rFonts w:cstheme="minorHAnsi"/>
        </w:rPr>
        <w:t xml:space="preserve"> 2021</w:t>
      </w:r>
      <w:r>
        <w:rPr>
          <w:rFonts w:cstheme="minorHAnsi"/>
        </w:rPr>
        <w:t>. T</w:t>
      </w:r>
      <w:r w:rsidRPr="005D12C1">
        <w:rPr>
          <w:rFonts w:cstheme="minorHAnsi"/>
        </w:rPr>
        <w:t>he current administration term expired on February 8, 2021</w:t>
      </w:r>
      <w:r>
        <w:rPr>
          <w:rFonts w:cstheme="minorHAnsi"/>
        </w:rPr>
        <w:t>. The i</w:t>
      </w:r>
      <w:r w:rsidRPr="005D12C1">
        <w:rPr>
          <w:rFonts w:cstheme="minorHAnsi"/>
        </w:rPr>
        <w:t xml:space="preserve">nternational partners </w:t>
      </w:r>
      <w:r>
        <w:rPr>
          <w:rFonts w:cstheme="minorHAnsi"/>
        </w:rPr>
        <w:t xml:space="preserve">have </w:t>
      </w:r>
      <w:r w:rsidRPr="005D12C1">
        <w:rPr>
          <w:rFonts w:cstheme="minorHAnsi"/>
        </w:rPr>
        <w:t>warn</w:t>
      </w:r>
      <w:r>
        <w:rPr>
          <w:rFonts w:cstheme="minorHAnsi"/>
        </w:rPr>
        <w:t>ed</w:t>
      </w:r>
      <w:r w:rsidRPr="005D12C1">
        <w:rPr>
          <w:rFonts w:cstheme="minorHAnsi"/>
        </w:rPr>
        <w:t xml:space="preserve"> that they would reconsider their bilateral relations with Somalia</w:t>
      </w:r>
      <w:r>
        <w:rPr>
          <w:rFonts w:cstheme="minorHAnsi"/>
        </w:rPr>
        <w:t>—</w:t>
      </w:r>
      <w:r w:rsidRPr="005D12C1">
        <w:rPr>
          <w:rFonts w:cstheme="minorHAnsi"/>
        </w:rPr>
        <w:t>including diplomatic engagement and financial assistance</w:t>
      </w:r>
      <w:r>
        <w:rPr>
          <w:rFonts w:cstheme="minorHAnsi"/>
        </w:rPr>
        <w:t>—</w:t>
      </w:r>
      <w:r w:rsidRPr="005D12C1">
        <w:rPr>
          <w:rFonts w:cstheme="minorHAnsi"/>
        </w:rPr>
        <w:t xml:space="preserve">if </w:t>
      </w:r>
      <w:r>
        <w:rPr>
          <w:rFonts w:cstheme="minorHAnsi"/>
        </w:rPr>
        <w:t xml:space="preserve">the election impasse was not resolved quickly. </w:t>
      </w:r>
    </w:p>
  </w:footnote>
  <w:footnote w:id="22">
    <w:p w14:paraId="666363B4" w14:textId="736C17E5" w:rsidR="00F453BB" w:rsidRDefault="00F453BB">
      <w:pPr>
        <w:pStyle w:val="FootnoteText"/>
      </w:pPr>
      <w:r>
        <w:rPr>
          <w:rStyle w:val="FootnoteReference"/>
        </w:rPr>
        <w:footnoteRef/>
      </w:r>
      <w:r>
        <w:t xml:space="preserve"> It is assumed 500,000 vaccination in 2021 and 700,000 in 2022</w:t>
      </w:r>
    </w:p>
  </w:footnote>
  <w:footnote w:id="23">
    <w:p w14:paraId="254673E8" w14:textId="3EB738DB" w:rsidR="00F453BB" w:rsidRDefault="00F453BB" w:rsidP="008A5E08">
      <w:pPr>
        <w:pStyle w:val="FootnoteText"/>
      </w:pPr>
      <w:r>
        <w:rPr>
          <w:rStyle w:val="FootnoteReference"/>
        </w:rPr>
        <w:footnoteRef/>
      </w:r>
      <w:r>
        <w:t xml:space="preserve"> </w:t>
      </w:r>
      <w:r w:rsidRPr="000B0A04">
        <w:t>In April 2001, heads of state of African Union countries met and pledged to set a target of allocating at least 15</w:t>
      </w:r>
      <w:r>
        <w:t xml:space="preserve"> percent</w:t>
      </w:r>
      <w:r w:rsidRPr="000B0A04">
        <w:t xml:space="preserve"> of their annual budget to improve the health sector.</w:t>
      </w:r>
      <w:r>
        <w:t xml:space="preserve"> Source: World Health Organization (2011). The Abuja Declaration: Ten Years On.</w:t>
      </w:r>
    </w:p>
  </w:footnote>
  <w:footnote w:id="24">
    <w:p w14:paraId="1AD94414" w14:textId="77777777" w:rsidR="00F453BB" w:rsidRDefault="00F453BB" w:rsidP="008A5E08">
      <w:pPr>
        <w:pStyle w:val="FootnoteText"/>
      </w:pPr>
      <w:r>
        <w:rPr>
          <w:rStyle w:val="FootnoteReference"/>
        </w:rPr>
        <w:footnoteRef/>
      </w:r>
      <w:r>
        <w:t xml:space="preserve"> </w:t>
      </w:r>
      <w:r w:rsidRPr="005568C4">
        <w:t>Price-Smith</w:t>
      </w:r>
      <w:r>
        <w:t xml:space="preserve"> </w:t>
      </w:r>
      <w:r w:rsidRPr="005568C4">
        <w:t>A., (2002).</w:t>
      </w:r>
      <w:r>
        <w:t xml:space="preserve"> </w:t>
      </w:r>
      <w:r w:rsidRPr="005568C4">
        <w:t>The health of nations: infectious disease, environmental change, and their effects on national security and development. Cambridge, MA: MIT Press; 2002.</w:t>
      </w:r>
    </w:p>
  </w:footnote>
  <w:footnote w:id="25">
    <w:p w14:paraId="1C1580F8" w14:textId="77777777" w:rsidR="00F453BB" w:rsidRPr="00EB15F0" w:rsidRDefault="00F453BB" w:rsidP="008A5E08">
      <w:pPr>
        <w:pStyle w:val="FootnoteText"/>
        <w:rPr>
          <w:rFonts w:cstheme="minorHAnsi"/>
        </w:rPr>
      </w:pPr>
      <w:r w:rsidRPr="00EB15F0">
        <w:rPr>
          <w:rStyle w:val="FootnoteReference"/>
          <w:rFonts w:cstheme="minorHAnsi"/>
        </w:rPr>
        <w:footnoteRef/>
      </w:r>
      <w:r w:rsidRPr="00EB15F0">
        <w:rPr>
          <w:rFonts w:cstheme="minorHAnsi"/>
        </w:rPr>
        <w:t xml:space="preserve"> Barro (1996). Determinants of economic growth: a cross-country empirical study.</w:t>
      </w:r>
    </w:p>
  </w:footnote>
  <w:footnote w:id="26">
    <w:p w14:paraId="00016B6F" w14:textId="77777777" w:rsidR="00F453BB" w:rsidRDefault="00F453BB" w:rsidP="008A5E08">
      <w:pPr>
        <w:pStyle w:val="FootnoteText"/>
      </w:pPr>
      <w:r>
        <w:rPr>
          <w:rStyle w:val="FootnoteReference"/>
        </w:rPr>
        <w:footnoteRef/>
      </w:r>
      <w:r>
        <w:t xml:space="preserve"> </w:t>
      </w:r>
      <w:r w:rsidRPr="00A06AF0">
        <w:t>The World Health Organization defines an intervention as cost-effective if it costs less than the</w:t>
      </w:r>
      <w:r>
        <w:t xml:space="preserve"> country’s</w:t>
      </w:r>
      <w:r w:rsidRPr="00A06AF0">
        <w:t xml:space="preserve"> </w:t>
      </w:r>
      <w:r>
        <w:t>g</w:t>
      </w:r>
      <w:r w:rsidRPr="00A06AF0">
        <w:t xml:space="preserve">ross </w:t>
      </w:r>
      <w:r>
        <w:t>n</w:t>
      </w:r>
      <w:r w:rsidRPr="00A06AF0">
        <w:t xml:space="preserve">ational </w:t>
      </w:r>
      <w:r>
        <w:t>i</w:t>
      </w:r>
      <w:r w:rsidRPr="00A06AF0">
        <w:t>ncome (GNI) per capita</w:t>
      </w:r>
      <w:r>
        <w:t>.</w:t>
      </w:r>
    </w:p>
  </w:footnote>
  <w:footnote w:id="27">
    <w:p w14:paraId="518343C9" w14:textId="77777777" w:rsidR="00F453BB" w:rsidRDefault="00F453BB" w:rsidP="008A5E08">
      <w:pPr>
        <w:pStyle w:val="FootnoteText"/>
      </w:pPr>
      <w:r>
        <w:rPr>
          <w:rStyle w:val="FootnoteReference"/>
        </w:rPr>
        <w:footnoteRef/>
      </w:r>
      <w:r>
        <w:t xml:space="preserve"> </w:t>
      </w:r>
      <w:r w:rsidRPr="00AF0E01">
        <w:t>Brinkerhoff</w:t>
      </w:r>
      <w:r>
        <w:t xml:space="preserve"> et al.,</w:t>
      </w:r>
      <w:r w:rsidRPr="00AF0E01">
        <w:t xml:space="preserve"> (2012). Service delivery and legitimacy in fragile and conflict-affected states: Evidence from water services in Iraq. Public Management Review, 14(2), 273-293.</w:t>
      </w:r>
    </w:p>
  </w:footnote>
  <w:footnote w:id="28">
    <w:p w14:paraId="33CC5448" w14:textId="77777777" w:rsidR="00F453BB" w:rsidRDefault="00F453BB" w:rsidP="008A5E08">
      <w:pPr>
        <w:pStyle w:val="FootnoteText"/>
      </w:pPr>
      <w:r>
        <w:rPr>
          <w:rStyle w:val="FootnoteReference"/>
        </w:rPr>
        <w:footnoteRef/>
      </w:r>
      <w:r>
        <w:t xml:space="preserve"> </w:t>
      </w:r>
      <w:r w:rsidRPr="000F389F">
        <w:t>World Health Organization (2016)</w:t>
      </w:r>
      <w:r>
        <w:t>.</w:t>
      </w:r>
      <w:r w:rsidRPr="000F389F">
        <w:t xml:space="preserve"> Women’s contribution to sustainable development through work in health: Using a gender lens to advance a transformative 2030 agenda</w:t>
      </w:r>
    </w:p>
  </w:footnote>
  <w:footnote w:id="29">
    <w:p w14:paraId="40CA22D3" w14:textId="77777777" w:rsidR="00F453BB" w:rsidRDefault="00F453BB" w:rsidP="008A5E08">
      <w:pPr>
        <w:pStyle w:val="FootnoteText"/>
      </w:pPr>
      <w:r>
        <w:rPr>
          <w:rStyle w:val="FootnoteReference"/>
        </w:rPr>
        <w:footnoteRef/>
      </w:r>
      <w:r>
        <w:t xml:space="preserve"> World Development Indicators</w:t>
      </w:r>
    </w:p>
  </w:footnote>
  <w:footnote w:id="30">
    <w:p w14:paraId="25A6DC3C" w14:textId="77777777" w:rsidR="00F453BB" w:rsidRPr="00F30028" w:rsidRDefault="00F453BB" w:rsidP="008A5E08">
      <w:pPr>
        <w:pStyle w:val="FootnoteText"/>
        <w:rPr>
          <w:i/>
          <w:iCs/>
        </w:rPr>
      </w:pPr>
      <w:r>
        <w:rPr>
          <w:rStyle w:val="FootnoteReference"/>
        </w:rPr>
        <w:footnoteRef/>
      </w:r>
      <w:r>
        <w:t xml:space="preserve"> International Monetary Fund (2017) </w:t>
      </w:r>
      <w:hyperlink r:id="rId1" w:history="1">
        <w:r w:rsidRPr="004A17DF">
          <w:rPr>
            <w:rStyle w:val="Hyperlink"/>
          </w:rPr>
          <w:t>Invest in women and prosper.</w:t>
        </w:r>
      </w:hyperlink>
      <w:r>
        <w:t xml:space="preserve"> </w:t>
      </w:r>
      <w:r>
        <w:rPr>
          <w:i/>
          <w:iCs/>
        </w:rPr>
        <w:t>Finance and Development. Vol (54)</w:t>
      </w:r>
    </w:p>
  </w:footnote>
  <w:footnote w:id="31">
    <w:p w14:paraId="0D5BACA3" w14:textId="77777777" w:rsidR="00F453BB" w:rsidRPr="00F30028" w:rsidRDefault="00F453BB" w:rsidP="008A5E08">
      <w:pPr>
        <w:pStyle w:val="FootnoteText"/>
        <w:rPr>
          <w:i/>
          <w:iCs/>
        </w:rPr>
      </w:pPr>
      <w:r>
        <w:rPr>
          <w:rStyle w:val="FootnoteReference"/>
        </w:rPr>
        <w:footnoteRef/>
      </w:r>
      <w:r>
        <w:t xml:space="preserve"> World Bank (2018) </w:t>
      </w:r>
      <w:hyperlink r:id="rId2" w:history="1">
        <w:r w:rsidRPr="004A17DF">
          <w:rPr>
            <w:rStyle w:val="Hyperlink"/>
          </w:rPr>
          <w:t>To build human capital, prioritize women’s empowerment</w:t>
        </w:r>
      </w:hyperlink>
      <w:r>
        <w:t>.</w:t>
      </w:r>
      <w:r>
        <w:rPr>
          <w:i/>
          <w:iCs/>
        </w:rPr>
        <w:t xml:space="preserve"> In Africa Can End Poverty</w:t>
      </w:r>
    </w:p>
  </w:footnote>
  <w:footnote w:id="32">
    <w:p w14:paraId="10FA9D98" w14:textId="77777777" w:rsidR="00F453BB" w:rsidRDefault="00F453BB" w:rsidP="008A5E08">
      <w:pPr>
        <w:pStyle w:val="FootnoteText"/>
      </w:pPr>
      <w:r>
        <w:rPr>
          <w:rStyle w:val="FootnoteReference"/>
        </w:rPr>
        <w:footnoteRef/>
      </w:r>
      <w:r>
        <w:t xml:space="preserve"> </w:t>
      </w:r>
      <w:r w:rsidRPr="00A06AF0">
        <w:t>Global Monitoring Report 2015/2016: Development Goals in an Era of Demographic Change, World Bank Group, 2016.</w:t>
      </w:r>
      <w:r>
        <w:t xml:space="preserve"> </w:t>
      </w:r>
    </w:p>
  </w:footnote>
  <w:footnote w:id="33">
    <w:p w14:paraId="797C826B" w14:textId="77777777" w:rsidR="00F453BB" w:rsidRPr="005568C4" w:rsidRDefault="00F453BB" w:rsidP="008A5E08">
      <w:pPr>
        <w:pStyle w:val="FootnoteText"/>
      </w:pPr>
      <w:r w:rsidRPr="005568C4">
        <w:rPr>
          <w:rStyle w:val="FootnoteReference"/>
        </w:rPr>
        <w:footnoteRef/>
      </w:r>
      <w:r w:rsidRPr="005568C4">
        <w:t xml:space="preserve"> </w:t>
      </w:r>
      <w:r w:rsidRPr="005568C4">
        <w:t>Qayad, M. G. (2008). Health care services in transitional Somalia: challenges and recommendations.</w:t>
      </w:r>
    </w:p>
  </w:footnote>
  <w:footnote w:id="34">
    <w:p w14:paraId="38A43789" w14:textId="77777777" w:rsidR="00F453BB" w:rsidRPr="005568C4" w:rsidRDefault="00F453BB" w:rsidP="008A5E08">
      <w:pPr>
        <w:pStyle w:val="FootnoteText"/>
      </w:pPr>
      <w:r w:rsidRPr="005568C4">
        <w:rPr>
          <w:rStyle w:val="FootnoteReference"/>
        </w:rPr>
        <w:footnoteRef/>
      </w:r>
      <w:r w:rsidRPr="005568C4">
        <w:t>Barre, M. S. (1973). My Country and My People: The Collected Speeches of Major-General Mohamed Siad Barre, President, the Supreme Revolutionary Council, Somali Democratic Republic (Vol. 3): Ministry of Information and National Guidance.</w:t>
      </w:r>
    </w:p>
  </w:footnote>
  <w:footnote w:id="35">
    <w:p w14:paraId="0EF35592" w14:textId="77777777" w:rsidR="00F453BB" w:rsidRDefault="00F453BB" w:rsidP="008A5E08">
      <w:pPr>
        <w:pStyle w:val="FootnoteText"/>
      </w:pPr>
      <w:r>
        <w:rPr>
          <w:rStyle w:val="FootnoteReference"/>
        </w:rPr>
        <w:footnoteRef/>
      </w:r>
      <w:r>
        <w:t xml:space="preserve"> Communicable, </w:t>
      </w:r>
      <w:r>
        <w:t>maternal and neonatal disorders constitute 63 percent of all DALYs (Source: Global Burden of Diseases, 2019)</w:t>
      </w:r>
    </w:p>
  </w:footnote>
  <w:footnote w:id="36">
    <w:p w14:paraId="28266A81" w14:textId="77777777" w:rsidR="00F453BB" w:rsidRDefault="00F453BB" w:rsidP="008A5E08">
      <w:pPr>
        <w:pStyle w:val="FootnoteText"/>
      </w:pPr>
      <w:r>
        <w:rPr>
          <w:rStyle w:val="FootnoteReference"/>
        </w:rPr>
        <w:footnoteRef/>
      </w:r>
      <w:r>
        <w:t xml:space="preserve"> Internal World Bank Study, 2020</w:t>
      </w:r>
    </w:p>
  </w:footnote>
  <w:footnote w:id="37">
    <w:p w14:paraId="64D08DA2" w14:textId="77777777" w:rsidR="00F453BB" w:rsidRDefault="00F453BB" w:rsidP="008A5E08">
      <w:pPr>
        <w:pStyle w:val="FootnoteText"/>
      </w:pPr>
      <w:r>
        <w:rPr>
          <w:rStyle w:val="FootnoteReference"/>
        </w:rPr>
        <w:footnoteRef/>
      </w:r>
      <w:r>
        <w:t xml:space="preserve"> Global Burden of Diseases 2019, Results Tool</w:t>
      </w:r>
    </w:p>
  </w:footnote>
  <w:footnote w:id="38">
    <w:p w14:paraId="2FD67797" w14:textId="77777777" w:rsidR="00F453BB" w:rsidRDefault="00F453BB" w:rsidP="008A5E08">
      <w:pPr>
        <w:pStyle w:val="FootnoteText"/>
      </w:pPr>
      <w:r>
        <w:rPr>
          <w:rStyle w:val="FootnoteReference"/>
        </w:rPr>
        <w:footnoteRef/>
      </w:r>
      <w:r>
        <w:t xml:space="preserve"> Somalia Health and Demographic Surveys, 2020 &amp; World Development Indicators, 2020.</w:t>
      </w:r>
    </w:p>
  </w:footnote>
  <w:footnote w:id="39">
    <w:p w14:paraId="51B6995F" w14:textId="77777777" w:rsidR="00F453BB" w:rsidRPr="005568C4" w:rsidRDefault="00F453BB" w:rsidP="008A5E08">
      <w:pPr>
        <w:pStyle w:val="FootnoteText"/>
      </w:pPr>
      <w:r w:rsidRPr="005568C4">
        <w:rPr>
          <w:rStyle w:val="FootnoteReference"/>
        </w:rPr>
        <w:footnoteRef/>
      </w:r>
      <w:r w:rsidRPr="005568C4">
        <w:t xml:space="preserve"> W</w:t>
      </w:r>
      <w:r>
        <w:t>orld Development</w:t>
      </w:r>
      <w:r w:rsidRPr="005568C4">
        <w:t xml:space="preserve"> Indicators 2020</w:t>
      </w:r>
      <w:r>
        <w:t xml:space="preserve">. </w:t>
      </w:r>
    </w:p>
  </w:footnote>
  <w:footnote w:id="40">
    <w:p w14:paraId="6526B038" w14:textId="77777777" w:rsidR="00F453BB" w:rsidRDefault="00F453BB" w:rsidP="008A5E08">
      <w:pPr>
        <w:pStyle w:val="FootnoteText"/>
      </w:pPr>
      <w:r>
        <w:rPr>
          <w:rStyle w:val="FootnoteReference"/>
        </w:rPr>
        <w:footnoteRef/>
      </w:r>
      <w:r>
        <w:t xml:space="preserve"> </w:t>
      </w:r>
      <w:r w:rsidRPr="000602E3">
        <w:t>Cramer (2011). Unemployment and participation in violence.</w:t>
      </w:r>
      <w:r>
        <w:t xml:space="preserve"> The World Bank. </w:t>
      </w:r>
    </w:p>
  </w:footnote>
  <w:footnote w:id="41">
    <w:p w14:paraId="184344F7" w14:textId="77777777" w:rsidR="00F453BB" w:rsidRDefault="00F453BB" w:rsidP="008A5E08">
      <w:pPr>
        <w:pStyle w:val="FootnoteText"/>
      </w:pPr>
      <w:r>
        <w:rPr>
          <w:rStyle w:val="FootnoteReference"/>
        </w:rPr>
        <w:footnoteRef/>
      </w:r>
      <w:r>
        <w:t xml:space="preserve"> </w:t>
      </w:r>
      <w:r w:rsidRPr="008C4CA1">
        <w:t>UN</w:t>
      </w:r>
      <w:r>
        <w:t xml:space="preserve"> Maternal Mortality</w:t>
      </w:r>
      <w:r w:rsidRPr="008C4CA1">
        <w:t xml:space="preserve"> Inter-Agency Group (UN </w:t>
      </w:r>
      <w:r>
        <w:t>M</w:t>
      </w:r>
      <w:r w:rsidRPr="008C4CA1">
        <w:t>M</w:t>
      </w:r>
      <w:r>
        <w:t>IEG</w:t>
      </w:r>
      <w:r w:rsidRPr="008C4CA1">
        <w:t>) in 2020</w:t>
      </w:r>
      <w:r>
        <w:t xml:space="preserve">. </w:t>
      </w:r>
    </w:p>
  </w:footnote>
  <w:footnote w:id="42">
    <w:p w14:paraId="67B96B6E" w14:textId="77777777" w:rsidR="00F453BB" w:rsidRDefault="00F453BB" w:rsidP="008A5E08">
      <w:pPr>
        <w:pStyle w:val="FootnoteText"/>
      </w:pPr>
      <w:r>
        <w:rPr>
          <w:rStyle w:val="FootnoteReference"/>
        </w:rPr>
        <w:footnoteRef/>
      </w:r>
      <w:r>
        <w:t xml:space="preserve"> </w:t>
      </w:r>
      <w:r w:rsidRPr="008C4CA1">
        <w:t>UN Inter-agency Group for Child Mortality Estimation (UN IGME) in 2020</w:t>
      </w:r>
      <w:r>
        <w:t xml:space="preserve">. </w:t>
      </w:r>
    </w:p>
  </w:footnote>
  <w:footnote w:id="43">
    <w:p w14:paraId="4F5B418A" w14:textId="77777777" w:rsidR="00F453BB" w:rsidRDefault="00F453BB" w:rsidP="008A5E08">
      <w:pPr>
        <w:pStyle w:val="FootnoteText"/>
      </w:pPr>
      <w:r>
        <w:rPr>
          <w:rStyle w:val="FootnoteReference"/>
        </w:rPr>
        <w:footnoteRef/>
      </w:r>
      <w:r>
        <w:t xml:space="preserve"> Global Burden of Diseases, 2019</w:t>
      </w:r>
    </w:p>
  </w:footnote>
  <w:footnote w:id="44">
    <w:p w14:paraId="7AEE1828" w14:textId="77777777" w:rsidR="00F453BB" w:rsidRDefault="00F453BB" w:rsidP="008A5E08">
      <w:pPr>
        <w:pStyle w:val="FootnoteText"/>
      </w:pPr>
      <w:r>
        <w:rPr>
          <w:rStyle w:val="FootnoteReference"/>
        </w:rPr>
        <w:footnoteRef/>
      </w:r>
      <w:r>
        <w:t xml:space="preserve"> Global Burden of Diseases, 2019 </w:t>
      </w:r>
    </w:p>
  </w:footnote>
  <w:footnote w:id="45">
    <w:p w14:paraId="1B21AC3F" w14:textId="77777777" w:rsidR="00F453BB" w:rsidRDefault="00F453BB" w:rsidP="008A5E08">
      <w:pPr>
        <w:pStyle w:val="FootnoteText"/>
      </w:pPr>
      <w:r>
        <w:rPr>
          <w:rStyle w:val="FootnoteReference"/>
        </w:rPr>
        <w:footnoteRef/>
      </w:r>
      <w:r>
        <w:t xml:space="preserve"> Global Burden of Diseases, 2019</w:t>
      </w:r>
    </w:p>
  </w:footnote>
  <w:footnote w:id="46">
    <w:p w14:paraId="75D9AE25" w14:textId="77777777" w:rsidR="00F453BB" w:rsidRDefault="00F453BB" w:rsidP="008A5E08">
      <w:pPr>
        <w:pStyle w:val="FootnoteText"/>
      </w:pPr>
      <w:r>
        <w:rPr>
          <w:rStyle w:val="FootnoteReference"/>
        </w:rPr>
        <w:footnoteRef/>
      </w:r>
      <w:r>
        <w:t xml:space="preserve"> The Somalia Service Availability and Readiness Assessment (SARA) Survey, 2016</w:t>
      </w:r>
    </w:p>
  </w:footnote>
  <w:footnote w:id="47">
    <w:p w14:paraId="3AFAC9A9" w14:textId="7D2B8543" w:rsidR="00F453BB" w:rsidRDefault="00F453BB" w:rsidP="008A5E08">
      <w:pPr>
        <w:pStyle w:val="FootnoteText"/>
      </w:pPr>
      <w:r>
        <w:rPr>
          <w:rStyle w:val="FootnoteReference"/>
        </w:rPr>
        <w:footnoteRef/>
      </w:r>
      <w:r>
        <w:t xml:space="preserve"> </w:t>
      </w:r>
      <w:r w:rsidRPr="00701D06">
        <w:t>“Years lived with disability” (YLD) is a measure reflecting the impact an illness has on quality of life before it resolves or leads to death.</w:t>
      </w:r>
    </w:p>
  </w:footnote>
  <w:footnote w:id="48">
    <w:p w14:paraId="42173AED" w14:textId="77777777" w:rsidR="00F453BB" w:rsidRDefault="00F453BB" w:rsidP="008A5E08">
      <w:pPr>
        <w:pStyle w:val="FootnoteText"/>
      </w:pPr>
      <w:r>
        <w:rPr>
          <w:rStyle w:val="FootnoteReference"/>
        </w:rPr>
        <w:footnoteRef/>
      </w:r>
      <w:r>
        <w:t xml:space="preserve"> Global Burden of Diseases, 2019</w:t>
      </w:r>
    </w:p>
  </w:footnote>
  <w:footnote w:id="49">
    <w:p w14:paraId="103C6A78" w14:textId="77777777" w:rsidR="00F453BB" w:rsidRDefault="00F453BB" w:rsidP="008A5E08">
      <w:pPr>
        <w:pStyle w:val="FootnoteText"/>
      </w:pPr>
      <w:r>
        <w:rPr>
          <w:rStyle w:val="FootnoteReference"/>
        </w:rPr>
        <w:footnoteRef/>
      </w:r>
      <w:r>
        <w:t xml:space="preserve"> </w:t>
      </w:r>
      <w:bookmarkStart w:id="130" w:name="OLE_LINK1"/>
      <w:r>
        <w:t>Somalia Health and Demographic Survey, 2020</w:t>
      </w:r>
      <w:bookmarkEnd w:id="130"/>
    </w:p>
  </w:footnote>
  <w:footnote w:id="50">
    <w:p w14:paraId="78CD454C" w14:textId="77777777" w:rsidR="00F453BB" w:rsidRDefault="00F453BB" w:rsidP="008A5E08">
      <w:pPr>
        <w:pStyle w:val="FootnoteText"/>
      </w:pPr>
      <w:r>
        <w:rPr>
          <w:rStyle w:val="FootnoteReference"/>
        </w:rPr>
        <w:footnoteRef/>
      </w:r>
      <w:r>
        <w:t xml:space="preserve"> Somalia Health and Demographic Survey, 2020</w:t>
      </w:r>
      <w:r w:rsidDel="00AF7CCB">
        <w:t xml:space="preserve"> </w:t>
      </w:r>
    </w:p>
  </w:footnote>
  <w:footnote w:id="51">
    <w:p w14:paraId="75E86E4A" w14:textId="77777777" w:rsidR="00F453BB" w:rsidRDefault="00F453BB" w:rsidP="008A5E08">
      <w:pPr>
        <w:pStyle w:val="FootnoteText"/>
      </w:pPr>
      <w:r>
        <w:rPr>
          <w:rStyle w:val="FootnoteReference"/>
        </w:rPr>
        <w:footnoteRef/>
      </w:r>
      <w:r>
        <w:t xml:space="preserve"> The SHDS 2020 data does not allow for a further disaggregation by age groups.</w:t>
      </w:r>
    </w:p>
  </w:footnote>
  <w:footnote w:id="52">
    <w:p w14:paraId="70DC0C7C" w14:textId="77777777" w:rsidR="00F453BB" w:rsidRDefault="00F453BB" w:rsidP="008A5E08">
      <w:pPr>
        <w:pStyle w:val="FootnoteText"/>
      </w:pPr>
      <w:r>
        <w:rPr>
          <w:rStyle w:val="FootnoteReference"/>
        </w:rPr>
        <w:footnoteRef/>
      </w:r>
      <w:r>
        <w:t xml:space="preserve"> Somalia Health and Demographic Survey, 2020</w:t>
      </w:r>
    </w:p>
  </w:footnote>
  <w:footnote w:id="53">
    <w:p w14:paraId="44D7D7C6" w14:textId="77777777" w:rsidR="00F453BB" w:rsidRDefault="00F453BB" w:rsidP="008A5E08">
      <w:pPr>
        <w:pStyle w:val="FootnoteText"/>
      </w:pPr>
      <w:r>
        <w:rPr>
          <w:rStyle w:val="FootnoteReference"/>
        </w:rPr>
        <w:footnoteRef/>
      </w:r>
      <w:r>
        <w:t xml:space="preserve"> The index </w:t>
      </w:r>
      <w:r w:rsidRPr="00047A6A">
        <w:t>measures the health system’s capacity in six functional areas: (i) prevention of the emergence or release of pathogens; (ii) early detection and reporting of epidemics; (iii) rapid response to and mitigation of epidemics; (iv) robust health system to treat the sick and protect health workers; (v) compliance with international norms; and (vi) overall risk environment and country vulnerability to biological threats.</w:t>
      </w:r>
      <w:r>
        <w:t xml:space="preserve"> Source: </w:t>
      </w:r>
      <w:r w:rsidRPr="00C33AE2">
        <w:t>Global health security index</w:t>
      </w:r>
      <w:r>
        <w:t xml:space="preserve"> 2019, </w:t>
      </w:r>
      <w:r w:rsidRPr="00C33AE2">
        <w:t>Bloomberg School of Public Health</w:t>
      </w:r>
      <w:r>
        <w:t xml:space="preserve">, John </w:t>
      </w:r>
      <w:r w:rsidRPr="00C33AE2">
        <w:t>Hopkin</w:t>
      </w:r>
      <w:r>
        <w:t xml:space="preserve"> University.</w:t>
      </w:r>
    </w:p>
  </w:footnote>
  <w:footnote w:id="54">
    <w:p w14:paraId="277DA1F8" w14:textId="77777777" w:rsidR="00F453BB" w:rsidRDefault="00F453BB" w:rsidP="008A5E08">
      <w:pPr>
        <w:pStyle w:val="FootnoteText"/>
      </w:pPr>
      <w:r>
        <w:rPr>
          <w:rStyle w:val="FootnoteReference"/>
        </w:rPr>
        <w:footnoteRef/>
      </w:r>
      <w:r>
        <w:t xml:space="preserve"> Ministry of Finance data (www.mof.gov/fiscal) and World Development Indicators. Federal Member States collected tax revenue equivalent to 0.14 percent of GDP in 2020. </w:t>
      </w:r>
    </w:p>
  </w:footnote>
  <w:footnote w:id="55">
    <w:p w14:paraId="19BB752C" w14:textId="77777777" w:rsidR="00F453BB" w:rsidRDefault="00F453BB" w:rsidP="008A5E08">
      <w:pPr>
        <w:pStyle w:val="FootnoteText"/>
      </w:pPr>
      <w:r>
        <w:rPr>
          <w:rStyle w:val="FootnoteReference"/>
        </w:rPr>
        <w:footnoteRef/>
      </w:r>
      <w:r>
        <w:t xml:space="preserve"> </w:t>
      </w:r>
      <w:r w:rsidRPr="00A22446">
        <w:t>Micah</w:t>
      </w:r>
      <w:r>
        <w:t xml:space="preserve"> et al. </w:t>
      </w:r>
      <w:r w:rsidRPr="00F30028">
        <w:rPr>
          <w:i/>
          <w:iCs/>
        </w:rPr>
        <w:t>Health sector spending and spending on HIV/AIDS, tuberculosis, and malaria, and development assistance for health: progress towards Sustainable Development Goal 3</w:t>
      </w:r>
      <w:r>
        <w:rPr>
          <w:i/>
          <w:iCs/>
        </w:rPr>
        <w:t xml:space="preserve"> (2020)</w:t>
      </w:r>
      <w:r w:rsidRPr="00A22446">
        <w:t xml:space="preserve">. </w:t>
      </w:r>
    </w:p>
  </w:footnote>
  <w:footnote w:id="56">
    <w:p w14:paraId="478AD6CD" w14:textId="77777777" w:rsidR="00F453BB" w:rsidRDefault="00F453BB" w:rsidP="008A5E08">
      <w:pPr>
        <w:pStyle w:val="FootnoteText"/>
      </w:pPr>
      <w:r>
        <w:rPr>
          <w:rStyle w:val="FootnoteReference"/>
        </w:rPr>
        <w:footnoteRef/>
      </w:r>
      <w:r>
        <w:t xml:space="preserve"> Internal World Bank Report, 2020</w:t>
      </w:r>
    </w:p>
  </w:footnote>
  <w:footnote w:id="57">
    <w:p w14:paraId="345F4AB1" w14:textId="77777777" w:rsidR="00F453BB" w:rsidRDefault="00F453BB" w:rsidP="008A5E08">
      <w:pPr>
        <w:pStyle w:val="FootnoteText"/>
      </w:pPr>
      <w:r>
        <w:rPr>
          <w:rStyle w:val="FootnoteReference"/>
        </w:rPr>
        <w:footnoteRef/>
      </w:r>
      <w:r>
        <w:t xml:space="preserve"> Citizen’s Budget 2020, Republic of Somaliland. Ministry of Finance Development</w:t>
      </w:r>
    </w:p>
  </w:footnote>
  <w:footnote w:id="58">
    <w:p w14:paraId="46C1486F" w14:textId="77777777" w:rsidR="00F453BB" w:rsidRDefault="00F453BB" w:rsidP="008A5E08">
      <w:pPr>
        <w:pStyle w:val="FootnoteText"/>
      </w:pPr>
      <w:r>
        <w:rPr>
          <w:rStyle w:val="FootnoteReference"/>
        </w:rPr>
        <w:footnoteRef/>
      </w:r>
      <w:r>
        <w:t xml:space="preserve"> Somalia Health and Demographic Survey, 2020</w:t>
      </w:r>
    </w:p>
  </w:footnote>
  <w:footnote w:id="59">
    <w:p w14:paraId="0004A5E4" w14:textId="77777777" w:rsidR="00F453BB" w:rsidRDefault="00F453BB" w:rsidP="008A5E08">
      <w:pPr>
        <w:pStyle w:val="FootnoteText"/>
      </w:pPr>
      <w:r>
        <w:rPr>
          <w:rStyle w:val="FootnoteReference"/>
        </w:rPr>
        <w:footnoteRef/>
      </w:r>
      <w:r>
        <w:t xml:space="preserve"> </w:t>
      </w:r>
      <w:r w:rsidRPr="00047A6A" w:rsidDel="005607E6">
        <w:t>The FGS also reported a similar amount of US$188 million of donor funding for the health/nutrition sector in 2019.</w:t>
      </w:r>
      <w:r>
        <w:t xml:space="preserve"> (Ministry of Planning, Investment and Economic Development. Aid Flow in Somalia (2020))</w:t>
      </w:r>
    </w:p>
  </w:footnote>
  <w:footnote w:id="60">
    <w:p w14:paraId="4D5CCDF4" w14:textId="77777777" w:rsidR="00F453BB" w:rsidRDefault="00F453BB" w:rsidP="008A5E08">
      <w:pPr>
        <w:pStyle w:val="FootnoteText"/>
      </w:pPr>
      <w:r>
        <w:rPr>
          <w:rStyle w:val="FootnoteReference"/>
        </w:rPr>
        <w:footnoteRef/>
      </w:r>
      <w:r>
        <w:t xml:space="preserve"> Global Financing Facility. The Somalia Resource Mapping and Expenditure Tracking (RMET) Report (2020). </w:t>
      </w:r>
    </w:p>
  </w:footnote>
  <w:footnote w:id="61">
    <w:p w14:paraId="7C55F755" w14:textId="77777777" w:rsidR="00F453BB" w:rsidRPr="00042F53" w:rsidRDefault="00F453BB" w:rsidP="008A5E08">
      <w:pPr>
        <w:pStyle w:val="FootnoteText"/>
      </w:pPr>
      <w:r>
        <w:rPr>
          <w:rStyle w:val="FootnoteReference"/>
        </w:rPr>
        <w:footnoteRef/>
      </w:r>
      <w:r>
        <w:t xml:space="preserve"> The HSSP II is a detailed plan </w:t>
      </w:r>
      <w:r>
        <w:rPr>
          <w:rFonts w:ascii="Calibri" w:hAnsi="Calibri" w:cs="Calibri"/>
          <w:lang w:val="en-IN"/>
        </w:rPr>
        <w:t>to operationalize the first ever Somali National Health Policy (NHP 1) endorsed in 2014, and the health part of th</w:t>
      </w:r>
      <w:r w:rsidRPr="001A6CB9">
        <w:rPr>
          <w:rFonts w:ascii="Calibri" w:hAnsi="Calibri" w:cs="Calibri"/>
          <w:lang w:val="en-IN"/>
        </w:rPr>
        <w:t>e 2017–19 National Development Plan (NDP 1).</w:t>
      </w:r>
    </w:p>
  </w:footnote>
  <w:footnote w:id="62">
    <w:p w14:paraId="08FE82F3" w14:textId="77777777" w:rsidR="00F453BB" w:rsidRPr="00975A9E" w:rsidRDefault="00F453BB" w:rsidP="008A5E08">
      <w:pPr>
        <w:spacing w:after="0" w:line="240" w:lineRule="auto"/>
        <w:jc w:val="both"/>
        <w:rPr>
          <w:rFonts w:eastAsia="Segoe UI" w:cstheme="minorHAnsi"/>
        </w:rPr>
      </w:pPr>
      <w:r w:rsidRPr="0002267D">
        <w:rPr>
          <w:rStyle w:val="FootnoteReference"/>
          <w:sz w:val="20"/>
          <w:szCs w:val="20"/>
        </w:rPr>
        <w:footnoteRef/>
      </w:r>
      <w:r w:rsidRPr="0002267D">
        <w:rPr>
          <w:sz w:val="20"/>
          <w:szCs w:val="20"/>
        </w:rPr>
        <w:t xml:space="preserve"> </w:t>
      </w:r>
      <w:r w:rsidRPr="0087311B">
        <w:rPr>
          <w:rFonts w:eastAsia="Segoe UI" w:cstheme="minorHAnsi"/>
          <w:sz w:val="20"/>
          <w:szCs w:val="20"/>
        </w:rPr>
        <w:t xml:space="preserve">Consolidated Compliance Audit Report of The Federal Government </w:t>
      </w:r>
      <w:r>
        <w:rPr>
          <w:rFonts w:eastAsia="Segoe UI" w:cstheme="minorHAnsi"/>
          <w:sz w:val="20"/>
          <w:szCs w:val="20"/>
        </w:rPr>
        <w:t>o</w:t>
      </w:r>
      <w:r w:rsidRPr="0087311B">
        <w:rPr>
          <w:rFonts w:eastAsia="Segoe UI" w:cstheme="minorHAnsi"/>
          <w:sz w:val="20"/>
          <w:szCs w:val="20"/>
        </w:rPr>
        <w:t>f Somalia for the Year Ended 31 December 2019. Retrieved from https://oag.gov.so/audit-reports</w:t>
      </w:r>
    </w:p>
  </w:footnote>
  <w:footnote w:id="63">
    <w:p w14:paraId="26F25C8D" w14:textId="77777777" w:rsidR="00F453BB" w:rsidRDefault="00F453BB" w:rsidP="008A5E08">
      <w:pPr>
        <w:pStyle w:val="FootnoteText"/>
      </w:pPr>
      <w:r>
        <w:rPr>
          <w:rStyle w:val="FootnoteReference"/>
        </w:rPr>
        <w:footnoteRef/>
      </w:r>
      <w:r>
        <w:t xml:space="preserve"> Somalia Service Availability and Readiness Assessment Survey, 2016 &amp; Africa Development Bank, </w:t>
      </w:r>
      <w:r w:rsidRPr="00F30028">
        <w:rPr>
          <w:i/>
          <w:iCs/>
        </w:rPr>
        <w:t>Health in Africa over the next 50 years</w:t>
      </w:r>
      <w:r>
        <w:t xml:space="preserve"> (2013).</w:t>
      </w:r>
    </w:p>
  </w:footnote>
  <w:footnote w:id="64">
    <w:p w14:paraId="3AD55082" w14:textId="77777777" w:rsidR="00F453BB" w:rsidRDefault="00F453BB" w:rsidP="008A5E08">
      <w:pPr>
        <w:pStyle w:val="FootnoteText"/>
      </w:pPr>
      <w:r>
        <w:rPr>
          <w:rStyle w:val="FootnoteReference"/>
        </w:rPr>
        <w:footnoteRef/>
      </w:r>
      <w:r>
        <w:t xml:space="preserve"> Africa Development Bank, </w:t>
      </w:r>
      <w:r w:rsidRPr="00F30028">
        <w:rPr>
          <w:i/>
          <w:iCs/>
        </w:rPr>
        <w:t>Health in Africa over the next 50 years</w:t>
      </w:r>
      <w:r>
        <w:t xml:space="preserve"> (2013).</w:t>
      </w:r>
      <w:r w:rsidDel="006E5D28">
        <w:t xml:space="preserve"> </w:t>
      </w:r>
    </w:p>
  </w:footnote>
  <w:footnote w:id="65">
    <w:p w14:paraId="247E696A" w14:textId="77777777" w:rsidR="00F453BB" w:rsidRDefault="00F453BB" w:rsidP="008A5E08">
      <w:pPr>
        <w:pStyle w:val="FootnoteText"/>
      </w:pPr>
      <w:r>
        <w:rPr>
          <w:rStyle w:val="FootnoteReference"/>
        </w:rPr>
        <w:footnoteRef/>
      </w:r>
      <w:r>
        <w:t xml:space="preserve"> </w:t>
      </w:r>
      <w:r w:rsidRPr="00AE0EA7">
        <w:t>For WHO Regions: Global Health Observatory, World Health Organization</w:t>
      </w:r>
      <w:r>
        <w:t>,</w:t>
      </w:r>
    </w:p>
  </w:footnote>
  <w:footnote w:id="66">
    <w:p w14:paraId="065271E2" w14:textId="77777777" w:rsidR="00F453BB" w:rsidRPr="00F30028" w:rsidRDefault="00F453BB" w:rsidP="008A5E08">
      <w:pPr>
        <w:pStyle w:val="FootnoteText"/>
        <w:rPr>
          <w:i/>
          <w:iCs/>
        </w:rPr>
      </w:pPr>
      <w:r>
        <w:rPr>
          <w:rStyle w:val="FootnoteReference"/>
        </w:rPr>
        <w:footnoteRef/>
      </w:r>
      <w:r>
        <w:t xml:space="preserve"> The Danish Immigration Service, </w:t>
      </w:r>
      <w:r>
        <w:rPr>
          <w:i/>
          <w:iCs/>
        </w:rPr>
        <w:t>Somalia Health System (2020).</w:t>
      </w:r>
    </w:p>
  </w:footnote>
  <w:footnote w:id="67">
    <w:p w14:paraId="23E7A8B2" w14:textId="77777777" w:rsidR="00F453BB" w:rsidRDefault="00F453BB" w:rsidP="008A5E08">
      <w:pPr>
        <w:pStyle w:val="FootnoteText"/>
      </w:pPr>
      <w:r>
        <w:rPr>
          <w:rStyle w:val="FootnoteReference"/>
        </w:rPr>
        <w:footnoteRef/>
      </w:r>
      <w:r>
        <w:t xml:space="preserve"> Somalia Service Availability and Readiness Assessment Survey, 2016 </w:t>
      </w:r>
    </w:p>
  </w:footnote>
  <w:footnote w:id="68">
    <w:p w14:paraId="093F73FB" w14:textId="77777777" w:rsidR="00F453BB" w:rsidRDefault="00F453BB" w:rsidP="008A5E08">
      <w:pPr>
        <w:pStyle w:val="FootnoteText"/>
      </w:pPr>
      <w:r>
        <w:rPr>
          <w:rStyle w:val="FootnoteReference"/>
        </w:rPr>
        <w:footnoteRef/>
      </w:r>
      <w:r>
        <w:t xml:space="preserve"> Somalia Health and Demographic Survey, 2020</w:t>
      </w:r>
    </w:p>
  </w:footnote>
  <w:footnote w:id="69">
    <w:p w14:paraId="62512A51" w14:textId="77777777" w:rsidR="00F453BB" w:rsidRDefault="00F453BB" w:rsidP="008A5E08">
      <w:pPr>
        <w:pStyle w:val="FootnoteText"/>
      </w:pPr>
      <w:r>
        <w:rPr>
          <w:rStyle w:val="FootnoteReference"/>
        </w:rPr>
        <w:footnoteRef/>
      </w:r>
      <w:r>
        <w:t xml:space="preserve"> </w:t>
      </w:r>
      <w:r w:rsidRPr="007B28AC">
        <w:t>W</w:t>
      </w:r>
      <w:r>
        <w:t xml:space="preserve">orld Health Organization, </w:t>
      </w:r>
      <w:r>
        <w:rPr>
          <w:i/>
          <w:iCs/>
        </w:rPr>
        <w:t xml:space="preserve">Stewardship in Health Systems. &amp; </w:t>
      </w:r>
      <w:r w:rsidRPr="005C3774">
        <w:t xml:space="preserve">Murray, C. and </w:t>
      </w:r>
      <w:r w:rsidRPr="005C3774">
        <w:t>Frenk, J.</w:t>
      </w:r>
      <w:r>
        <w:t xml:space="preserve"> </w:t>
      </w:r>
      <w:r w:rsidRPr="00F30028">
        <w:rPr>
          <w:i/>
          <w:iCs/>
        </w:rPr>
        <w:t>A framework for assessing the performance of health systems</w:t>
      </w:r>
      <w:r>
        <w:t>. World Health Organization, Bulletin of the World Health Organization, 2000</w:t>
      </w:r>
    </w:p>
  </w:footnote>
  <w:footnote w:id="70">
    <w:p w14:paraId="5ED13FDD" w14:textId="77777777" w:rsidR="00F453BB" w:rsidRDefault="00F453BB" w:rsidP="008A5E08">
      <w:pPr>
        <w:pStyle w:val="FootnoteText"/>
      </w:pPr>
      <w:r>
        <w:rPr>
          <w:rStyle w:val="FootnoteReference"/>
        </w:rPr>
        <w:footnoteRef/>
      </w:r>
      <w:r>
        <w:t xml:space="preserve"> Internal World Bank Study, 2020</w:t>
      </w:r>
    </w:p>
  </w:footnote>
  <w:footnote w:id="71">
    <w:p w14:paraId="1C8BE458" w14:textId="77777777" w:rsidR="00F453BB" w:rsidRPr="003829EA" w:rsidRDefault="00F453BB" w:rsidP="008A5E08">
      <w:pPr>
        <w:ind w:hanging="480"/>
        <w:rPr>
          <w:rFonts w:ascii="Times New Roman" w:eastAsia="Times New Roman" w:hAnsi="Times New Roman" w:cs="Times New Roman"/>
          <w:sz w:val="24"/>
          <w:szCs w:val="24"/>
        </w:rPr>
      </w:pPr>
      <w:r>
        <w:rPr>
          <w:rStyle w:val="FootnoteReference"/>
        </w:rPr>
        <w:footnoteRef/>
      </w:r>
      <w:r>
        <w:t xml:space="preserve"> </w:t>
      </w:r>
      <w:r w:rsidRPr="001C421F">
        <w:rPr>
          <w:rFonts w:eastAsia="Times New Roman" w:cstheme="minorHAnsi"/>
          <w:sz w:val="20"/>
          <w:szCs w:val="20"/>
        </w:rPr>
        <w:t xml:space="preserve">Loevinsohn, Benjamin, and April Harding. 2005. “Buying Results? Contracting for Health Service Delivery in Developing Countries.” </w:t>
      </w:r>
      <w:r w:rsidRPr="001C421F">
        <w:rPr>
          <w:rFonts w:eastAsia="Times New Roman" w:cstheme="minorHAnsi"/>
          <w:i/>
          <w:iCs/>
          <w:sz w:val="20"/>
          <w:szCs w:val="20"/>
        </w:rPr>
        <w:t>The Lancet</w:t>
      </w:r>
      <w:r w:rsidRPr="001C421F">
        <w:rPr>
          <w:rFonts w:eastAsia="Times New Roman" w:cstheme="minorHAnsi"/>
          <w:sz w:val="20"/>
          <w:szCs w:val="20"/>
        </w:rPr>
        <w:t xml:space="preserve"> 366 (9486): 676–681.</w:t>
      </w:r>
    </w:p>
    <w:p w14:paraId="3DC3BC64" w14:textId="77777777" w:rsidR="00F453BB" w:rsidRDefault="00F453BB" w:rsidP="008A5E08">
      <w:pPr>
        <w:pStyle w:val="FootnoteText"/>
      </w:pPr>
    </w:p>
  </w:footnote>
  <w:footnote w:id="72">
    <w:p w14:paraId="191F198E" w14:textId="77777777" w:rsidR="00F453BB" w:rsidRDefault="00F453BB" w:rsidP="008A5E08">
      <w:pPr>
        <w:pStyle w:val="FootnoteText"/>
      </w:pPr>
      <w:r>
        <w:rPr>
          <w:rStyle w:val="FootnoteReference"/>
        </w:rPr>
        <w:footnoteRef/>
      </w:r>
      <w:r>
        <w:t xml:space="preserve"> </w:t>
      </w:r>
      <w:r w:rsidRPr="001C421F">
        <w:rPr>
          <w:i/>
          <w:iCs/>
        </w:rPr>
        <w:t>Somalia: Moving the Federalism Agenda Forward</w:t>
      </w:r>
      <w:r w:rsidRPr="0042795F">
        <w:rPr>
          <w:i/>
          <w:iCs/>
        </w:rPr>
        <w:t xml:space="preserve">. </w:t>
      </w:r>
      <w:r w:rsidRPr="0042795F">
        <w:t>The World Bank.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CBC8" w14:textId="77777777" w:rsidR="00F453BB" w:rsidRDefault="00F45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EB64" w14:textId="77777777" w:rsidR="00F453BB" w:rsidRDefault="00F453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53BF" w14:textId="77777777" w:rsidR="00F453BB" w:rsidRDefault="00F45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328"/>
    <w:multiLevelType w:val="hybridMultilevel"/>
    <w:tmpl w:val="D8F8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4450"/>
    <w:multiLevelType w:val="hybridMultilevel"/>
    <w:tmpl w:val="FE22FDA0"/>
    <w:lvl w:ilvl="0" w:tplc="79541FCA">
      <w:start w:val="1"/>
      <w:numFmt w:val="lowerRoman"/>
      <w:lvlText w:val="%1."/>
      <w:lvlJc w:val="left"/>
      <w:pPr>
        <w:ind w:left="720" w:hanging="360"/>
      </w:pPr>
      <w:rPr>
        <w:rFonts w:asciiTheme="minorHAnsi" w:eastAsiaTheme="minorEastAsia"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1BCA"/>
    <w:multiLevelType w:val="hybridMultilevel"/>
    <w:tmpl w:val="F1C0D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77061F"/>
    <w:multiLevelType w:val="hybridMultilevel"/>
    <w:tmpl w:val="E224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354AF"/>
    <w:multiLevelType w:val="multilevel"/>
    <w:tmpl w:val="EB4EB3F4"/>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Courier New" w:hAnsi="Courier New" w:hint="default"/>
        <w:sz w:val="20"/>
      </w:rPr>
    </w:lvl>
    <w:lvl w:ilvl="5" w:tentative="1">
      <w:start w:val="1"/>
      <w:numFmt w:val="bullet"/>
      <w:lvlText w:val=""/>
      <w:lvlJc w:val="left"/>
      <w:pPr>
        <w:tabs>
          <w:tab w:val="num" w:pos="4320"/>
        </w:tabs>
        <w:ind w:left="4320" w:hanging="360"/>
      </w:pPr>
      <w:rPr>
        <w:rFonts w:ascii="Courier New" w:hAnsi="Courier New" w:hint="default"/>
        <w:sz w:val="20"/>
      </w:rPr>
    </w:lvl>
    <w:lvl w:ilvl="6" w:tentative="1">
      <w:start w:val="1"/>
      <w:numFmt w:val="bullet"/>
      <w:lvlText w:val=""/>
      <w:lvlJc w:val="left"/>
      <w:pPr>
        <w:tabs>
          <w:tab w:val="num" w:pos="5040"/>
        </w:tabs>
        <w:ind w:left="5040" w:hanging="360"/>
      </w:pPr>
      <w:rPr>
        <w:rFonts w:ascii="Courier New" w:hAnsi="Courier New" w:hint="default"/>
        <w:sz w:val="20"/>
      </w:rPr>
    </w:lvl>
    <w:lvl w:ilvl="7" w:tentative="1">
      <w:start w:val="1"/>
      <w:numFmt w:val="bullet"/>
      <w:lvlText w:val=""/>
      <w:lvlJc w:val="left"/>
      <w:pPr>
        <w:tabs>
          <w:tab w:val="num" w:pos="5760"/>
        </w:tabs>
        <w:ind w:left="5760" w:hanging="360"/>
      </w:pPr>
      <w:rPr>
        <w:rFonts w:ascii="Courier New" w:hAnsi="Courier New" w:hint="default"/>
        <w:sz w:val="20"/>
      </w:rPr>
    </w:lvl>
    <w:lvl w:ilvl="8" w:tentative="1">
      <w:start w:val="1"/>
      <w:numFmt w:val="bullet"/>
      <w:lvlText w:val=""/>
      <w:lvlJc w:val="left"/>
      <w:pPr>
        <w:tabs>
          <w:tab w:val="num" w:pos="6480"/>
        </w:tabs>
        <w:ind w:left="6480" w:hanging="360"/>
      </w:pPr>
      <w:rPr>
        <w:rFonts w:ascii="Courier New" w:hAnsi="Courier New" w:hint="default"/>
        <w:sz w:val="20"/>
      </w:rPr>
    </w:lvl>
  </w:abstractNum>
  <w:abstractNum w:abstractNumId="5" w15:restartNumberingAfterBreak="0">
    <w:nsid w:val="28CB2D72"/>
    <w:multiLevelType w:val="hybridMultilevel"/>
    <w:tmpl w:val="49803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23AA0"/>
    <w:multiLevelType w:val="hybridMultilevel"/>
    <w:tmpl w:val="8850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A516E"/>
    <w:multiLevelType w:val="hybridMultilevel"/>
    <w:tmpl w:val="8BF6F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863F48"/>
    <w:multiLevelType w:val="hybridMultilevel"/>
    <w:tmpl w:val="197C083A"/>
    <w:lvl w:ilvl="0" w:tplc="D30E708A">
      <w:start w:val="1"/>
      <w:numFmt w:val="decimal"/>
      <w:pStyle w:val="Bodytextparanumbers"/>
      <w:lvlText w:val="%1."/>
      <w:lvlJc w:val="left"/>
      <w:pPr>
        <w:ind w:left="72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9" w15:restartNumberingAfterBreak="0">
    <w:nsid w:val="39F82A96"/>
    <w:multiLevelType w:val="hybridMultilevel"/>
    <w:tmpl w:val="182A7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E01AB6"/>
    <w:multiLevelType w:val="hybridMultilevel"/>
    <w:tmpl w:val="E63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FD295C"/>
    <w:multiLevelType w:val="hybridMultilevel"/>
    <w:tmpl w:val="C6FC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57526B"/>
    <w:multiLevelType w:val="hybridMultilevel"/>
    <w:tmpl w:val="4B06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856C8C"/>
    <w:multiLevelType w:val="hybridMultilevel"/>
    <w:tmpl w:val="8638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1"/>
  </w:num>
  <w:num w:numId="4">
    <w:abstractNumId w:val="5"/>
  </w:num>
  <w:num w:numId="5">
    <w:abstractNumId w:val="12"/>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2"/>
  </w:num>
  <w:num w:numId="11">
    <w:abstractNumId w:val="4"/>
  </w:num>
  <w:num w:numId="12">
    <w:abstractNumId w:val="1"/>
  </w:num>
  <w:num w:numId="13">
    <w:abstractNumId w:val="0"/>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1"/>
    <w:rsid w:val="000009B0"/>
    <w:rsid w:val="00000B10"/>
    <w:rsid w:val="00002014"/>
    <w:rsid w:val="00002352"/>
    <w:rsid w:val="000045EE"/>
    <w:rsid w:val="0001035D"/>
    <w:rsid w:val="00011A54"/>
    <w:rsid w:val="00012EE3"/>
    <w:rsid w:val="0001449C"/>
    <w:rsid w:val="000149F8"/>
    <w:rsid w:val="00014C3D"/>
    <w:rsid w:val="0001523E"/>
    <w:rsid w:val="00017647"/>
    <w:rsid w:val="00017825"/>
    <w:rsid w:val="000203FE"/>
    <w:rsid w:val="00021CC6"/>
    <w:rsid w:val="0002211B"/>
    <w:rsid w:val="00023DBB"/>
    <w:rsid w:val="000241DF"/>
    <w:rsid w:val="000303BF"/>
    <w:rsid w:val="00030AD6"/>
    <w:rsid w:val="000338D4"/>
    <w:rsid w:val="00034694"/>
    <w:rsid w:val="00035109"/>
    <w:rsid w:val="00037AFB"/>
    <w:rsid w:val="00037EE9"/>
    <w:rsid w:val="000401A8"/>
    <w:rsid w:val="0004067D"/>
    <w:rsid w:val="00043296"/>
    <w:rsid w:val="000448F3"/>
    <w:rsid w:val="000451DA"/>
    <w:rsid w:val="00045867"/>
    <w:rsid w:val="00045979"/>
    <w:rsid w:val="0004707F"/>
    <w:rsid w:val="00047A59"/>
    <w:rsid w:val="000505ED"/>
    <w:rsid w:val="00050A53"/>
    <w:rsid w:val="00051B82"/>
    <w:rsid w:val="00051C35"/>
    <w:rsid w:val="0005219D"/>
    <w:rsid w:val="000550DE"/>
    <w:rsid w:val="00055F5A"/>
    <w:rsid w:val="00057A4C"/>
    <w:rsid w:val="0006340F"/>
    <w:rsid w:val="00066A96"/>
    <w:rsid w:val="00067AB3"/>
    <w:rsid w:val="00071EFE"/>
    <w:rsid w:val="00072071"/>
    <w:rsid w:val="00073156"/>
    <w:rsid w:val="0007390A"/>
    <w:rsid w:val="00073998"/>
    <w:rsid w:val="00074CB9"/>
    <w:rsid w:val="00074E66"/>
    <w:rsid w:val="00075E52"/>
    <w:rsid w:val="00076C89"/>
    <w:rsid w:val="0007714B"/>
    <w:rsid w:val="00080978"/>
    <w:rsid w:val="0008200B"/>
    <w:rsid w:val="000827BD"/>
    <w:rsid w:val="000831D2"/>
    <w:rsid w:val="00084070"/>
    <w:rsid w:val="0008592A"/>
    <w:rsid w:val="00085FB0"/>
    <w:rsid w:val="0008639E"/>
    <w:rsid w:val="00086B14"/>
    <w:rsid w:val="00086BDC"/>
    <w:rsid w:val="000906B9"/>
    <w:rsid w:val="00091020"/>
    <w:rsid w:val="00091181"/>
    <w:rsid w:val="000911C3"/>
    <w:rsid w:val="00091EDF"/>
    <w:rsid w:val="00092139"/>
    <w:rsid w:val="00093C70"/>
    <w:rsid w:val="00097F24"/>
    <w:rsid w:val="000A0AFA"/>
    <w:rsid w:val="000A314E"/>
    <w:rsid w:val="000A584A"/>
    <w:rsid w:val="000A5A91"/>
    <w:rsid w:val="000A5CF4"/>
    <w:rsid w:val="000A673D"/>
    <w:rsid w:val="000A72EC"/>
    <w:rsid w:val="000B08A4"/>
    <w:rsid w:val="000B0A44"/>
    <w:rsid w:val="000B0B6C"/>
    <w:rsid w:val="000B1904"/>
    <w:rsid w:val="000B2059"/>
    <w:rsid w:val="000B2B5E"/>
    <w:rsid w:val="000B314F"/>
    <w:rsid w:val="000B32C1"/>
    <w:rsid w:val="000B4599"/>
    <w:rsid w:val="000B4AAF"/>
    <w:rsid w:val="000B4BDE"/>
    <w:rsid w:val="000B568A"/>
    <w:rsid w:val="000C005C"/>
    <w:rsid w:val="000C13F3"/>
    <w:rsid w:val="000C5C0C"/>
    <w:rsid w:val="000C5EB0"/>
    <w:rsid w:val="000C5F6B"/>
    <w:rsid w:val="000C690C"/>
    <w:rsid w:val="000C6D18"/>
    <w:rsid w:val="000C7049"/>
    <w:rsid w:val="000D0BBB"/>
    <w:rsid w:val="000D1D64"/>
    <w:rsid w:val="000D1FE3"/>
    <w:rsid w:val="000D30A1"/>
    <w:rsid w:val="000D3DC2"/>
    <w:rsid w:val="000D43FE"/>
    <w:rsid w:val="000D571E"/>
    <w:rsid w:val="000D63B9"/>
    <w:rsid w:val="000D724E"/>
    <w:rsid w:val="000D7A4A"/>
    <w:rsid w:val="000D7A68"/>
    <w:rsid w:val="000E0C06"/>
    <w:rsid w:val="000E1348"/>
    <w:rsid w:val="000E26F2"/>
    <w:rsid w:val="000E3CB1"/>
    <w:rsid w:val="000E4908"/>
    <w:rsid w:val="000E50DF"/>
    <w:rsid w:val="000F0BB0"/>
    <w:rsid w:val="000F1733"/>
    <w:rsid w:val="000F25D9"/>
    <w:rsid w:val="000F35F2"/>
    <w:rsid w:val="000F4CF6"/>
    <w:rsid w:val="000F54CB"/>
    <w:rsid w:val="000F5900"/>
    <w:rsid w:val="000F642C"/>
    <w:rsid w:val="00100298"/>
    <w:rsid w:val="001005AB"/>
    <w:rsid w:val="001011CE"/>
    <w:rsid w:val="001016E2"/>
    <w:rsid w:val="00101798"/>
    <w:rsid w:val="00103246"/>
    <w:rsid w:val="00106ECA"/>
    <w:rsid w:val="001079AA"/>
    <w:rsid w:val="001101CA"/>
    <w:rsid w:val="00111DA2"/>
    <w:rsid w:val="00113DBC"/>
    <w:rsid w:val="0011558A"/>
    <w:rsid w:val="0012113B"/>
    <w:rsid w:val="00121979"/>
    <w:rsid w:val="00122FDF"/>
    <w:rsid w:val="0012370D"/>
    <w:rsid w:val="00124882"/>
    <w:rsid w:val="00124B6F"/>
    <w:rsid w:val="001304DA"/>
    <w:rsid w:val="001312DB"/>
    <w:rsid w:val="00131950"/>
    <w:rsid w:val="00132C7A"/>
    <w:rsid w:val="00132F0F"/>
    <w:rsid w:val="001332EB"/>
    <w:rsid w:val="0013441D"/>
    <w:rsid w:val="001346BF"/>
    <w:rsid w:val="00135976"/>
    <w:rsid w:val="00136805"/>
    <w:rsid w:val="00136BC9"/>
    <w:rsid w:val="00136BF2"/>
    <w:rsid w:val="00140879"/>
    <w:rsid w:val="001418EF"/>
    <w:rsid w:val="00142783"/>
    <w:rsid w:val="001477F8"/>
    <w:rsid w:val="001504C7"/>
    <w:rsid w:val="00151D73"/>
    <w:rsid w:val="00154393"/>
    <w:rsid w:val="00157E58"/>
    <w:rsid w:val="00160325"/>
    <w:rsid w:val="00161BF5"/>
    <w:rsid w:val="001627CE"/>
    <w:rsid w:val="00162B18"/>
    <w:rsid w:val="00162C7E"/>
    <w:rsid w:val="0016518F"/>
    <w:rsid w:val="00165AC8"/>
    <w:rsid w:val="001739AF"/>
    <w:rsid w:val="00173BC6"/>
    <w:rsid w:val="00173D62"/>
    <w:rsid w:val="00175107"/>
    <w:rsid w:val="00175A2F"/>
    <w:rsid w:val="00175DB6"/>
    <w:rsid w:val="00175F85"/>
    <w:rsid w:val="00183D75"/>
    <w:rsid w:val="00185087"/>
    <w:rsid w:val="001854A6"/>
    <w:rsid w:val="0018661A"/>
    <w:rsid w:val="001874CA"/>
    <w:rsid w:val="00187E57"/>
    <w:rsid w:val="00191779"/>
    <w:rsid w:val="00191B4E"/>
    <w:rsid w:val="00193361"/>
    <w:rsid w:val="00193CEE"/>
    <w:rsid w:val="00194058"/>
    <w:rsid w:val="00194947"/>
    <w:rsid w:val="001954CB"/>
    <w:rsid w:val="00196909"/>
    <w:rsid w:val="00197C31"/>
    <w:rsid w:val="001A02DC"/>
    <w:rsid w:val="001A04B9"/>
    <w:rsid w:val="001A0733"/>
    <w:rsid w:val="001A1089"/>
    <w:rsid w:val="001A40A0"/>
    <w:rsid w:val="001A42D3"/>
    <w:rsid w:val="001A63FE"/>
    <w:rsid w:val="001B11B1"/>
    <w:rsid w:val="001B306A"/>
    <w:rsid w:val="001B3476"/>
    <w:rsid w:val="001B60A9"/>
    <w:rsid w:val="001B6B15"/>
    <w:rsid w:val="001C08E8"/>
    <w:rsid w:val="001C1810"/>
    <w:rsid w:val="001C1CA7"/>
    <w:rsid w:val="001C1DA3"/>
    <w:rsid w:val="001C261A"/>
    <w:rsid w:val="001C2E35"/>
    <w:rsid w:val="001C3AEE"/>
    <w:rsid w:val="001C624C"/>
    <w:rsid w:val="001C6F8E"/>
    <w:rsid w:val="001C73EE"/>
    <w:rsid w:val="001C7D94"/>
    <w:rsid w:val="001D0644"/>
    <w:rsid w:val="001D0BFA"/>
    <w:rsid w:val="001D1C01"/>
    <w:rsid w:val="001D3A87"/>
    <w:rsid w:val="001E06B6"/>
    <w:rsid w:val="001E09E9"/>
    <w:rsid w:val="001E134F"/>
    <w:rsid w:val="001E1B0E"/>
    <w:rsid w:val="001E20F3"/>
    <w:rsid w:val="001E3B70"/>
    <w:rsid w:val="001E585F"/>
    <w:rsid w:val="001E6D9B"/>
    <w:rsid w:val="001F2277"/>
    <w:rsid w:val="001F2B74"/>
    <w:rsid w:val="001F399A"/>
    <w:rsid w:val="001F427C"/>
    <w:rsid w:val="001F715B"/>
    <w:rsid w:val="00200049"/>
    <w:rsid w:val="00201BD0"/>
    <w:rsid w:val="002046DD"/>
    <w:rsid w:val="002059BD"/>
    <w:rsid w:val="00207717"/>
    <w:rsid w:val="00210FD2"/>
    <w:rsid w:val="002110CD"/>
    <w:rsid w:val="002124CB"/>
    <w:rsid w:val="002144BA"/>
    <w:rsid w:val="00214566"/>
    <w:rsid w:val="00214BDF"/>
    <w:rsid w:val="002155D3"/>
    <w:rsid w:val="00215D8C"/>
    <w:rsid w:val="00216BBD"/>
    <w:rsid w:val="00221D79"/>
    <w:rsid w:val="0022239A"/>
    <w:rsid w:val="00222E9A"/>
    <w:rsid w:val="00222EC1"/>
    <w:rsid w:val="00225535"/>
    <w:rsid w:val="00225F80"/>
    <w:rsid w:val="0022676D"/>
    <w:rsid w:val="002272E7"/>
    <w:rsid w:val="00227975"/>
    <w:rsid w:val="00231DEE"/>
    <w:rsid w:val="00233384"/>
    <w:rsid w:val="00236D60"/>
    <w:rsid w:val="002370AF"/>
    <w:rsid w:val="002412AE"/>
    <w:rsid w:val="00242298"/>
    <w:rsid w:val="00243930"/>
    <w:rsid w:val="00243F13"/>
    <w:rsid w:val="00244298"/>
    <w:rsid w:val="0024545A"/>
    <w:rsid w:val="0024623E"/>
    <w:rsid w:val="0024650B"/>
    <w:rsid w:val="00246913"/>
    <w:rsid w:val="002507F6"/>
    <w:rsid w:val="0025274E"/>
    <w:rsid w:val="00255F04"/>
    <w:rsid w:val="00256256"/>
    <w:rsid w:val="00260FA2"/>
    <w:rsid w:val="002611C8"/>
    <w:rsid w:val="00261DA4"/>
    <w:rsid w:val="00261F52"/>
    <w:rsid w:val="00263CA7"/>
    <w:rsid w:val="00263E9B"/>
    <w:rsid w:val="00264911"/>
    <w:rsid w:val="00264A90"/>
    <w:rsid w:val="002675E6"/>
    <w:rsid w:val="00270402"/>
    <w:rsid w:val="0027094D"/>
    <w:rsid w:val="00270BAF"/>
    <w:rsid w:val="00270D68"/>
    <w:rsid w:val="00271A0A"/>
    <w:rsid w:val="00271FC8"/>
    <w:rsid w:val="00272498"/>
    <w:rsid w:val="0027431F"/>
    <w:rsid w:val="00274660"/>
    <w:rsid w:val="002759CC"/>
    <w:rsid w:val="00277B75"/>
    <w:rsid w:val="00280140"/>
    <w:rsid w:val="00281731"/>
    <w:rsid w:val="00281F3D"/>
    <w:rsid w:val="00283890"/>
    <w:rsid w:val="00283D13"/>
    <w:rsid w:val="00284DDF"/>
    <w:rsid w:val="002862B7"/>
    <w:rsid w:val="0028746B"/>
    <w:rsid w:val="0028747C"/>
    <w:rsid w:val="00287A89"/>
    <w:rsid w:val="00290F8C"/>
    <w:rsid w:val="00292127"/>
    <w:rsid w:val="00293D18"/>
    <w:rsid w:val="002945F7"/>
    <w:rsid w:val="0029466F"/>
    <w:rsid w:val="0029611B"/>
    <w:rsid w:val="00297665"/>
    <w:rsid w:val="00297D40"/>
    <w:rsid w:val="002A054F"/>
    <w:rsid w:val="002A1886"/>
    <w:rsid w:val="002A1AF0"/>
    <w:rsid w:val="002A266F"/>
    <w:rsid w:val="002A2837"/>
    <w:rsid w:val="002A736A"/>
    <w:rsid w:val="002B0F6F"/>
    <w:rsid w:val="002B165E"/>
    <w:rsid w:val="002B2552"/>
    <w:rsid w:val="002B3B10"/>
    <w:rsid w:val="002B3E01"/>
    <w:rsid w:val="002B4A4E"/>
    <w:rsid w:val="002B7C6F"/>
    <w:rsid w:val="002C06D5"/>
    <w:rsid w:val="002C1399"/>
    <w:rsid w:val="002C30BB"/>
    <w:rsid w:val="002C32BB"/>
    <w:rsid w:val="002C5175"/>
    <w:rsid w:val="002C54B7"/>
    <w:rsid w:val="002C57DD"/>
    <w:rsid w:val="002C5ED4"/>
    <w:rsid w:val="002C5F40"/>
    <w:rsid w:val="002D0707"/>
    <w:rsid w:val="002D0A8F"/>
    <w:rsid w:val="002D1676"/>
    <w:rsid w:val="002D18F6"/>
    <w:rsid w:val="002D2B88"/>
    <w:rsid w:val="002D32F2"/>
    <w:rsid w:val="002D3897"/>
    <w:rsid w:val="002D7ECD"/>
    <w:rsid w:val="002E083E"/>
    <w:rsid w:val="002E0C52"/>
    <w:rsid w:val="002E121E"/>
    <w:rsid w:val="002E1760"/>
    <w:rsid w:val="002E28C1"/>
    <w:rsid w:val="002E6227"/>
    <w:rsid w:val="002E63D9"/>
    <w:rsid w:val="002E6492"/>
    <w:rsid w:val="002E6662"/>
    <w:rsid w:val="002F03D8"/>
    <w:rsid w:val="002F090F"/>
    <w:rsid w:val="002F28B7"/>
    <w:rsid w:val="002F3B40"/>
    <w:rsid w:val="002F5856"/>
    <w:rsid w:val="002F5DAB"/>
    <w:rsid w:val="002F5EFA"/>
    <w:rsid w:val="002F6AF1"/>
    <w:rsid w:val="003000B7"/>
    <w:rsid w:val="003001E8"/>
    <w:rsid w:val="00300B14"/>
    <w:rsid w:val="00301D8D"/>
    <w:rsid w:val="00302D1E"/>
    <w:rsid w:val="00303A49"/>
    <w:rsid w:val="00303B35"/>
    <w:rsid w:val="00305246"/>
    <w:rsid w:val="0030736E"/>
    <w:rsid w:val="0031069F"/>
    <w:rsid w:val="003112A6"/>
    <w:rsid w:val="003112EA"/>
    <w:rsid w:val="003129B0"/>
    <w:rsid w:val="00312F0A"/>
    <w:rsid w:val="00313477"/>
    <w:rsid w:val="00315302"/>
    <w:rsid w:val="00320418"/>
    <w:rsid w:val="003207BA"/>
    <w:rsid w:val="003209D7"/>
    <w:rsid w:val="0032145C"/>
    <w:rsid w:val="00322A00"/>
    <w:rsid w:val="00323EA8"/>
    <w:rsid w:val="00324DFD"/>
    <w:rsid w:val="00326208"/>
    <w:rsid w:val="00326F11"/>
    <w:rsid w:val="00327A9B"/>
    <w:rsid w:val="00333B6A"/>
    <w:rsid w:val="00334F67"/>
    <w:rsid w:val="003356A2"/>
    <w:rsid w:val="00335792"/>
    <w:rsid w:val="00335C0C"/>
    <w:rsid w:val="003401F9"/>
    <w:rsid w:val="0034033F"/>
    <w:rsid w:val="00341F01"/>
    <w:rsid w:val="003428FB"/>
    <w:rsid w:val="00344737"/>
    <w:rsid w:val="003454E8"/>
    <w:rsid w:val="00345EEA"/>
    <w:rsid w:val="0034656D"/>
    <w:rsid w:val="0034670C"/>
    <w:rsid w:val="0034695C"/>
    <w:rsid w:val="0034794F"/>
    <w:rsid w:val="003510F0"/>
    <w:rsid w:val="00353022"/>
    <w:rsid w:val="00353A8E"/>
    <w:rsid w:val="00353B64"/>
    <w:rsid w:val="0035524A"/>
    <w:rsid w:val="00355E09"/>
    <w:rsid w:val="003607F9"/>
    <w:rsid w:val="00362533"/>
    <w:rsid w:val="003652FC"/>
    <w:rsid w:val="003655BA"/>
    <w:rsid w:val="00366A46"/>
    <w:rsid w:val="00367563"/>
    <w:rsid w:val="00367B0E"/>
    <w:rsid w:val="00367C81"/>
    <w:rsid w:val="00367E10"/>
    <w:rsid w:val="0037038E"/>
    <w:rsid w:val="00370C21"/>
    <w:rsid w:val="003715B7"/>
    <w:rsid w:val="00372875"/>
    <w:rsid w:val="003742F7"/>
    <w:rsid w:val="00374C90"/>
    <w:rsid w:val="0037797C"/>
    <w:rsid w:val="0038037C"/>
    <w:rsid w:val="0038039A"/>
    <w:rsid w:val="003807B0"/>
    <w:rsid w:val="003807FB"/>
    <w:rsid w:val="00380958"/>
    <w:rsid w:val="00381A27"/>
    <w:rsid w:val="003820BB"/>
    <w:rsid w:val="0038225C"/>
    <w:rsid w:val="0038276F"/>
    <w:rsid w:val="00382ED2"/>
    <w:rsid w:val="003847B0"/>
    <w:rsid w:val="00385102"/>
    <w:rsid w:val="003856AB"/>
    <w:rsid w:val="00385A0E"/>
    <w:rsid w:val="00385F28"/>
    <w:rsid w:val="003861F7"/>
    <w:rsid w:val="0038676D"/>
    <w:rsid w:val="00390074"/>
    <w:rsid w:val="00390270"/>
    <w:rsid w:val="003907D9"/>
    <w:rsid w:val="00391AC3"/>
    <w:rsid w:val="00391BFC"/>
    <w:rsid w:val="00393296"/>
    <w:rsid w:val="0039445C"/>
    <w:rsid w:val="0039488C"/>
    <w:rsid w:val="003948CA"/>
    <w:rsid w:val="00395E91"/>
    <w:rsid w:val="0039608B"/>
    <w:rsid w:val="00396EDE"/>
    <w:rsid w:val="00397483"/>
    <w:rsid w:val="00397D5D"/>
    <w:rsid w:val="003A0BCD"/>
    <w:rsid w:val="003A0EE0"/>
    <w:rsid w:val="003A1696"/>
    <w:rsid w:val="003A20FE"/>
    <w:rsid w:val="003A2B0B"/>
    <w:rsid w:val="003A3EE3"/>
    <w:rsid w:val="003A70D7"/>
    <w:rsid w:val="003B2123"/>
    <w:rsid w:val="003B3C84"/>
    <w:rsid w:val="003B4080"/>
    <w:rsid w:val="003B6583"/>
    <w:rsid w:val="003C0EC6"/>
    <w:rsid w:val="003C103C"/>
    <w:rsid w:val="003C22CD"/>
    <w:rsid w:val="003C22DB"/>
    <w:rsid w:val="003C2836"/>
    <w:rsid w:val="003C447B"/>
    <w:rsid w:val="003C51D9"/>
    <w:rsid w:val="003C59C6"/>
    <w:rsid w:val="003C5F54"/>
    <w:rsid w:val="003D00AF"/>
    <w:rsid w:val="003D0881"/>
    <w:rsid w:val="003D096F"/>
    <w:rsid w:val="003D0CA1"/>
    <w:rsid w:val="003D0DC7"/>
    <w:rsid w:val="003D39A2"/>
    <w:rsid w:val="003D4A04"/>
    <w:rsid w:val="003E0028"/>
    <w:rsid w:val="003E10F9"/>
    <w:rsid w:val="003E132D"/>
    <w:rsid w:val="003E17DF"/>
    <w:rsid w:val="003E224B"/>
    <w:rsid w:val="003E2BB4"/>
    <w:rsid w:val="003E375B"/>
    <w:rsid w:val="003E4AA5"/>
    <w:rsid w:val="003E4B8F"/>
    <w:rsid w:val="003E5E5E"/>
    <w:rsid w:val="003E6BCC"/>
    <w:rsid w:val="003E75D5"/>
    <w:rsid w:val="003E7775"/>
    <w:rsid w:val="003F1BBE"/>
    <w:rsid w:val="003F3E9D"/>
    <w:rsid w:val="003F7B6B"/>
    <w:rsid w:val="004014A7"/>
    <w:rsid w:val="004015E1"/>
    <w:rsid w:val="00403B46"/>
    <w:rsid w:val="00403CB8"/>
    <w:rsid w:val="00403F8A"/>
    <w:rsid w:val="00406895"/>
    <w:rsid w:val="0040739F"/>
    <w:rsid w:val="004108B8"/>
    <w:rsid w:val="00410ACE"/>
    <w:rsid w:val="00412E7D"/>
    <w:rsid w:val="0041310E"/>
    <w:rsid w:val="00413AD3"/>
    <w:rsid w:val="004140DD"/>
    <w:rsid w:val="004150CF"/>
    <w:rsid w:val="00415452"/>
    <w:rsid w:val="004177C7"/>
    <w:rsid w:val="00417B78"/>
    <w:rsid w:val="00421AE5"/>
    <w:rsid w:val="00422DC9"/>
    <w:rsid w:val="0042399D"/>
    <w:rsid w:val="00423BD4"/>
    <w:rsid w:val="004243EE"/>
    <w:rsid w:val="00424690"/>
    <w:rsid w:val="004251E5"/>
    <w:rsid w:val="00425558"/>
    <w:rsid w:val="0042795F"/>
    <w:rsid w:val="00427CAC"/>
    <w:rsid w:val="00427FD1"/>
    <w:rsid w:val="00430892"/>
    <w:rsid w:val="00431175"/>
    <w:rsid w:val="004312E9"/>
    <w:rsid w:val="00431390"/>
    <w:rsid w:val="00432BDD"/>
    <w:rsid w:val="00432E72"/>
    <w:rsid w:val="00433038"/>
    <w:rsid w:val="0043366E"/>
    <w:rsid w:val="00435199"/>
    <w:rsid w:val="0043527F"/>
    <w:rsid w:val="00435D7F"/>
    <w:rsid w:val="0043602D"/>
    <w:rsid w:val="00436E6D"/>
    <w:rsid w:val="00437539"/>
    <w:rsid w:val="00437732"/>
    <w:rsid w:val="00440A1D"/>
    <w:rsid w:val="0044186A"/>
    <w:rsid w:val="0044198F"/>
    <w:rsid w:val="00441AD4"/>
    <w:rsid w:val="00441DAA"/>
    <w:rsid w:val="004420B7"/>
    <w:rsid w:val="00442FE8"/>
    <w:rsid w:val="004448CC"/>
    <w:rsid w:val="004449C3"/>
    <w:rsid w:val="00444A86"/>
    <w:rsid w:val="00444D4D"/>
    <w:rsid w:val="00446775"/>
    <w:rsid w:val="00450311"/>
    <w:rsid w:val="004504FE"/>
    <w:rsid w:val="00452AA6"/>
    <w:rsid w:val="00452C56"/>
    <w:rsid w:val="00453A4D"/>
    <w:rsid w:val="0045580E"/>
    <w:rsid w:val="004567AE"/>
    <w:rsid w:val="00456D52"/>
    <w:rsid w:val="00456E9C"/>
    <w:rsid w:val="004602CC"/>
    <w:rsid w:val="004605E9"/>
    <w:rsid w:val="004606F2"/>
    <w:rsid w:val="0046198F"/>
    <w:rsid w:val="00462E11"/>
    <w:rsid w:val="0046430F"/>
    <w:rsid w:val="004655F9"/>
    <w:rsid w:val="00467C20"/>
    <w:rsid w:val="004725B3"/>
    <w:rsid w:val="00474A64"/>
    <w:rsid w:val="004766D1"/>
    <w:rsid w:val="004805CC"/>
    <w:rsid w:val="004811A8"/>
    <w:rsid w:val="00481933"/>
    <w:rsid w:val="00482A8B"/>
    <w:rsid w:val="00483507"/>
    <w:rsid w:val="0048364A"/>
    <w:rsid w:val="00483BE5"/>
    <w:rsid w:val="00485619"/>
    <w:rsid w:val="00485D84"/>
    <w:rsid w:val="004865BD"/>
    <w:rsid w:val="0048699F"/>
    <w:rsid w:val="004878B5"/>
    <w:rsid w:val="0048791E"/>
    <w:rsid w:val="004906F3"/>
    <w:rsid w:val="00492E0D"/>
    <w:rsid w:val="00493011"/>
    <w:rsid w:val="00493547"/>
    <w:rsid w:val="00493E7C"/>
    <w:rsid w:val="0049488D"/>
    <w:rsid w:val="004958F0"/>
    <w:rsid w:val="00495D95"/>
    <w:rsid w:val="00497B5A"/>
    <w:rsid w:val="004A06C6"/>
    <w:rsid w:val="004A27CE"/>
    <w:rsid w:val="004A3F77"/>
    <w:rsid w:val="004A405D"/>
    <w:rsid w:val="004A473F"/>
    <w:rsid w:val="004A562A"/>
    <w:rsid w:val="004A6116"/>
    <w:rsid w:val="004A70A0"/>
    <w:rsid w:val="004A7141"/>
    <w:rsid w:val="004A724B"/>
    <w:rsid w:val="004B00E5"/>
    <w:rsid w:val="004B1304"/>
    <w:rsid w:val="004B37FC"/>
    <w:rsid w:val="004B67FC"/>
    <w:rsid w:val="004B7BC0"/>
    <w:rsid w:val="004C2DF5"/>
    <w:rsid w:val="004C3A47"/>
    <w:rsid w:val="004C46A5"/>
    <w:rsid w:val="004C4C2C"/>
    <w:rsid w:val="004C4DB3"/>
    <w:rsid w:val="004C52F3"/>
    <w:rsid w:val="004C573A"/>
    <w:rsid w:val="004C5D9F"/>
    <w:rsid w:val="004C745C"/>
    <w:rsid w:val="004D18D7"/>
    <w:rsid w:val="004D31AE"/>
    <w:rsid w:val="004D3F23"/>
    <w:rsid w:val="004D55AD"/>
    <w:rsid w:val="004E2A36"/>
    <w:rsid w:val="004E31AB"/>
    <w:rsid w:val="004E3A9B"/>
    <w:rsid w:val="004E5301"/>
    <w:rsid w:val="004E5470"/>
    <w:rsid w:val="004E5825"/>
    <w:rsid w:val="004E5B02"/>
    <w:rsid w:val="004E76AD"/>
    <w:rsid w:val="004F0AC9"/>
    <w:rsid w:val="004F3A05"/>
    <w:rsid w:val="004F48F7"/>
    <w:rsid w:val="004F511E"/>
    <w:rsid w:val="004F61E4"/>
    <w:rsid w:val="005000D6"/>
    <w:rsid w:val="00501AC7"/>
    <w:rsid w:val="005029ED"/>
    <w:rsid w:val="00502E56"/>
    <w:rsid w:val="00504740"/>
    <w:rsid w:val="00504B8F"/>
    <w:rsid w:val="00504EB7"/>
    <w:rsid w:val="00505F25"/>
    <w:rsid w:val="00507250"/>
    <w:rsid w:val="0051031B"/>
    <w:rsid w:val="00510A86"/>
    <w:rsid w:val="00512361"/>
    <w:rsid w:val="0051238A"/>
    <w:rsid w:val="005130B7"/>
    <w:rsid w:val="00513A6F"/>
    <w:rsid w:val="005147E7"/>
    <w:rsid w:val="005155C4"/>
    <w:rsid w:val="00523D49"/>
    <w:rsid w:val="00524C4B"/>
    <w:rsid w:val="00524F2B"/>
    <w:rsid w:val="00525A1D"/>
    <w:rsid w:val="005274BC"/>
    <w:rsid w:val="0052793D"/>
    <w:rsid w:val="00531AD9"/>
    <w:rsid w:val="00535AC2"/>
    <w:rsid w:val="0053615E"/>
    <w:rsid w:val="00536272"/>
    <w:rsid w:val="00536B27"/>
    <w:rsid w:val="00540548"/>
    <w:rsid w:val="00540D64"/>
    <w:rsid w:val="00541177"/>
    <w:rsid w:val="005422E1"/>
    <w:rsid w:val="005434DC"/>
    <w:rsid w:val="0054410D"/>
    <w:rsid w:val="00544168"/>
    <w:rsid w:val="005452AE"/>
    <w:rsid w:val="0054715D"/>
    <w:rsid w:val="005506FA"/>
    <w:rsid w:val="00550A04"/>
    <w:rsid w:val="005513DA"/>
    <w:rsid w:val="005516FC"/>
    <w:rsid w:val="005519FD"/>
    <w:rsid w:val="0055229B"/>
    <w:rsid w:val="00552DE0"/>
    <w:rsid w:val="005531D9"/>
    <w:rsid w:val="00556478"/>
    <w:rsid w:val="005569D0"/>
    <w:rsid w:val="005603D5"/>
    <w:rsid w:val="00560448"/>
    <w:rsid w:val="005615B3"/>
    <w:rsid w:val="005615DF"/>
    <w:rsid w:val="005621F2"/>
    <w:rsid w:val="00562B4C"/>
    <w:rsid w:val="00565188"/>
    <w:rsid w:val="00565986"/>
    <w:rsid w:val="005667B4"/>
    <w:rsid w:val="00567160"/>
    <w:rsid w:val="005677AA"/>
    <w:rsid w:val="00570174"/>
    <w:rsid w:val="00570828"/>
    <w:rsid w:val="0057155E"/>
    <w:rsid w:val="00573E0C"/>
    <w:rsid w:val="005749BA"/>
    <w:rsid w:val="005755E9"/>
    <w:rsid w:val="0057571F"/>
    <w:rsid w:val="00575EC7"/>
    <w:rsid w:val="00575F07"/>
    <w:rsid w:val="00577762"/>
    <w:rsid w:val="0057796E"/>
    <w:rsid w:val="00580CCC"/>
    <w:rsid w:val="00582EE1"/>
    <w:rsid w:val="00582F50"/>
    <w:rsid w:val="00583763"/>
    <w:rsid w:val="00583857"/>
    <w:rsid w:val="005862DC"/>
    <w:rsid w:val="00587938"/>
    <w:rsid w:val="005906A0"/>
    <w:rsid w:val="00590748"/>
    <w:rsid w:val="0059119E"/>
    <w:rsid w:val="0059253B"/>
    <w:rsid w:val="00592828"/>
    <w:rsid w:val="0059298D"/>
    <w:rsid w:val="00592F4D"/>
    <w:rsid w:val="0059708C"/>
    <w:rsid w:val="005A029F"/>
    <w:rsid w:val="005A088D"/>
    <w:rsid w:val="005A19B4"/>
    <w:rsid w:val="005A3647"/>
    <w:rsid w:val="005A4A04"/>
    <w:rsid w:val="005A4A3A"/>
    <w:rsid w:val="005A5B7D"/>
    <w:rsid w:val="005A6569"/>
    <w:rsid w:val="005A7D20"/>
    <w:rsid w:val="005A7DB5"/>
    <w:rsid w:val="005B02D3"/>
    <w:rsid w:val="005B0CA4"/>
    <w:rsid w:val="005B1095"/>
    <w:rsid w:val="005B2B7E"/>
    <w:rsid w:val="005B2BBC"/>
    <w:rsid w:val="005B2CCB"/>
    <w:rsid w:val="005B4251"/>
    <w:rsid w:val="005B5774"/>
    <w:rsid w:val="005B6994"/>
    <w:rsid w:val="005B7298"/>
    <w:rsid w:val="005C2F3E"/>
    <w:rsid w:val="005C4063"/>
    <w:rsid w:val="005C5163"/>
    <w:rsid w:val="005C6428"/>
    <w:rsid w:val="005C68D8"/>
    <w:rsid w:val="005D12C1"/>
    <w:rsid w:val="005D1654"/>
    <w:rsid w:val="005D263A"/>
    <w:rsid w:val="005D2750"/>
    <w:rsid w:val="005D2E41"/>
    <w:rsid w:val="005D3C08"/>
    <w:rsid w:val="005D40D4"/>
    <w:rsid w:val="005D4799"/>
    <w:rsid w:val="005D503F"/>
    <w:rsid w:val="005D554F"/>
    <w:rsid w:val="005D5623"/>
    <w:rsid w:val="005D66E7"/>
    <w:rsid w:val="005D7F5A"/>
    <w:rsid w:val="005E1C1C"/>
    <w:rsid w:val="005E1DBA"/>
    <w:rsid w:val="005E3577"/>
    <w:rsid w:val="005E3B22"/>
    <w:rsid w:val="005E50E7"/>
    <w:rsid w:val="005E63F3"/>
    <w:rsid w:val="005E6540"/>
    <w:rsid w:val="005E65DA"/>
    <w:rsid w:val="005E70C8"/>
    <w:rsid w:val="005F0017"/>
    <w:rsid w:val="005F146A"/>
    <w:rsid w:val="005F1975"/>
    <w:rsid w:val="005F287B"/>
    <w:rsid w:val="005F3D4D"/>
    <w:rsid w:val="005F4AC3"/>
    <w:rsid w:val="005F738F"/>
    <w:rsid w:val="006019D5"/>
    <w:rsid w:val="00603149"/>
    <w:rsid w:val="006033EE"/>
    <w:rsid w:val="0060363C"/>
    <w:rsid w:val="0060368C"/>
    <w:rsid w:val="0060393B"/>
    <w:rsid w:val="006039F1"/>
    <w:rsid w:val="006052F2"/>
    <w:rsid w:val="00605E65"/>
    <w:rsid w:val="00610B29"/>
    <w:rsid w:val="00610CA5"/>
    <w:rsid w:val="0061141C"/>
    <w:rsid w:val="0061158F"/>
    <w:rsid w:val="00613C91"/>
    <w:rsid w:val="00613C9B"/>
    <w:rsid w:val="006145F7"/>
    <w:rsid w:val="00614C82"/>
    <w:rsid w:val="0061756A"/>
    <w:rsid w:val="00617AF9"/>
    <w:rsid w:val="00620CAE"/>
    <w:rsid w:val="006216E9"/>
    <w:rsid w:val="00622DBC"/>
    <w:rsid w:val="006230BB"/>
    <w:rsid w:val="006241F5"/>
    <w:rsid w:val="00624704"/>
    <w:rsid w:val="006267A9"/>
    <w:rsid w:val="00627155"/>
    <w:rsid w:val="00627C9F"/>
    <w:rsid w:val="00627D87"/>
    <w:rsid w:val="00630DBC"/>
    <w:rsid w:val="00631226"/>
    <w:rsid w:val="00631AFD"/>
    <w:rsid w:val="006334E3"/>
    <w:rsid w:val="0063415B"/>
    <w:rsid w:val="006349C7"/>
    <w:rsid w:val="0063693C"/>
    <w:rsid w:val="0064235E"/>
    <w:rsid w:val="00643B84"/>
    <w:rsid w:val="006456B7"/>
    <w:rsid w:val="00647A5C"/>
    <w:rsid w:val="0065020E"/>
    <w:rsid w:val="0065079D"/>
    <w:rsid w:val="00650953"/>
    <w:rsid w:val="00653091"/>
    <w:rsid w:val="0065360F"/>
    <w:rsid w:val="00654124"/>
    <w:rsid w:val="00654F72"/>
    <w:rsid w:val="006559F7"/>
    <w:rsid w:val="006568FB"/>
    <w:rsid w:val="00656F27"/>
    <w:rsid w:val="00657894"/>
    <w:rsid w:val="00660351"/>
    <w:rsid w:val="0066312A"/>
    <w:rsid w:val="00663952"/>
    <w:rsid w:val="0066478C"/>
    <w:rsid w:val="006650B1"/>
    <w:rsid w:val="00665EE5"/>
    <w:rsid w:val="006664C6"/>
    <w:rsid w:val="00666CA2"/>
    <w:rsid w:val="00666D95"/>
    <w:rsid w:val="00667122"/>
    <w:rsid w:val="00667222"/>
    <w:rsid w:val="00667B6F"/>
    <w:rsid w:val="00667C53"/>
    <w:rsid w:val="00670D27"/>
    <w:rsid w:val="0067135F"/>
    <w:rsid w:val="006717CB"/>
    <w:rsid w:val="00672014"/>
    <w:rsid w:val="00672C65"/>
    <w:rsid w:val="00674FB0"/>
    <w:rsid w:val="00676753"/>
    <w:rsid w:val="006778CE"/>
    <w:rsid w:val="00680732"/>
    <w:rsid w:val="00680E89"/>
    <w:rsid w:val="00681806"/>
    <w:rsid w:val="00683841"/>
    <w:rsid w:val="0068550A"/>
    <w:rsid w:val="00686A00"/>
    <w:rsid w:val="0069077C"/>
    <w:rsid w:val="00692DA5"/>
    <w:rsid w:val="00694C29"/>
    <w:rsid w:val="0069505A"/>
    <w:rsid w:val="006954FE"/>
    <w:rsid w:val="006979C5"/>
    <w:rsid w:val="00697F60"/>
    <w:rsid w:val="006A3E85"/>
    <w:rsid w:val="006A6A7A"/>
    <w:rsid w:val="006A7540"/>
    <w:rsid w:val="006A78C3"/>
    <w:rsid w:val="006A7C39"/>
    <w:rsid w:val="006B0379"/>
    <w:rsid w:val="006B0389"/>
    <w:rsid w:val="006B0BE8"/>
    <w:rsid w:val="006B26AC"/>
    <w:rsid w:val="006B3EE6"/>
    <w:rsid w:val="006B40EC"/>
    <w:rsid w:val="006B4F68"/>
    <w:rsid w:val="006B74CE"/>
    <w:rsid w:val="006B7912"/>
    <w:rsid w:val="006C144E"/>
    <w:rsid w:val="006C2139"/>
    <w:rsid w:val="006C3859"/>
    <w:rsid w:val="006C4FF2"/>
    <w:rsid w:val="006C6BFF"/>
    <w:rsid w:val="006D0562"/>
    <w:rsid w:val="006D1542"/>
    <w:rsid w:val="006D18E9"/>
    <w:rsid w:val="006D5234"/>
    <w:rsid w:val="006D563E"/>
    <w:rsid w:val="006D5C86"/>
    <w:rsid w:val="006D6BA7"/>
    <w:rsid w:val="006D6F0B"/>
    <w:rsid w:val="006D7812"/>
    <w:rsid w:val="006E008D"/>
    <w:rsid w:val="006E17CB"/>
    <w:rsid w:val="006E317B"/>
    <w:rsid w:val="006E395C"/>
    <w:rsid w:val="006E41E0"/>
    <w:rsid w:val="006E46D3"/>
    <w:rsid w:val="006E4DE1"/>
    <w:rsid w:val="006E4FC5"/>
    <w:rsid w:val="006E6885"/>
    <w:rsid w:val="006E6ABE"/>
    <w:rsid w:val="006E6FCB"/>
    <w:rsid w:val="006E718B"/>
    <w:rsid w:val="006E765E"/>
    <w:rsid w:val="006F215B"/>
    <w:rsid w:val="006F21BD"/>
    <w:rsid w:val="006F43A5"/>
    <w:rsid w:val="006F6016"/>
    <w:rsid w:val="006F6780"/>
    <w:rsid w:val="00700CDD"/>
    <w:rsid w:val="00701852"/>
    <w:rsid w:val="007025B9"/>
    <w:rsid w:val="007026A6"/>
    <w:rsid w:val="00702802"/>
    <w:rsid w:val="007038C2"/>
    <w:rsid w:val="00703CC5"/>
    <w:rsid w:val="00704C23"/>
    <w:rsid w:val="00705AEB"/>
    <w:rsid w:val="007066AF"/>
    <w:rsid w:val="00706BCC"/>
    <w:rsid w:val="00706E2B"/>
    <w:rsid w:val="00706FB0"/>
    <w:rsid w:val="00707A58"/>
    <w:rsid w:val="00707AC3"/>
    <w:rsid w:val="00710538"/>
    <w:rsid w:val="007128F9"/>
    <w:rsid w:val="00712E4F"/>
    <w:rsid w:val="00712FE3"/>
    <w:rsid w:val="00714D39"/>
    <w:rsid w:val="007156B4"/>
    <w:rsid w:val="0071579E"/>
    <w:rsid w:val="007164CF"/>
    <w:rsid w:val="00717F78"/>
    <w:rsid w:val="00720A29"/>
    <w:rsid w:val="007210BE"/>
    <w:rsid w:val="00723193"/>
    <w:rsid w:val="007255CB"/>
    <w:rsid w:val="007266FF"/>
    <w:rsid w:val="007269D6"/>
    <w:rsid w:val="00727AA2"/>
    <w:rsid w:val="007300FD"/>
    <w:rsid w:val="00732D0A"/>
    <w:rsid w:val="00733016"/>
    <w:rsid w:val="007346E1"/>
    <w:rsid w:val="00734F7B"/>
    <w:rsid w:val="00734F7D"/>
    <w:rsid w:val="007411F6"/>
    <w:rsid w:val="0074193F"/>
    <w:rsid w:val="00741BC9"/>
    <w:rsid w:val="00742542"/>
    <w:rsid w:val="007432BA"/>
    <w:rsid w:val="0074384B"/>
    <w:rsid w:val="00743B79"/>
    <w:rsid w:val="00744993"/>
    <w:rsid w:val="00744CAD"/>
    <w:rsid w:val="00746B23"/>
    <w:rsid w:val="00746E4F"/>
    <w:rsid w:val="00750C31"/>
    <w:rsid w:val="00753526"/>
    <w:rsid w:val="0075359B"/>
    <w:rsid w:val="0075363E"/>
    <w:rsid w:val="007550AD"/>
    <w:rsid w:val="007555F8"/>
    <w:rsid w:val="00756A93"/>
    <w:rsid w:val="0075714D"/>
    <w:rsid w:val="00760C7E"/>
    <w:rsid w:val="00762FA8"/>
    <w:rsid w:val="00763B09"/>
    <w:rsid w:val="00764994"/>
    <w:rsid w:val="00765977"/>
    <w:rsid w:val="0076687E"/>
    <w:rsid w:val="00767862"/>
    <w:rsid w:val="00770536"/>
    <w:rsid w:val="0077082E"/>
    <w:rsid w:val="007718D4"/>
    <w:rsid w:val="00771FAB"/>
    <w:rsid w:val="00772746"/>
    <w:rsid w:val="00776368"/>
    <w:rsid w:val="00777A93"/>
    <w:rsid w:val="00777BCD"/>
    <w:rsid w:val="0078002D"/>
    <w:rsid w:val="00782A13"/>
    <w:rsid w:val="00782E07"/>
    <w:rsid w:val="007834FE"/>
    <w:rsid w:val="007836AE"/>
    <w:rsid w:val="0078530F"/>
    <w:rsid w:val="0078531A"/>
    <w:rsid w:val="00785D72"/>
    <w:rsid w:val="00787864"/>
    <w:rsid w:val="0079112E"/>
    <w:rsid w:val="00791445"/>
    <w:rsid w:val="007921DB"/>
    <w:rsid w:val="007927F4"/>
    <w:rsid w:val="00794457"/>
    <w:rsid w:val="00794B23"/>
    <w:rsid w:val="00797952"/>
    <w:rsid w:val="007A0597"/>
    <w:rsid w:val="007A07D2"/>
    <w:rsid w:val="007A3DB8"/>
    <w:rsid w:val="007A4C26"/>
    <w:rsid w:val="007A5148"/>
    <w:rsid w:val="007B042A"/>
    <w:rsid w:val="007B1574"/>
    <w:rsid w:val="007B27B7"/>
    <w:rsid w:val="007B3D55"/>
    <w:rsid w:val="007B447D"/>
    <w:rsid w:val="007B4F25"/>
    <w:rsid w:val="007B5906"/>
    <w:rsid w:val="007B5F8F"/>
    <w:rsid w:val="007B687C"/>
    <w:rsid w:val="007B6946"/>
    <w:rsid w:val="007B70E2"/>
    <w:rsid w:val="007B73A3"/>
    <w:rsid w:val="007B7A04"/>
    <w:rsid w:val="007C0F82"/>
    <w:rsid w:val="007C169C"/>
    <w:rsid w:val="007C1B69"/>
    <w:rsid w:val="007C3E3C"/>
    <w:rsid w:val="007C6872"/>
    <w:rsid w:val="007C7582"/>
    <w:rsid w:val="007D268A"/>
    <w:rsid w:val="007D39AC"/>
    <w:rsid w:val="007D4742"/>
    <w:rsid w:val="007D5C4F"/>
    <w:rsid w:val="007D645B"/>
    <w:rsid w:val="007D68DC"/>
    <w:rsid w:val="007E11C3"/>
    <w:rsid w:val="007E2B59"/>
    <w:rsid w:val="007E2FC9"/>
    <w:rsid w:val="007E35A2"/>
    <w:rsid w:val="007E39EB"/>
    <w:rsid w:val="007E5E10"/>
    <w:rsid w:val="007E6160"/>
    <w:rsid w:val="007E7584"/>
    <w:rsid w:val="007E7AB9"/>
    <w:rsid w:val="007F0AE5"/>
    <w:rsid w:val="007F20FF"/>
    <w:rsid w:val="007F342C"/>
    <w:rsid w:val="007F3E01"/>
    <w:rsid w:val="007F3E05"/>
    <w:rsid w:val="007F4BAD"/>
    <w:rsid w:val="007F567D"/>
    <w:rsid w:val="007F59C1"/>
    <w:rsid w:val="007F6769"/>
    <w:rsid w:val="007F6E8C"/>
    <w:rsid w:val="0080048C"/>
    <w:rsid w:val="0080058B"/>
    <w:rsid w:val="00801C26"/>
    <w:rsid w:val="0080230B"/>
    <w:rsid w:val="00803310"/>
    <w:rsid w:val="0080519E"/>
    <w:rsid w:val="0080541C"/>
    <w:rsid w:val="0080598A"/>
    <w:rsid w:val="008063EA"/>
    <w:rsid w:val="00807EDF"/>
    <w:rsid w:val="008106B4"/>
    <w:rsid w:val="008116DB"/>
    <w:rsid w:val="008127EA"/>
    <w:rsid w:val="008131F9"/>
    <w:rsid w:val="0081547A"/>
    <w:rsid w:val="00816581"/>
    <w:rsid w:val="00820142"/>
    <w:rsid w:val="00823655"/>
    <w:rsid w:val="008243E4"/>
    <w:rsid w:val="008255AD"/>
    <w:rsid w:val="00825BF0"/>
    <w:rsid w:val="00827F1F"/>
    <w:rsid w:val="00832742"/>
    <w:rsid w:val="0083474A"/>
    <w:rsid w:val="00834DAC"/>
    <w:rsid w:val="00835A05"/>
    <w:rsid w:val="008421D6"/>
    <w:rsid w:val="00842357"/>
    <w:rsid w:val="00843707"/>
    <w:rsid w:val="00850F1B"/>
    <w:rsid w:val="0085229C"/>
    <w:rsid w:val="008532B7"/>
    <w:rsid w:val="008540AE"/>
    <w:rsid w:val="00854B8F"/>
    <w:rsid w:val="008578AD"/>
    <w:rsid w:val="00860419"/>
    <w:rsid w:val="008607C9"/>
    <w:rsid w:val="00862BD9"/>
    <w:rsid w:val="00862E0E"/>
    <w:rsid w:val="00864280"/>
    <w:rsid w:val="00865C3A"/>
    <w:rsid w:val="00866203"/>
    <w:rsid w:val="00866486"/>
    <w:rsid w:val="00867B8A"/>
    <w:rsid w:val="00867E57"/>
    <w:rsid w:val="0087465F"/>
    <w:rsid w:val="00876256"/>
    <w:rsid w:val="00876C73"/>
    <w:rsid w:val="008807BF"/>
    <w:rsid w:val="008807DD"/>
    <w:rsid w:val="00881B99"/>
    <w:rsid w:val="0088201D"/>
    <w:rsid w:val="00882A1D"/>
    <w:rsid w:val="008834D1"/>
    <w:rsid w:val="00886D24"/>
    <w:rsid w:val="008903F1"/>
    <w:rsid w:val="008914D8"/>
    <w:rsid w:val="00893165"/>
    <w:rsid w:val="00893212"/>
    <w:rsid w:val="008935D8"/>
    <w:rsid w:val="00893A19"/>
    <w:rsid w:val="0089503B"/>
    <w:rsid w:val="008950E6"/>
    <w:rsid w:val="008957DD"/>
    <w:rsid w:val="0089618F"/>
    <w:rsid w:val="00896E7F"/>
    <w:rsid w:val="008977E4"/>
    <w:rsid w:val="008978B8"/>
    <w:rsid w:val="008A07DD"/>
    <w:rsid w:val="008A0BF6"/>
    <w:rsid w:val="008A0DFB"/>
    <w:rsid w:val="008A0F7E"/>
    <w:rsid w:val="008A2F13"/>
    <w:rsid w:val="008A5E08"/>
    <w:rsid w:val="008A60FB"/>
    <w:rsid w:val="008A6713"/>
    <w:rsid w:val="008A6BF1"/>
    <w:rsid w:val="008A6D01"/>
    <w:rsid w:val="008A708C"/>
    <w:rsid w:val="008A7633"/>
    <w:rsid w:val="008B1BD6"/>
    <w:rsid w:val="008B212C"/>
    <w:rsid w:val="008B3C55"/>
    <w:rsid w:val="008B3F45"/>
    <w:rsid w:val="008B58DD"/>
    <w:rsid w:val="008B62B2"/>
    <w:rsid w:val="008B75B9"/>
    <w:rsid w:val="008C0174"/>
    <w:rsid w:val="008C126F"/>
    <w:rsid w:val="008C21B9"/>
    <w:rsid w:val="008C2706"/>
    <w:rsid w:val="008C2975"/>
    <w:rsid w:val="008C30D9"/>
    <w:rsid w:val="008C31C8"/>
    <w:rsid w:val="008C34DB"/>
    <w:rsid w:val="008C3DAC"/>
    <w:rsid w:val="008C5919"/>
    <w:rsid w:val="008D0B85"/>
    <w:rsid w:val="008D1F8B"/>
    <w:rsid w:val="008D21C7"/>
    <w:rsid w:val="008D3FD4"/>
    <w:rsid w:val="008D49C2"/>
    <w:rsid w:val="008D5D48"/>
    <w:rsid w:val="008D6B10"/>
    <w:rsid w:val="008D7742"/>
    <w:rsid w:val="008E0136"/>
    <w:rsid w:val="008E0BC9"/>
    <w:rsid w:val="008E1AC4"/>
    <w:rsid w:val="008E20FA"/>
    <w:rsid w:val="008E3EAA"/>
    <w:rsid w:val="008E4458"/>
    <w:rsid w:val="008E47D1"/>
    <w:rsid w:val="008E517C"/>
    <w:rsid w:val="008E5A3A"/>
    <w:rsid w:val="008E6ED9"/>
    <w:rsid w:val="008F11D6"/>
    <w:rsid w:val="008F337F"/>
    <w:rsid w:val="008F376B"/>
    <w:rsid w:val="008F4793"/>
    <w:rsid w:val="008F4CC6"/>
    <w:rsid w:val="008F59CC"/>
    <w:rsid w:val="008F68B1"/>
    <w:rsid w:val="008F6C8D"/>
    <w:rsid w:val="008F7D1B"/>
    <w:rsid w:val="008F7D90"/>
    <w:rsid w:val="00900778"/>
    <w:rsid w:val="00901AE6"/>
    <w:rsid w:val="00903CD2"/>
    <w:rsid w:val="00904F64"/>
    <w:rsid w:val="00905239"/>
    <w:rsid w:val="009055E5"/>
    <w:rsid w:val="009056D3"/>
    <w:rsid w:val="00905AA6"/>
    <w:rsid w:val="0090778D"/>
    <w:rsid w:val="0090781B"/>
    <w:rsid w:val="009101EB"/>
    <w:rsid w:val="00913C7C"/>
    <w:rsid w:val="009171EF"/>
    <w:rsid w:val="00921080"/>
    <w:rsid w:val="0092194B"/>
    <w:rsid w:val="00921DB4"/>
    <w:rsid w:val="00922F46"/>
    <w:rsid w:val="00924EC8"/>
    <w:rsid w:val="009256B9"/>
    <w:rsid w:val="00925B17"/>
    <w:rsid w:val="00926641"/>
    <w:rsid w:val="009273D1"/>
    <w:rsid w:val="009312CC"/>
    <w:rsid w:val="0093151B"/>
    <w:rsid w:val="00932676"/>
    <w:rsid w:val="00932C92"/>
    <w:rsid w:val="00933C62"/>
    <w:rsid w:val="0093650F"/>
    <w:rsid w:val="009375D8"/>
    <w:rsid w:val="00937978"/>
    <w:rsid w:val="00937B7B"/>
    <w:rsid w:val="00940921"/>
    <w:rsid w:val="00944A91"/>
    <w:rsid w:val="009455D7"/>
    <w:rsid w:val="00951ACE"/>
    <w:rsid w:val="00953C81"/>
    <w:rsid w:val="00954115"/>
    <w:rsid w:val="009565AB"/>
    <w:rsid w:val="00957213"/>
    <w:rsid w:val="00957447"/>
    <w:rsid w:val="00957E0C"/>
    <w:rsid w:val="00960498"/>
    <w:rsid w:val="009612EA"/>
    <w:rsid w:val="00961FEC"/>
    <w:rsid w:val="00961FF7"/>
    <w:rsid w:val="009627AE"/>
    <w:rsid w:val="00964134"/>
    <w:rsid w:val="00964687"/>
    <w:rsid w:val="00964DF5"/>
    <w:rsid w:val="0096606C"/>
    <w:rsid w:val="009703B5"/>
    <w:rsid w:val="00971F8B"/>
    <w:rsid w:val="009722EB"/>
    <w:rsid w:val="009738CC"/>
    <w:rsid w:val="00973CAD"/>
    <w:rsid w:val="009750CE"/>
    <w:rsid w:val="0097571B"/>
    <w:rsid w:val="00976EBA"/>
    <w:rsid w:val="009772B8"/>
    <w:rsid w:val="00980218"/>
    <w:rsid w:val="00983437"/>
    <w:rsid w:val="009837B2"/>
    <w:rsid w:val="009843F5"/>
    <w:rsid w:val="0098476E"/>
    <w:rsid w:val="009847DF"/>
    <w:rsid w:val="0098651F"/>
    <w:rsid w:val="00986C7B"/>
    <w:rsid w:val="009874CF"/>
    <w:rsid w:val="00987E98"/>
    <w:rsid w:val="009912E7"/>
    <w:rsid w:val="009918C3"/>
    <w:rsid w:val="009939BB"/>
    <w:rsid w:val="00993FB1"/>
    <w:rsid w:val="0099497C"/>
    <w:rsid w:val="00995742"/>
    <w:rsid w:val="00996423"/>
    <w:rsid w:val="009A01A8"/>
    <w:rsid w:val="009A0233"/>
    <w:rsid w:val="009A0B89"/>
    <w:rsid w:val="009A1106"/>
    <w:rsid w:val="009A13C7"/>
    <w:rsid w:val="009A2B3B"/>
    <w:rsid w:val="009A2C77"/>
    <w:rsid w:val="009A3856"/>
    <w:rsid w:val="009A5A2B"/>
    <w:rsid w:val="009A5E78"/>
    <w:rsid w:val="009A601F"/>
    <w:rsid w:val="009A637A"/>
    <w:rsid w:val="009A7470"/>
    <w:rsid w:val="009B0131"/>
    <w:rsid w:val="009B08F9"/>
    <w:rsid w:val="009B0D08"/>
    <w:rsid w:val="009B48DC"/>
    <w:rsid w:val="009B52B9"/>
    <w:rsid w:val="009B5D07"/>
    <w:rsid w:val="009B64D9"/>
    <w:rsid w:val="009B68AA"/>
    <w:rsid w:val="009B6B5F"/>
    <w:rsid w:val="009B793D"/>
    <w:rsid w:val="009C0671"/>
    <w:rsid w:val="009C06A1"/>
    <w:rsid w:val="009C06A5"/>
    <w:rsid w:val="009C249A"/>
    <w:rsid w:val="009C3162"/>
    <w:rsid w:val="009C31EE"/>
    <w:rsid w:val="009C5223"/>
    <w:rsid w:val="009C5805"/>
    <w:rsid w:val="009C5B2E"/>
    <w:rsid w:val="009C7D66"/>
    <w:rsid w:val="009D0792"/>
    <w:rsid w:val="009D0FE1"/>
    <w:rsid w:val="009D18B2"/>
    <w:rsid w:val="009D22C6"/>
    <w:rsid w:val="009D2758"/>
    <w:rsid w:val="009D330B"/>
    <w:rsid w:val="009D3DB6"/>
    <w:rsid w:val="009D61DE"/>
    <w:rsid w:val="009D6683"/>
    <w:rsid w:val="009D6BC4"/>
    <w:rsid w:val="009E0263"/>
    <w:rsid w:val="009E0592"/>
    <w:rsid w:val="009E0FC9"/>
    <w:rsid w:val="009E28BB"/>
    <w:rsid w:val="009E2983"/>
    <w:rsid w:val="009E6507"/>
    <w:rsid w:val="009E77D5"/>
    <w:rsid w:val="009F11F9"/>
    <w:rsid w:val="009F2B97"/>
    <w:rsid w:val="009F3803"/>
    <w:rsid w:val="009F3D5F"/>
    <w:rsid w:val="009F4790"/>
    <w:rsid w:val="009F58B2"/>
    <w:rsid w:val="009F6929"/>
    <w:rsid w:val="00A00C4B"/>
    <w:rsid w:val="00A00FAB"/>
    <w:rsid w:val="00A06921"/>
    <w:rsid w:val="00A06A0A"/>
    <w:rsid w:val="00A11630"/>
    <w:rsid w:val="00A14316"/>
    <w:rsid w:val="00A15D82"/>
    <w:rsid w:val="00A16968"/>
    <w:rsid w:val="00A21784"/>
    <w:rsid w:val="00A2224A"/>
    <w:rsid w:val="00A241AD"/>
    <w:rsid w:val="00A248D5"/>
    <w:rsid w:val="00A267EB"/>
    <w:rsid w:val="00A277A5"/>
    <w:rsid w:val="00A3138E"/>
    <w:rsid w:val="00A3225C"/>
    <w:rsid w:val="00A33095"/>
    <w:rsid w:val="00A33413"/>
    <w:rsid w:val="00A361FB"/>
    <w:rsid w:val="00A36488"/>
    <w:rsid w:val="00A4076F"/>
    <w:rsid w:val="00A41EF8"/>
    <w:rsid w:val="00A42175"/>
    <w:rsid w:val="00A438BB"/>
    <w:rsid w:val="00A453F2"/>
    <w:rsid w:val="00A50BAD"/>
    <w:rsid w:val="00A512BF"/>
    <w:rsid w:val="00A52733"/>
    <w:rsid w:val="00A5292C"/>
    <w:rsid w:val="00A53BE2"/>
    <w:rsid w:val="00A5488C"/>
    <w:rsid w:val="00A548B9"/>
    <w:rsid w:val="00A5517C"/>
    <w:rsid w:val="00A5570D"/>
    <w:rsid w:val="00A55C9A"/>
    <w:rsid w:val="00A60CBA"/>
    <w:rsid w:val="00A6174D"/>
    <w:rsid w:val="00A630E0"/>
    <w:rsid w:val="00A651AC"/>
    <w:rsid w:val="00A652A4"/>
    <w:rsid w:val="00A652C1"/>
    <w:rsid w:val="00A65592"/>
    <w:rsid w:val="00A65E85"/>
    <w:rsid w:val="00A66A63"/>
    <w:rsid w:val="00A675BF"/>
    <w:rsid w:val="00A70A6B"/>
    <w:rsid w:val="00A70C42"/>
    <w:rsid w:val="00A71AD9"/>
    <w:rsid w:val="00A72532"/>
    <w:rsid w:val="00A72913"/>
    <w:rsid w:val="00A73A97"/>
    <w:rsid w:val="00A745CE"/>
    <w:rsid w:val="00A757BD"/>
    <w:rsid w:val="00A7613C"/>
    <w:rsid w:val="00A7713F"/>
    <w:rsid w:val="00A818DC"/>
    <w:rsid w:val="00A81D22"/>
    <w:rsid w:val="00A8222E"/>
    <w:rsid w:val="00A846B3"/>
    <w:rsid w:val="00A84B8C"/>
    <w:rsid w:val="00A84C3A"/>
    <w:rsid w:val="00A86DC6"/>
    <w:rsid w:val="00A908E1"/>
    <w:rsid w:val="00A912F3"/>
    <w:rsid w:val="00A9160A"/>
    <w:rsid w:val="00A9281E"/>
    <w:rsid w:val="00A95F39"/>
    <w:rsid w:val="00A965DF"/>
    <w:rsid w:val="00A97715"/>
    <w:rsid w:val="00AA0EB6"/>
    <w:rsid w:val="00AA1292"/>
    <w:rsid w:val="00AA1608"/>
    <w:rsid w:val="00AA1A91"/>
    <w:rsid w:val="00AA1B62"/>
    <w:rsid w:val="00AA1BC1"/>
    <w:rsid w:val="00AA279F"/>
    <w:rsid w:val="00AA3D4F"/>
    <w:rsid w:val="00AA4D46"/>
    <w:rsid w:val="00AA59BB"/>
    <w:rsid w:val="00AA7171"/>
    <w:rsid w:val="00AA7444"/>
    <w:rsid w:val="00AA755D"/>
    <w:rsid w:val="00AB0E71"/>
    <w:rsid w:val="00AB1067"/>
    <w:rsid w:val="00AB203C"/>
    <w:rsid w:val="00AB24D1"/>
    <w:rsid w:val="00AB3C02"/>
    <w:rsid w:val="00AB4D97"/>
    <w:rsid w:val="00AB5495"/>
    <w:rsid w:val="00AB5B87"/>
    <w:rsid w:val="00AB7187"/>
    <w:rsid w:val="00AB72C0"/>
    <w:rsid w:val="00AB7769"/>
    <w:rsid w:val="00AC07F5"/>
    <w:rsid w:val="00AC12B2"/>
    <w:rsid w:val="00AC2745"/>
    <w:rsid w:val="00AC34B8"/>
    <w:rsid w:val="00AC35B6"/>
    <w:rsid w:val="00AC3764"/>
    <w:rsid w:val="00AC4A16"/>
    <w:rsid w:val="00AC57EF"/>
    <w:rsid w:val="00AC58BA"/>
    <w:rsid w:val="00AC7D12"/>
    <w:rsid w:val="00AD19B9"/>
    <w:rsid w:val="00AD2965"/>
    <w:rsid w:val="00AD405E"/>
    <w:rsid w:val="00AD43C5"/>
    <w:rsid w:val="00AD4B4B"/>
    <w:rsid w:val="00AD52F6"/>
    <w:rsid w:val="00AD6EEC"/>
    <w:rsid w:val="00AD76D7"/>
    <w:rsid w:val="00AE0779"/>
    <w:rsid w:val="00AE110C"/>
    <w:rsid w:val="00AE111F"/>
    <w:rsid w:val="00AE155E"/>
    <w:rsid w:val="00AE3A92"/>
    <w:rsid w:val="00AE3AF5"/>
    <w:rsid w:val="00AE58B5"/>
    <w:rsid w:val="00AE5950"/>
    <w:rsid w:val="00AE5BCF"/>
    <w:rsid w:val="00AE6281"/>
    <w:rsid w:val="00AE63DE"/>
    <w:rsid w:val="00AE6AA9"/>
    <w:rsid w:val="00AE7D40"/>
    <w:rsid w:val="00AF0514"/>
    <w:rsid w:val="00AF37A1"/>
    <w:rsid w:val="00AF3AAB"/>
    <w:rsid w:val="00AF53F8"/>
    <w:rsid w:val="00AF7628"/>
    <w:rsid w:val="00B00E3E"/>
    <w:rsid w:val="00B00F0C"/>
    <w:rsid w:val="00B0264D"/>
    <w:rsid w:val="00B02F0E"/>
    <w:rsid w:val="00B03655"/>
    <w:rsid w:val="00B04445"/>
    <w:rsid w:val="00B05C20"/>
    <w:rsid w:val="00B0722E"/>
    <w:rsid w:val="00B12222"/>
    <w:rsid w:val="00B123D1"/>
    <w:rsid w:val="00B124ED"/>
    <w:rsid w:val="00B130A5"/>
    <w:rsid w:val="00B152FF"/>
    <w:rsid w:val="00B1563E"/>
    <w:rsid w:val="00B16BB7"/>
    <w:rsid w:val="00B20025"/>
    <w:rsid w:val="00B23DDF"/>
    <w:rsid w:val="00B263D7"/>
    <w:rsid w:val="00B26761"/>
    <w:rsid w:val="00B268AC"/>
    <w:rsid w:val="00B30BF0"/>
    <w:rsid w:val="00B3189C"/>
    <w:rsid w:val="00B3714B"/>
    <w:rsid w:val="00B4046E"/>
    <w:rsid w:val="00B40AEF"/>
    <w:rsid w:val="00B42502"/>
    <w:rsid w:val="00B43F66"/>
    <w:rsid w:val="00B46E34"/>
    <w:rsid w:val="00B501B4"/>
    <w:rsid w:val="00B508CF"/>
    <w:rsid w:val="00B50B66"/>
    <w:rsid w:val="00B50FC3"/>
    <w:rsid w:val="00B51081"/>
    <w:rsid w:val="00B56338"/>
    <w:rsid w:val="00B5653F"/>
    <w:rsid w:val="00B565DF"/>
    <w:rsid w:val="00B5757D"/>
    <w:rsid w:val="00B6096F"/>
    <w:rsid w:val="00B60CA6"/>
    <w:rsid w:val="00B61A40"/>
    <w:rsid w:val="00B63707"/>
    <w:rsid w:val="00B64D0E"/>
    <w:rsid w:val="00B66F84"/>
    <w:rsid w:val="00B7006E"/>
    <w:rsid w:val="00B70462"/>
    <w:rsid w:val="00B70500"/>
    <w:rsid w:val="00B70CCB"/>
    <w:rsid w:val="00B71820"/>
    <w:rsid w:val="00B71B60"/>
    <w:rsid w:val="00B733BD"/>
    <w:rsid w:val="00B73CA5"/>
    <w:rsid w:val="00B77901"/>
    <w:rsid w:val="00B77C5C"/>
    <w:rsid w:val="00B81472"/>
    <w:rsid w:val="00B816BC"/>
    <w:rsid w:val="00B81E21"/>
    <w:rsid w:val="00B81E3F"/>
    <w:rsid w:val="00B84A30"/>
    <w:rsid w:val="00B866CC"/>
    <w:rsid w:val="00B86713"/>
    <w:rsid w:val="00B87525"/>
    <w:rsid w:val="00B909D6"/>
    <w:rsid w:val="00B916F1"/>
    <w:rsid w:val="00B91BE2"/>
    <w:rsid w:val="00B93429"/>
    <w:rsid w:val="00B942BF"/>
    <w:rsid w:val="00B946EB"/>
    <w:rsid w:val="00B9754D"/>
    <w:rsid w:val="00B97841"/>
    <w:rsid w:val="00BA0672"/>
    <w:rsid w:val="00BA5FD0"/>
    <w:rsid w:val="00BA6947"/>
    <w:rsid w:val="00BB1C02"/>
    <w:rsid w:val="00BB3037"/>
    <w:rsid w:val="00BB315E"/>
    <w:rsid w:val="00BB3D2D"/>
    <w:rsid w:val="00BB68C8"/>
    <w:rsid w:val="00BB6B88"/>
    <w:rsid w:val="00BC022F"/>
    <w:rsid w:val="00BC0F18"/>
    <w:rsid w:val="00BC1454"/>
    <w:rsid w:val="00BC3107"/>
    <w:rsid w:val="00BC4707"/>
    <w:rsid w:val="00BC57C8"/>
    <w:rsid w:val="00BC7685"/>
    <w:rsid w:val="00BD060B"/>
    <w:rsid w:val="00BD290D"/>
    <w:rsid w:val="00BD2A84"/>
    <w:rsid w:val="00BD2EA4"/>
    <w:rsid w:val="00BD30A7"/>
    <w:rsid w:val="00BD337B"/>
    <w:rsid w:val="00BD5919"/>
    <w:rsid w:val="00BD787F"/>
    <w:rsid w:val="00BE2E80"/>
    <w:rsid w:val="00BE376D"/>
    <w:rsid w:val="00BE388C"/>
    <w:rsid w:val="00BE3D8A"/>
    <w:rsid w:val="00BE47FE"/>
    <w:rsid w:val="00BE764B"/>
    <w:rsid w:val="00BF02A1"/>
    <w:rsid w:val="00BF0938"/>
    <w:rsid w:val="00BF1100"/>
    <w:rsid w:val="00BF2748"/>
    <w:rsid w:val="00BF29FF"/>
    <w:rsid w:val="00BF2F39"/>
    <w:rsid w:val="00BF54ED"/>
    <w:rsid w:val="00BF670D"/>
    <w:rsid w:val="00BF74DB"/>
    <w:rsid w:val="00C0110C"/>
    <w:rsid w:val="00C01A83"/>
    <w:rsid w:val="00C024AD"/>
    <w:rsid w:val="00C02CFA"/>
    <w:rsid w:val="00C05063"/>
    <w:rsid w:val="00C053AA"/>
    <w:rsid w:val="00C0620F"/>
    <w:rsid w:val="00C0652B"/>
    <w:rsid w:val="00C07539"/>
    <w:rsid w:val="00C1128B"/>
    <w:rsid w:val="00C112A4"/>
    <w:rsid w:val="00C12B3B"/>
    <w:rsid w:val="00C12BCD"/>
    <w:rsid w:val="00C15605"/>
    <w:rsid w:val="00C15835"/>
    <w:rsid w:val="00C15D05"/>
    <w:rsid w:val="00C167D2"/>
    <w:rsid w:val="00C16D8E"/>
    <w:rsid w:val="00C16E74"/>
    <w:rsid w:val="00C203DE"/>
    <w:rsid w:val="00C2094D"/>
    <w:rsid w:val="00C2283D"/>
    <w:rsid w:val="00C22A2A"/>
    <w:rsid w:val="00C23E48"/>
    <w:rsid w:val="00C26490"/>
    <w:rsid w:val="00C26A9B"/>
    <w:rsid w:val="00C27280"/>
    <w:rsid w:val="00C27BF6"/>
    <w:rsid w:val="00C30F0B"/>
    <w:rsid w:val="00C3404B"/>
    <w:rsid w:val="00C34611"/>
    <w:rsid w:val="00C356AE"/>
    <w:rsid w:val="00C36090"/>
    <w:rsid w:val="00C368A9"/>
    <w:rsid w:val="00C37D8F"/>
    <w:rsid w:val="00C41579"/>
    <w:rsid w:val="00C42064"/>
    <w:rsid w:val="00C45363"/>
    <w:rsid w:val="00C46E5E"/>
    <w:rsid w:val="00C473A2"/>
    <w:rsid w:val="00C475A2"/>
    <w:rsid w:val="00C5204B"/>
    <w:rsid w:val="00C53FB3"/>
    <w:rsid w:val="00C56D0E"/>
    <w:rsid w:val="00C577C8"/>
    <w:rsid w:val="00C6025A"/>
    <w:rsid w:val="00C610BB"/>
    <w:rsid w:val="00C62531"/>
    <w:rsid w:val="00C62BBA"/>
    <w:rsid w:val="00C63427"/>
    <w:rsid w:val="00C642AD"/>
    <w:rsid w:val="00C64667"/>
    <w:rsid w:val="00C649F8"/>
    <w:rsid w:val="00C679E4"/>
    <w:rsid w:val="00C7020E"/>
    <w:rsid w:val="00C70B67"/>
    <w:rsid w:val="00C71381"/>
    <w:rsid w:val="00C71525"/>
    <w:rsid w:val="00C73108"/>
    <w:rsid w:val="00C7631D"/>
    <w:rsid w:val="00C827D2"/>
    <w:rsid w:val="00C83A99"/>
    <w:rsid w:val="00C84889"/>
    <w:rsid w:val="00C84F97"/>
    <w:rsid w:val="00C8546F"/>
    <w:rsid w:val="00C86236"/>
    <w:rsid w:val="00C928D9"/>
    <w:rsid w:val="00C92AAA"/>
    <w:rsid w:val="00C94033"/>
    <w:rsid w:val="00C94BA0"/>
    <w:rsid w:val="00C953C4"/>
    <w:rsid w:val="00C95D4D"/>
    <w:rsid w:val="00C962AE"/>
    <w:rsid w:val="00C977D8"/>
    <w:rsid w:val="00CA02AB"/>
    <w:rsid w:val="00CA101A"/>
    <w:rsid w:val="00CA15E9"/>
    <w:rsid w:val="00CA1AC5"/>
    <w:rsid w:val="00CA2A1D"/>
    <w:rsid w:val="00CA316B"/>
    <w:rsid w:val="00CA3E39"/>
    <w:rsid w:val="00CA47D7"/>
    <w:rsid w:val="00CA65CF"/>
    <w:rsid w:val="00CA6931"/>
    <w:rsid w:val="00CB0249"/>
    <w:rsid w:val="00CB1DAC"/>
    <w:rsid w:val="00CB451D"/>
    <w:rsid w:val="00CB48BC"/>
    <w:rsid w:val="00CB627D"/>
    <w:rsid w:val="00CB7B2F"/>
    <w:rsid w:val="00CC141F"/>
    <w:rsid w:val="00CC18C6"/>
    <w:rsid w:val="00CC1C9D"/>
    <w:rsid w:val="00CC1F0E"/>
    <w:rsid w:val="00CC1F89"/>
    <w:rsid w:val="00CC2B34"/>
    <w:rsid w:val="00CC2B41"/>
    <w:rsid w:val="00CC3663"/>
    <w:rsid w:val="00CC388A"/>
    <w:rsid w:val="00CC38C5"/>
    <w:rsid w:val="00CC4139"/>
    <w:rsid w:val="00CC451F"/>
    <w:rsid w:val="00CC47C3"/>
    <w:rsid w:val="00CC6D4F"/>
    <w:rsid w:val="00CC7514"/>
    <w:rsid w:val="00CC7655"/>
    <w:rsid w:val="00CD33FB"/>
    <w:rsid w:val="00CD34C5"/>
    <w:rsid w:val="00CD411F"/>
    <w:rsid w:val="00CD4C05"/>
    <w:rsid w:val="00CD5A0A"/>
    <w:rsid w:val="00CD7FC4"/>
    <w:rsid w:val="00CE0649"/>
    <w:rsid w:val="00CE0C6F"/>
    <w:rsid w:val="00CE0D9A"/>
    <w:rsid w:val="00CE1604"/>
    <w:rsid w:val="00CE1A4E"/>
    <w:rsid w:val="00CE1FFC"/>
    <w:rsid w:val="00CE37DE"/>
    <w:rsid w:val="00CE4A94"/>
    <w:rsid w:val="00CE52A5"/>
    <w:rsid w:val="00CE551B"/>
    <w:rsid w:val="00CE58FE"/>
    <w:rsid w:val="00CE5FF6"/>
    <w:rsid w:val="00CE62E1"/>
    <w:rsid w:val="00CE632E"/>
    <w:rsid w:val="00CE7086"/>
    <w:rsid w:val="00CF00B3"/>
    <w:rsid w:val="00CF196F"/>
    <w:rsid w:val="00CF1CB9"/>
    <w:rsid w:val="00CF1E90"/>
    <w:rsid w:val="00CF3CEE"/>
    <w:rsid w:val="00CF4E75"/>
    <w:rsid w:val="00CF6929"/>
    <w:rsid w:val="00CF6A07"/>
    <w:rsid w:val="00CF7C4B"/>
    <w:rsid w:val="00D0062E"/>
    <w:rsid w:val="00D0192B"/>
    <w:rsid w:val="00D02905"/>
    <w:rsid w:val="00D02B6B"/>
    <w:rsid w:val="00D0528F"/>
    <w:rsid w:val="00D111F7"/>
    <w:rsid w:val="00D1157C"/>
    <w:rsid w:val="00D12E56"/>
    <w:rsid w:val="00D140FE"/>
    <w:rsid w:val="00D14760"/>
    <w:rsid w:val="00D15920"/>
    <w:rsid w:val="00D16E43"/>
    <w:rsid w:val="00D16F58"/>
    <w:rsid w:val="00D2059C"/>
    <w:rsid w:val="00D24DA5"/>
    <w:rsid w:val="00D252C9"/>
    <w:rsid w:val="00D25696"/>
    <w:rsid w:val="00D25FF2"/>
    <w:rsid w:val="00D26C6A"/>
    <w:rsid w:val="00D274B9"/>
    <w:rsid w:val="00D27764"/>
    <w:rsid w:val="00D30482"/>
    <w:rsid w:val="00D30CF8"/>
    <w:rsid w:val="00D32264"/>
    <w:rsid w:val="00D32AAA"/>
    <w:rsid w:val="00D34105"/>
    <w:rsid w:val="00D34DEA"/>
    <w:rsid w:val="00D359C4"/>
    <w:rsid w:val="00D36275"/>
    <w:rsid w:val="00D37EF5"/>
    <w:rsid w:val="00D40BC6"/>
    <w:rsid w:val="00D44C18"/>
    <w:rsid w:val="00D50626"/>
    <w:rsid w:val="00D50648"/>
    <w:rsid w:val="00D520E7"/>
    <w:rsid w:val="00D54233"/>
    <w:rsid w:val="00D542E4"/>
    <w:rsid w:val="00D54980"/>
    <w:rsid w:val="00D54A8E"/>
    <w:rsid w:val="00D55364"/>
    <w:rsid w:val="00D562D8"/>
    <w:rsid w:val="00D57C06"/>
    <w:rsid w:val="00D57F67"/>
    <w:rsid w:val="00D60431"/>
    <w:rsid w:val="00D60C79"/>
    <w:rsid w:val="00D627D2"/>
    <w:rsid w:val="00D641C8"/>
    <w:rsid w:val="00D656B6"/>
    <w:rsid w:val="00D65758"/>
    <w:rsid w:val="00D65994"/>
    <w:rsid w:val="00D65FEC"/>
    <w:rsid w:val="00D66D41"/>
    <w:rsid w:val="00D67560"/>
    <w:rsid w:val="00D67822"/>
    <w:rsid w:val="00D67BBE"/>
    <w:rsid w:val="00D712B3"/>
    <w:rsid w:val="00D756D2"/>
    <w:rsid w:val="00D757EA"/>
    <w:rsid w:val="00D77880"/>
    <w:rsid w:val="00D81F84"/>
    <w:rsid w:val="00D81FF8"/>
    <w:rsid w:val="00D82CEC"/>
    <w:rsid w:val="00D82D96"/>
    <w:rsid w:val="00D83935"/>
    <w:rsid w:val="00D849D4"/>
    <w:rsid w:val="00D86711"/>
    <w:rsid w:val="00D86774"/>
    <w:rsid w:val="00D87AF0"/>
    <w:rsid w:val="00D90325"/>
    <w:rsid w:val="00D905FB"/>
    <w:rsid w:val="00D91EF4"/>
    <w:rsid w:val="00D927F7"/>
    <w:rsid w:val="00D9564A"/>
    <w:rsid w:val="00D9595A"/>
    <w:rsid w:val="00D96B0B"/>
    <w:rsid w:val="00D96ECA"/>
    <w:rsid w:val="00DA0141"/>
    <w:rsid w:val="00DA07B3"/>
    <w:rsid w:val="00DA09E2"/>
    <w:rsid w:val="00DA1083"/>
    <w:rsid w:val="00DA4C40"/>
    <w:rsid w:val="00DA51D1"/>
    <w:rsid w:val="00DA737F"/>
    <w:rsid w:val="00DA7B2C"/>
    <w:rsid w:val="00DB1108"/>
    <w:rsid w:val="00DB2426"/>
    <w:rsid w:val="00DB2DA8"/>
    <w:rsid w:val="00DB4186"/>
    <w:rsid w:val="00DB44E7"/>
    <w:rsid w:val="00DB4518"/>
    <w:rsid w:val="00DB52EE"/>
    <w:rsid w:val="00DB6EA3"/>
    <w:rsid w:val="00DC0374"/>
    <w:rsid w:val="00DC0614"/>
    <w:rsid w:val="00DC1689"/>
    <w:rsid w:val="00DC2061"/>
    <w:rsid w:val="00DC2C5B"/>
    <w:rsid w:val="00DC5981"/>
    <w:rsid w:val="00DC7C62"/>
    <w:rsid w:val="00DD128C"/>
    <w:rsid w:val="00DD2777"/>
    <w:rsid w:val="00DD2B27"/>
    <w:rsid w:val="00DD32E7"/>
    <w:rsid w:val="00DD4F2E"/>
    <w:rsid w:val="00DD587C"/>
    <w:rsid w:val="00DD5E1E"/>
    <w:rsid w:val="00DD64E4"/>
    <w:rsid w:val="00DD6A62"/>
    <w:rsid w:val="00DD7C79"/>
    <w:rsid w:val="00DE2E7B"/>
    <w:rsid w:val="00DE4B2A"/>
    <w:rsid w:val="00DE4EAA"/>
    <w:rsid w:val="00DE5BD1"/>
    <w:rsid w:val="00DE7AF5"/>
    <w:rsid w:val="00DE7BCC"/>
    <w:rsid w:val="00DF0C1B"/>
    <w:rsid w:val="00DF1079"/>
    <w:rsid w:val="00DF15A4"/>
    <w:rsid w:val="00DF1A0C"/>
    <w:rsid w:val="00DF1CEA"/>
    <w:rsid w:val="00DF216C"/>
    <w:rsid w:val="00DF246E"/>
    <w:rsid w:val="00DF4140"/>
    <w:rsid w:val="00DF6772"/>
    <w:rsid w:val="00E00206"/>
    <w:rsid w:val="00E02139"/>
    <w:rsid w:val="00E023A7"/>
    <w:rsid w:val="00E0301A"/>
    <w:rsid w:val="00E04DA1"/>
    <w:rsid w:val="00E07C99"/>
    <w:rsid w:val="00E10095"/>
    <w:rsid w:val="00E10122"/>
    <w:rsid w:val="00E10AD4"/>
    <w:rsid w:val="00E1129B"/>
    <w:rsid w:val="00E11E84"/>
    <w:rsid w:val="00E132CE"/>
    <w:rsid w:val="00E15151"/>
    <w:rsid w:val="00E1522A"/>
    <w:rsid w:val="00E154CD"/>
    <w:rsid w:val="00E1629C"/>
    <w:rsid w:val="00E164B3"/>
    <w:rsid w:val="00E167EC"/>
    <w:rsid w:val="00E1717C"/>
    <w:rsid w:val="00E200DE"/>
    <w:rsid w:val="00E211D6"/>
    <w:rsid w:val="00E2172E"/>
    <w:rsid w:val="00E22291"/>
    <w:rsid w:val="00E24D33"/>
    <w:rsid w:val="00E277DB"/>
    <w:rsid w:val="00E30F48"/>
    <w:rsid w:val="00E31500"/>
    <w:rsid w:val="00E356A5"/>
    <w:rsid w:val="00E3579A"/>
    <w:rsid w:val="00E3626E"/>
    <w:rsid w:val="00E36597"/>
    <w:rsid w:val="00E36E4F"/>
    <w:rsid w:val="00E40526"/>
    <w:rsid w:val="00E41C30"/>
    <w:rsid w:val="00E42928"/>
    <w:rsid w:val="00E42B3A"/>
    <w:rsid w:val="00E43960"/>
    <w:rsid w:val="00E445AA"/>
    <w:rsid w:val="00E4563B"/>
    <w:rsid w:val="00E45B60"/>
    <w:rsid w:val="00E4630C"/>
    <w:rsid w:val="00E46BED"/>
    <w:rsid w:val="00E47C5A"/>
    <w:rsid w:val="00E47CD4"/>
    <w:rsid w:val="00E508E8"/>
    <w:rsid w:val="00E50AD5"/>
    <w:rsid w:val="00E535B8"/>
    <w:rsid w:val="00E545C2"/>
    <w:rsid w:val="00E54BBD"/>
    <w:rsid w:val="00E55D93"/>
    <w:rsid w:val="00E56A2B"/>
    <w:rsid w:val="00E63145"/>
    <w:rsid w:val="00E63E10"/>
    <w:rsid w:val="00E658D5"/>
    <w:rsid w:val="00E73AFA"/>
    <w:rsid w:val="00E76250"/>
    <w:rsid w:val="00E77063"/>
    <w:rsid w:val="00E77132"/>
    <w:rsid w:val="00E77A1D"/>
    <w:rsid w:val="00E77C55"/>
    <w:rsid w:val="00E821F2"/>
    <w:rsid w:val="00E827B4"/>
    <w:rsid w:val="00E836C6"/>
    <w:rsid w:val="00E83A58"/>
    <w:rsid w:val="00E85D6E"/>
    <w:rsid w:val="00E87923"/>
    <w:rsid w:val="00E87FCA"/>
    <w:rsid w:val="00E915CF"/>
    <w:rsid w:val="00E92819"/>
    <w:rsid w:val="00E93D12"/>
    <w:rsid w:val="00E95F12"/>
    <w:rsid w:val="00E9600F"/>
    <w:rsid w:val="00EA0711"/>
    <w:rsid w:val="00EA1A3B"/>
    <w:rsid w:val="00EA1A4A"/>
    <w:rsid w:val="00EA281E"/>
    <w:rsid w:val="00EA6BF5"/>
    <w:rsid w:val="00EA7793"/>
    <w:rsid w:val="00EB014B"/>
    <w:rsid w:val="00EB280B"/>
    <w:rsid w:val="00EB4EC6"/>
    <w:rsid w:val="00EB540B"/>
    <w:rsid w:val="00EB660A"/>
    <w:rsid w:val="00EC09D3"/>
    <w:rsid w:val="00EC0A8C"/>
    <w:rsid w:val="00EC1D51"/>
    <w:rsid w:val="00EC1DB5"/>
    <w:rsid w:val="00EC2F85"/>
    <w:rsid w:val="00EC6603"/>
    <w:rsid w:val="00EC71D5"/>
    <w:rsid w:val="00EC7C0F"/>
    <w:rsid w:val="00ED00E8"/>
    <w:rsid w:val="00ED0DCF"/>
    <w:rsid w:val="00ED13AB"/>
    <w:rsid w:val="00ED1DA7"/>
    <w:rsid w:val="00ED44BF"/>
    <w:rsid w:val="00ED5FDD"/>
    <w:rsid w:val="00ED7BE5"/>
    <w:rsid w:val="00ED7CE9"/>
    <w:rsid w:val="00EE0274"/>
    <w:rsid w:val="00EE3F1A"/>
    <w:rsid w:val="00EE3F26"/>
    <w:rsid w:val="00EE43FC"/>
    <w:rsid w:val="00EE54DC"/>
    <w:rsid w:val="00EE5568"/>
    <w:rsid w:val="00EE60C2"/>
    <w:rsid w:val="00EE6909"/>
    <w:rsid w:val="00EF0E89"/>
    <w:rsid w:val="00EF1142"/>
    <w:rsid w:val="00EF1274"/>
    <w:rsid w:val="00EF291C"/>
    <w:rsid w:val="00EF43D8"/>
    <w:rsid w:val="00EF5F61"/>
    <w:rsid w:val="00EF6137"/>
    <w:rsid w:val="00EF6BE2"/>
    <w:rsid w:val="00F02676"/>
    <w:rsid w:val="00F05800"/>
    <w:rsid w:val="00F05997"/>
    <w:rsid w:val="00F05CC5"/>
    <w:rsid w:val="00F062F4"/>
    <w:rsid w:val="00F06412"/>
    <w:rsid w:val="00F069B5"/>
    <w:rsid w:val="00F105ED"/>
    <w:rsid w:val="00F11B3D"/>
    <w:rsid w:val="00F11DBB"/>
    <w:rsid w:val="00F11DCB"/>
    <w:rsid w:val="00F12FB3"/>
    <w:rsid w:val="00F13ED4"/>
    <w:rsid w:val="00F14BCC"/>
    <w:rsid w:val="00F14D53"/>
    <w:rsid w:val="00F16BB8"/>
    <w:rsid w:val="00F211E9"/>
    <w:rsid w:val="00F260BC"/>
    <w:rsid w:val="00F263B5"/>
    <w:rsid w:val="00F27560"/>
    <w:rsid w:val="00F275DB"/>
    <w:rsid w:val="00F306DA"/>
    <w:rsid w:val="00F31CF3"/>
    <w:rsid w:val="00F31F59"/>
    <w:rsid w:val="00F324EE"/>
    <w:rsid w:val="00F3261D"/>
    <w:rsid w:val="00F34921"/>
    <w:rsid w:val="00F407A7"/>
    <w:rsid w:val="00F40807"/>
    <w:rsid w:val="00F44CB2"/>
    <w:rsid w:val="00F44F8B"/>
    <w:rsid w:val="00F453BB"/>
    <w:rsid w:val="00F45ED1"/>
    <w:rsid w:val="00F5011C"/>
    <w:rsid w:val="00F51173"/>
    <w:rsid w:val="00F52C8A"/>
    <w:rsid w:val="00F5379F"/>
    <w:rsid w:val="00F54405"/>
    <w:rsid w:val="00F54AFC"/>
    <w:rsid w:val="00F54BD5"/>
    <w:rsid w:val="00F557E5"/>
    <w:rsid w:val="00F55C32"/>
    <w:rsid w:val="00F57C95"/>
    <w:rsid w:val="00F61AE5"/>
    <w:rsid w:val="00F62A2D"/>
    <w:rsid w:val="00F636AD"/>
    <w:rsid w:val="00F63B0C"/>
    <w:rsid w:val="00F63C39"/>
    <w:rsid w:val="00F65D48"/>
    <w:rsid w:val="00F67823"/>
    <w:rsid w:val="00F67E74"/>
    <w:rsid w:val="00F70E3B"/>
    <w:rsid w:val="00F73555"/>
    <w:rsid w:val="00F75525"/>
    <w:rsid w:val="00F75938"/>
    <w:rsid w:val="00F804A4"/>
    <w:rsid w:val="00F8082B"/>
    <w:rsid w:val="00F849CC"/>
    <w:rsid w:val="00F84BF4"/>
    <w:rsid w:val="00F84EE7"/>
    <w:rsid w:val="00F85B63"/>
    <w:rsid w:val="00F85FE7"/>
    <w:rsid w:val="00F87762"/>
    <w:rsid w:val="00F87AED"/>
    <w:rsid w:val="00F90B9B"/>
    <w:rsid w:val="00F91ACF"/>
    <w:rsid w:val="00F91D2A"/>
    <w:rsid w:val="00F9200F"/>
    <w:rsid w:val="00F92D98"/>
    <w:rsid w:val="00F9406C"/>
    <w:rsid w:val="00F94141"/>
    <w:rsid w:val="00F96B87"/>
    <w:rsid w:val="00F9733B"/>
    <w:rsid w:val="00F973E4"/>
    <w:rsid w:val="00FA0D52"/>
    <w:rsid w:val="00FA2C2C"/>
    <w:rsid w:val="00FA45E2"/>
    <w:rsid w:val="00FA5212"/>
    <w:rsid w:val="00FA5624"/>
    <w:rsid w:val="00FA5BC6"/>
    <w:rsid w:val="00FA6E92"/>
    <w:rsid w:val="00FA7623"/>
    <w:rsid w:val="00FB039A"/>
    <w:rsid w:val="00FB0F24"/>
    <w:rsid w:val="00FB0F48"/>
    <w:rsid w:val="00FB1AFD"/>
    <w:rsid w:val="00FB1C63"/>
    <w:rsid w:val="00FB266D"/>
    <w:rsid w:val="00FB36B3"/>
    <w:rsid w:val="00FB4024"/>
    <w:rsid w:val="00FB5170"/>
    <w:rsid w:val="00FB5197"/>
    <w:rsid w:val="00FB58D9"/>
    <w:rsid w:val="00FB6028"/>
    <w:rsid w:val="00FB6F2E"/>
    <w:rsid w:val="00FC12A0"/>
    <w:rsid w:val="00FC182C"/>
    <w:rsid w:val="00FC6124"/>
    <w:rsid w:val="00FC64E0"/>
    <w:rsid w:val="00FC6E50"/>
    <w:rsid w:val="00FC77FF"/>
    <w:rsid w:val="00FD064A"/>
    <w:rsid w:val="00FD0DB9"/>
    <w:rsid w:val="00FD11C3"/>
    <w:rsid w:val="00FD1758"/>
    <w:rsid w:val="00FD2D36"/>
    <w:rsid w:val="00FD2FCE"/>
    <w:rsid w:val="00FD3301"/>
    <w:rsid w:val="00FD6363"/>
    <w:rsid w:val="00FD7B90"/>
    <w:rsid w:val="00FD7CDC"/>
    <w:rsid w:val="00FE2855"/>
    <w:rsid w:val="00FE3072"/>
    <w:rsid w:val="00FE3B24"/>
    <w:rsid w:val="00FE5439"/>
    <w:rsid w:val="00FE582E"/>
    <w:rsid w:val="00FE68DA"/>
    <w:rsid w:val="00FF2C60"/>
    <w:rsid w:val="00FF68CB"/>
    <w:rsid w:val="00FF6CC7"/>
    <w:rsid w:val="00FF70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B88EA9"/>
  <w15:chartTrackingRefBased/>
  <w15:docId w15:val="{330D1AD3-282D-4A00-8E46-ED6EA86F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9C6"/>
  </w:style>
  <w:style w:type="paragraph" w:styleId="Heading1">
    <w:name w:val="heading 1"/>
    <w:basedOn w:val="Normal"/>
    <w:next w:val="Normal"/>
    <w:link w:val="Heading1Char"/>
    <w:uiPriority w:val="9"/>
    <w:qFormat/>
    <w:rsid w:val="003E5E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1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59C6"/>
    <w:pPr>
      <w:keepNext/>
      <w:keepLines/>
      <w:spacing w:before="100" w:after="0"/>
      <w:outlineLvl w:val="2"/>
    </w:pPr>
    <w:rPr>
      <w:rFonts w:asciiTheme="majorHAnsi" w:eastAsiaTheme="majorEastAsia" w:hAnsiTheme="majorHAnsi" w:cstheme="majorBidi"/>
      <w:i/>
      <w:iCs/>
      <w:color w:val="1F3763" w:themeColor="accent1" w:themeShade="7F"/>
    </w:rPr>
  </w:style>
  <w:style w:type="paragraph" w:styleId="Heading4">
    <w:name w:val="heading 4"/>
    <w:basedOn w:val="Normal"/>
    <w:next w:val="Normal"/>
    <w:link w:val="Heading4Char"/>
    <w:uiPriority w:val="9"/>
    <w:unhideWhenUsed/>
    <w:qFormat/>
    <w:rsid w:val="00C827D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5E08"/>
    <w:pPr>
      <w:keepNext/>
      <w:keepLines/>
      <w:spacing w:before="40" w:after="0"/>
      <w:ind w:left="1008" w:hanging="1008"/>
      <w:outlineLvl w:val="4"/>
    </w:pPr>
    <w:rPr>
      <w:rFonts w:asciiTheme="majorHAnsi" w:eastAsiaTheme="majorEastAsia" w:hAnsiTheme="majorHAnsi" w:cstheme="majorBidi"/>
      <w:color w:val="2F5496" w:themeColor="accent1" w:themeShade="BF"/>
      <w:lang w:eastAsia="ja-JP"/>
    </w:rPr>
  </w:style>
  <w:style w:type="paragraph" w:styleId="Heading6">
    <w:name w:val="heading 6"/>
    <w:basedOn w:val="Normal"/>
    <w:next w:val="Normal"/>
    <w:link w:val="Heading6Char"/>
    <w:uiPriority w:val="9"/>
    <w:semiHidden/>
    <w:unhideWhenUsed/>
    <w:qFormat/>
    <w:rsid w:val="008A5E08"/>
    <w:pPr>
      <w:keepNext/>
      <w:keepLines/>
      <w:spacing w:before="40" w:after="0"/>
      <w:ind w:left="1152" w:hanging="1152"/>
      <w:outlineLvl w:val="5"/>
    </w:pPr>
    <w:rPr>
      <w:rFonts w:asciiTheme="majorHAnsi" w:eastAsiaTheme="majorEastAsia" w:hAnsiTheme="majorHAnsi" w:cstheme="majorBidi"/>
      <w:color w:val="1F3763" w:themeColor="accent1" w:themeShade="7F"/>
      <w:lang w:eastAsia="ja-JP"/>
    </w:rPr>
  </w:style>
  <w:style w:type="paragraph" w:styleId="Heading7">
    <w:name w:val="heading 7"/>
    <w:basedOn w:val="Normal"/>
    <w:next w:val="Normal"/>
    <w:link w:val="Heading7Char"/>
    <w:uiPriority w:val="9"/>
    <w:semiHidden/>
    <w:unhideWhenUsed/>
    <w:qFormat/>
    <w:rsid w:val="008A5E08"/>
    <w:pPr>
      <w:keepNext/>
      <w:keepLines/>
      <w:spacing w:before="40" w:after="0"/>
      <w:ind w:left="1296" w:hanging="1296"/>
      <w:outlineLvl w:val="6"/>
    </w:pPr>
    <w:rPr>
      <w:rFonts w:asciiTheme="majorHAnsi" w:eastAsiaTheme="majorEastAsia" w:hAnsiTheme="majorHAnsi" w:cstheme="majorBidi"/>
      <w:i/>
      <w:iCs/>
      <w:color w:val="1F3763" w:themeColor="accent1" w:themeShade="7F"/>
      <w:lang w:eastAsia="ja-JP"/>
    </w:rPr>
  </w:style>
  <w:style w:type="paragraph" w:styleId="Heading8">
    <w:name w:val="heading 8"/>
    <w:basedOn w:val="Normal"/>
    <w:next w:val="Normal"/>
    <w:link w:val="Heading8Char"/>
    <w:uiPriority w:val="9"/>
    <w:semiHidden/>
    <w:unhideWhenUsed/>
    <w:qFormat/>
    <w:rsid w:val="008A5E08"/>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iPriority w:val="9"/>
    <w:semiHidden/>
    <w:unhideWhenUsed/>
    <w:qFormat/>
    <w:rsid w:val="008A5E08"/>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4737"/>
    <w:pPr>
      <w:autoSpaceDE w:val="0"/>
      <w:autoSpaceDN w:val="0"/>
      <w:adjustRightInd w:val="0"/>
      <w:spacing w:after="0" w:line="240" w:lineRule="auto"/>
    </w:pPr>
    <w:rPr>
      <w:rFonts w:cs="Times New Roman"/>
      <w:color w:val="000000"/>
      <w:szCs w:val="24"/>
    </w:rPr>
  </w:style>
  <w:style w:type="character" w:customStyle="1" w:styleId="A17">
    <w:name w:val="A17"/>
    <w:uiPriority w:val="99"/>
    <w:rsid w:val="00FF701C"/>
    <w:rPr>
      <w:rFonts w:cs="Adobe Garamond Pro"/>
      <w:color w:val="000000"/>
      <w:sz w:val="12"/>
      <w:szCs w:val="12"/>
    </w:rPr>
  </w:style>
  <w:style w:type="paragraph" w:styleId="FootnoteText">
    <w:name w:val="footnote text"/>
    <w:aliases w:val="AD,ADB,ADB Char,FOOTNOTES,Font,Footnote Text Char Char Char Char,Footnote Text Char Char Char1,Footnote Text Char1 Char,Footnote Text Char1 Char Char Char1,Footnote Text Char1 Char1 Char,Footnote Text Char2,fn,footnote text,ft,single space"/>
    <w:basedOn w:val="Normal"/>
    <w:link w:val="FootnoteTextChar"/>
    <w:uiPriority w:val="99"/>
    <w:unhideWhenUsed/>
    <w:qFormat/>
    <w:rsid w:val="005D12C1"/>
    <w:pPr>
      <w:spacing w:after="0" w:line="240" w:lineRule="auto"/>
      <w:jc w:val="both"/>
    </w:pPr>
    <w:rPr>
      <w:sz w:val="20"/>
      <w:szCs w:val="20"/>
    </w:rPr>
  </w:style>
  <w:style w:type="character" w:customStyle="1" w:styleId="FootnoteTextChar">
    <w:name w:val="Footnote Text Char"/>
    <w:aliases w:val="AD Char,ADB Char1,ADB Char Char,FOOTNOTES Char,Font Char,Footnote Text Char Char Char Char Char,Footnote Text Char Char Char1 Char,Footnote Text Char1 Char Char,Footnote Text Char1 Char Char Char1 Char,Footnote Text Char2 Char,fn Char"/>
    <w:basedOn w:val="DefaultParagraphFont"/>
    <w:link w:val="FootnoteText"/>
    <w:uiPriority w:val="99"/>
    <w:qFormat/>
    <w:rsid w:val="005D12C1"/>
    <w:rPr>
      <w:sz w:val="20"/>
      <w:szCs w:val="20"/>
    </w:rPr>
  </w:style>
  <w:style w:type="character" w:styleId="FootnoteReference">
    <w:name w:val="footnote reference"/>
    <w:aliases w:val="Footnote reference character Char,16 Point,BVI fnr,BVI fnr Car,BVI fnr Car Car,BVI fnr Car Car Car Car,BVI fnr Car Car Carattere Car Zchn Char Char,BVI fnr Carattere Car Zchn Char Char,FnR-ANZDEC,Ref,Superscript 6 Point,ftref,ftref1"/>
    <w:basedOn w:val="DefaultParagraphFont"/>
    <w:link w:val="Footnotereferencecharacter"/>
    <w:uiPriority w:val="99"/>
    <w:unhideWhenUsed/>
    <w:qFormat/>
    <w:rsid w:val="00B71B60"/>
    <w:rPr>
      <w:vertAlign w:val="superscript"/>
    </w:rPr>
  </w:style>
  <w:style w:type="table" w:styleId="TableGrid">
    <w:name w:val="Table Grid"/>
    <w:basedOn w:val="TableNormal"/>
    <w:uiPriority w:val="39"/>
    <w:rsid w:val="00310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707"/>
    <w:rPr>
      <w:rFonts w:ascii="Segoe UI" w:hAnsi="Segoe UI" w:cs="Segoe UI"/>
      <w:sz w:val="18"/>
      <w:szCs w:val="18"/>
    </w:rPr>
  </w:style>
  <w:style w:type="character" w:customStyle="1" w:styleId="Heading1Char">
    <w:name w:val="Heading 1 Char"/>
    <w:basedOn w:val="DefaultParagraphFont"/>
    <w:link w:val="Heading1"/>
    <w:uiPriority w:val="9"/>
    <w:rsid w:val="003E5E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186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unhideWhenUsed/>
    <w:rsid w:val="00A630E0"/>
    <w:rPr>
      <w:sz w:val="16"/>
      <w:szCs w:val="16"/>
    </w:rPr>
  </w:style>
  <w:style w:type="paragraph" w:styleId="CommentText">
    <w:name w:val="annotation text"/>
    <w:basedOn w:val="Normal"/>
    <w:link w:val="CommentTextChar"/>
    <w:uiPriority w:val="99"/>
    <w:unhideWhenUsed/>
    <w:rsid w:val="00A630E0"/>
    <w:pPr>
      <w:spacing w:line="240" w:lineRule="auto"/>
    </w:pPr>
    <w:rPr>
      <w:sz w:val="20"/>
      <w:szCs w:val="20"/>
    </w:rPr>
  </w:style>
  <w:style w:type="character" w:customStyle="1" w:styleId="CommentTextChar">
    <w:name w:val="Comment Text Char"/>
    <w:basedOn w:val="DefaultParagraphFont"/>
    <w:link w:val="CommentText"/>
    <w:uiPriority w:val="99"/>
    <w:rsid w:val="00A630E0"/>
    <w:rPr>
      <w:sz w:val="20"/>
      <w:szCs w:val="20"/>
    </w:rPr>
  </w:style>
  <w:style w:type="paragraph" w:styleId="CommentSubject">
    <w:name w:val="annotation subject"/>
    <w:basedOn w:val="CommentText"/>
    <w:next w:val="CommentText"/>
    <w:link w:val="CommentSubjectChar"/>
    <w:uiPriority w:val="99"/>
    <w:semiHidden/>
    <w:unhideWhenUsed/>
    <w:rsid w:val="00A630E0"/>
    <w:rPr>
      <w:b/>
      <w:bCs/>
    </w:rPr>
  </w:style>
  <w:style w:type="character" w:customStyle="1" w:styleId="CommentSubjectChar">
    <w:name w:val="Comment Subject Char"/>
    <w:basedOn w:val="CommentTextChar"/>
    <w:link w:val="CommentSubject"/>
    <w:uiPriority w:val="99"/>
    <w:semiHidden/>
    <w:rsid w:val="00A630E0"/>
    <w:rPr>
      <w:b/>
      <w:bCs/>
      <w:sz w:val="20"/>
      <w:szCs w:val="20"/>
    </w:rPr>
  </w:style>
  <w:style w:type="paragraph" w:styleId="Revision">
    <w:name w:val="Revision"/>
    <w:hidden/>
    <w:uiPriority w:val="99"/>
    <w:semiHidden/>
    <w:rsid w:val="00A630E0"/>
    <w:pPr>
      <w:spacing w:after="0" w:line="240" w:lineRule="auto"/>
    </w:pPr>
  </w:style>
  <w:style w:type="paragraph" w:styleId="ListParagraph">
    <w:name w:val="List Paragraph"/>
    <w:aliases w:val="Numbered List Paragraph,References,Liste couleur - Accent 11,List Paragraph (numbered (a)),Bullets,Medium Grid 1 - Accent 21,Liste 1,ReferencesCxSpLast,List Paragraph1,List Bullet Mary,Colorful List - Accent 11,List Paragraph nowy,lp1,l,L"/>
    <w:basedOn w:val="Normal"/>
    <w:link w:val="ListParagraphChar"/>
    <w:uiPriority w:val="34"/>
    <w:qFormat/>
    <w:rsid w:val="001F2277"/>
    <w:pPr>
      <w:ind w:left="720"/>
      <w:contextualSpacing/>
    </w:pPr>
  </w:style>
  <w:style w:type="table" w:styleId="PlainTable2">
    <w:name w:val="Plain Table 2"/>
    <w:basedOn w:val="TableNormal"/>
    <w:uiPriority w:val="42"/>
    <w:rsid w:val="001F22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1F227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3C59C6"/>
    <w:rPr>
      <w:rFonts w:asciiTheme="majorHAnsi" w:eastAsiaTheme="majorEastAsia" w:hAnsiTheme="majorHAnsi" w:cstheme="majorBidi"/>
      <w:i/>
      <w:iCs/>
      <w:color w:val="1F3763" w:themeColor="accent1" w:themeShade="7F"/>
    </w:rPr>
  </w:style>
  <w:style w:type="table" w:customStyle="1" w:styleId="TableGrid1">
    <w:name w:val="Table Grid1"/>
    <w:basedOn w:val="TableNormal"/>
    <w:next w:val="TableGrid"/>
    <w:uiPriority w:val="39"/>
    <w:rsid w:val="008C3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6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0BC"/>
  </w:style>
  <w:style w:type="paragraph" w:styleId="Footer">
    <w:name w:val="footer"/>
    <w:basedOn w:val="Normal"/>
    <w:link w:val="FooterChar"/>
    <w:uiPriority w:val="99"/>
    <w:unhideWhenUsed/>
    <w:rsid w:val="00F26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0BC"/>
  </w:style>
  <w:style w:type="paragraph" w:styleId="Caption">
    <w:name w:val="caption"/>
    <w:aliases w:val="Caption (HYDROC)"/>
    <w:basedOn w:val="Normal"/>
    <w:next w:val="Normal"/>
    <w:link w:val="CaptionChar"/>
    <w:uiPriority w:val="35"/>
    <w:unhideWhenUsed/>
    <w:qFormat/>
    <w:rsid w:val="00686A00"/>
    <w:pPr>
      <w:keepNext/>
      <w:spacing w:before="240" w:after="0" w:line="240" w:lineRule="auto"/>
      <w:jc w:val="both"/>
    </w:pPr>
    <w:rPr>
      <w:b/>
    </w:rPr>
  </w:style>
  <w:style w:type="paragraph" w:customStyle="1" w:styleId="Source">
    <w:name w:val="Source"/>
    <w:basedOn w:val="Normal"/>
    <w:qFormat/>
    <w:rsid w:val="00D756D2"/>
    <w:pPr>
      <w:autoSpaceDE w:val="0"/>
      <w:autoSpaceDN w:val="0"/>
      <w:adjustRightInd w:val="0"/>
      <w:spacing w:after="120" w:line="240" w:lineRule="auto"/>
      <w:jc w:val="both"/>
    </w:pPr>
    <w:rPr>
      <w:rFonts w:cstheme="minorHAnsi"/>
      <w:sz w:val="20"/>
    </w:rPr>
  </w:style>
  <w:style w:type="paragraph" w:styleId="NoSpacing">
    <w:name w:val="No Spacing"/>
    <w:link w:val="NoSpacingChar"/>
    <w:uiPriority w:val="1"/>
    <w:qFormat/>
    <w:rsid w:val="008F59CC"/>
    <w:pPr>
      <w:spacing w:after="0" w:line="240" w:lineRule="auto"/>
    </w:pPr>
  </w:style>
  <w:style w:type="paragraph" w:customStyle="1" w:styleId="basefont">
    <w:name w:val="basefont"/>
    <w:basedOn w:val="Normal"/>
    <w:qFormat/>
    <w:rsid w:val="00344737"/>
    <w:pPr>
      <w:spacing w:after="0" w:line="240" w:lineRule="auto"/>
    </w:pPr>
  </w:style>
  <w:style w:type="paragraph" w:customStyle="1" w:styleId="Figure">
    <w:name w:val="Figure"/>
    <w:basedOn w:val="basefont"/>
    <w:next w:val="Source"/>
    <w:qFormat/>
    <w:rsid w:val="00344737"/>
    <w:pPr>
      <w:keepNext/>
    </w:pPr>
    <w:rPr>
      <w:noProof/>
    </w:rPr>
  </w:style>
  <w:style w:type="character" w:styleId="Emphasis">
    <w:name w:val="Emphasis"/>
    <w:basedOn w:val="DefaultParagraphFont"/>
    <w:uiPriority w:val="20"/>
    <w:qFormat/>
    <w:rsid w:val="00086B14"/>
    <w:rPr>
      <w:i/>
      <w:iCs/>
    </w:rPr>
  </w:style>
  <w:style w:type="character" w:customStyle="1" w:styleId="Heading4Char">
    <w:name w:val="Heading 4 Char"/>
    <w:basedOn w:val="DefaultParagraphFont"/>
    <w:link w:val="Heading4"/>
    <w:uiPriority w:val="9"/>
    <w:rsid w:val="00C827D2"/>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Numbered List Paragraph Char,References Char,Liste couleur - Accent 11 Char,List Paragraph (numbered (a)) Char,Bullets Char,Medium Grid 1 - Accent 21 Char,Liste 1 Char,ReferencesCxSpLast Char,List Paragraph1 Char,lp1 Char,l Char"/>
    <w:basedOn w:val="DefaultParagraphFont"/>
    <w:link w:val="ListParagraph"/>
    <w:uiPriority w:val="34"/>
    <w:qFormat/>
    <w:locked/>
    <w:rsid w:val="000C5F6B"/>
  </w:style>
  <w:style w:type="paragraph" w:customStyle="1" w:styleId="Footnotereferencecharacter">
    <w:name w:val="Footnote reference character"/>
    <w:basedOn w:val="Normal"/>
    <w:next w:val="Normal"/>
    <w:link w:val="FootnoteReference"/>
    <w:uiPriority w:val="99"/>
    <w:rsid w:val="00037AFB"/>
    <w:pPr>
      <w:spacing w:line="264" w:lineRule="auto"/>
      <w:jc w:val="both"/>
    </w:pPr>
    <w:rPr>
      <w:vertAlign w:val="superscript"/>
    </w:rPr>
  </w:style>
  <w:style w:type="paragraph" w:customStyle="1" w:styleId="Bodytextparanumbers">
    <w:name w:val="Body text.para numbers"/>
    <w:basedOn w:val="Normal"/>
    <w:qFormat/>
    <w:rsid w:val="00450311"/>
    <w:pPr>
      <w:numPr>
        <w:numId w:val="7"/>
      </w:numPr>
      <w:spacing w:before="240" w:after="0" w:line="252" w:lineRule="auto"/>
      <w:ind w:left="0" w:firstLine="0"/>
      <w:jc w:val="both"/>
    </w:pPr>
    <w:rPr>
      <w:rFonts w:ascii="Times New Roman" w:eastAsia="Times New Roman" w:hAnsi="Times New Roman" w:cs="Times New Roman"/>
      <w:bCs/>
      <w:iCs/>
      <w:sz w:val="24"/>
    </w:rPr>
  </w:style>
  <w:style w:type="paragraph" w:customStyle="1" w:styleId="BVIfnrCarattereCarZchnChar">
    <w:name w:val="BVI fnr Carattere Car Zchn Char"/>
    <w:aliases w:val="BVI fnr Car Car Car Car Carattere Car Zchn Char,BVI fnr Car Car Carattere Car Zchn Char,BVI fnr Car Carattere Car Zchn Char,BVI fnr Carattere Car Char"/>
    <w:basedOn w:val="Normal"/>
    <w:uiPriority w:val="99"/>
    <w:rsid w:val="00CF1E90"/>
    <w:pPr>
      <w:spacing w:line="240" w:lineRule="exact"/>
    </w:pPr>
    <w:rPr>
      <w:vertAlign w:val="superscript"/>
    </w:rPr>
  </w:style>
  <w:style w:type="table" w:styleId="PlainTable4">
    <w:name w:val="Plain Table 4"/>
    <w:basedOn w:val="TableNormal"/>
    <w:uiPriority w:val="44"/>
    <w:rsid w:val="004A562A"/>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7834FE"/>
  </w:style>
  <w:style w:type="character" w:customStyle="1" w:styleId="Heading5Char">
    <w:name w:val="Heading 5 Char"/>
    <w:basedOn w:val="DefaultParagraphFont"/>
    <w:link w:val="Heading5"/>
    <w:uiPriority w:val="9"/>
    <w:semiHidden/>
    <w:rsid w:val="008A5E08"/>
    <w:rPr>
      <w:rFonts w:asciiTheme="majorHAnsi" w:eastAsiaTheme="majorEastAsia" w:hAnsiTheme="majorHAnsi" w:cstheme="majorBidi"/>
      <w:color w:val="2F5496" w:themeColor="accent1" w:themeShade="BF"/>
      <w:lang w:eastAsia="ja-JP"/>
    </w:rPr>
  </w:style>
  <w:style w:type="character" w:customStyle="1" w:styleId="Heading6Char">
    <w:name w:val="Heading 6 Char"/>
    <w:basedOn w:val="DefaultParagraphFont"/>
    <w:link w:val="Heading6"/>
    <w:uiPriority w:val="9"/>
    <w:semiHidden/>
    <w:rsid w:val="008A5E08"/>
    <w:rPr>
      <w:rFonts w:asciiTheme="majorHAnsi" w:eastAsiaTheme="majorEastAsia" w:hAnsiTheme="majorHAnsi" w:cstheme="majorBidi"/>
      <w:color w:val="1F3763" w:themeColor="accent1" w:themeShade="7F"/>
      <w:lang w:eastAsia="ja-JP"/>
    </w:rPr>
  </w:style>
  <w:style w:type="character" w:customStyle="1" w:styleId="Heading7Char">
    <w:name w:val="Heading 7 Char"/>
    <w:basedOn w:val="DefaultParagraphFont"/>
    <w:link w:val="Heading7"/>
    <w:uiPriority w:val="9"/>
    <w:semiHidden/>
    <w:rsid w:val="008A5E08"/>
    <w:rPr>
      <w:rFonts w:asciiTheme="majorHAnsi" w:eastAsiaTheme="majorEastAsia" w:hAnsiTheme="majorHAnsi" w:cstheme="majorBidi"/>
      <w:i/>
      <w:iCs/>
      <w:color w:val="1F3763" w:themeColor="accent1" w:themeShade="7F"/>
      <w:lang w:eastAsia="ja-JP"/>
    </w:rPr>
  </w:style>
  <w:style w:type="character" w:customStyle="1" w:styleId="Heading8Char">
    <w:name w:val="Heading 8 Char"/>
    <w:basedOn w:val="DefaultParagraphFont"/>
    <w:link w:val="Heading8"/>
    <w:uiPriority w:val="9"/>
    <w:semiHidden/>
    <w:rsid w:val="008A5E08"/>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8A5E08"/>
    <w:rPr>
      <w:rFonts w:asciiTheme="majorHAnsi" w:eastAsiaTheme="majorEastAsia" w:hAnsiTheme="majorHAnsi" w:cstheme="majorBidi"/>
      <w:i/>
      <w:iCs/>
      <w:color w:val="272727" w:themeColor="text1" w:themeTint="D8"/>
      <w:sz w:val="21"/>
      <w:szCs w:val="21"/>
      <w:lang w:eastAsia="ja-JP"/>
    </w:rPr>
  </w:style>
  <w:style w:type="numbering" w:customStyle="1" w:styleId="NoList1">
    <w:name w:val="No List1"/>
    <w:next w:val="NoList"/>
    <w:uiPriority w:val="99"/>
    <w:semiHidden/>
    <w:unhideWhenUsed/>
    <w:rsid w:val="008A5E08"/>
  </w:style>
  <w:style w:type="character" w:styleId="IntenseReference">
    <w:name w:val="Intense Reference"/>
    <w:basedOn w:val="DefaultParagraphFont"/>
    <w:uiPriority w:val="32"/>
    <w:qFormat/>
    <w:rsid w:val="008A5E08"/>
    <w:rPr>
      <w:b/>
      <w:bCs/>
      <w:smallCaps/>
      <w:color w:val="4472C4" w:themeColor="accent1"/>
      <w:spacing w:val="5"/>
    </w:rPr>
  </w:style>
  <w:style w:type="paragraph" w:styleId="NormalWeb">
    <w:name w:val="Normal (Web)"/>
    <w:basedOn w:val="Normal"/>
    <w:uiPriority w:val="99"/>
    <w:unhideWhenUsed/>
    <w:rsid w:val="008A5E08"/>
    <w:pPr>
      <w:spacing w:before="100" w:beforeAutospacing="1" w:after="100" w:afterAutospacing="1" w:line="240" w:lineRule="auto"/>
    </w:pPr>
    <w:rPr>
      <w:rFonts w:ascii="Wingdings" w:eastAsia="Wingdings" w:hAnsi="Wingdings" w:cs="Wingdings"/>
      <w:sz w:val="24"/>
      <w:szCs w:val="24"/>
      <w:lang w:eastAsia="ja-JP"/>
    </w:rPr>
  </w:style>
  <w:style w:type="paragraph" w:styleId="IntenseQuote">
    <w:name w:val="Intense Quote"/>
    <w:basedOn w:val="Normal"/>
    <w:next w:val="Normal"/>
    <w:link w:val="IntenseQuoteChar"/>
    <w:uiPriority w:val="30"/>
    <w:qFormat/>
    <w:rsid w:val="008A5E08"/>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lang w:eastAsia="ja-JP"/>
    </w:rPr>
  </w:style>
  <w:style w:type="character" w:customStyle="1" w:styleId="IntenseQuoteChar">
    <w:name w:val="Intense Quote Char"/>
    <w:basedOn w:val="DefaultParagraphFont"/>
    <w:link w:val="IntenseQuote"/>
    <w:uiPriority w:val="30"/>
    <w:rsid w:val="008A5E08"/>
    <w:rPr>
      <w:rFonts w:eastAsiaTheme="minorEastAsia"/>
      <w:i/>
      <w:iCs/>
      <w:color w:val="4472C4" w:themeColor="accent1"/>
      <w:lang w:eastAsia="ja-JP"/>
    </w:rPr>
  </w:style>
  <w:style w:type="character" w:styleId="Hyperlink">
    <w:name w:val="Hyperlink"/>
    <w:basedOn w:val="DefaultParagraphFont"/>
    <w:uiPriority w:val="99"/>
    <w:unhideWhenUsed/>
    <w:rsid w:val="008A5E08"/>
    <w:rPr>
      <w:color w:val="0000FF"/>
      <w:u w:val="single"/>
    </w:rPr>
  </w:style>
  <w:style w:type="character" w:styleId="PageNumber">
    <w:name w:val="page number"/>
    <w:basedOn w:val="DefaultParagraphFont"/>
    <w:uiPriority w:val="99"/>
    <w:semiHidden/>
    <w:unhideWhenUsed/>
    <w:rsid w:val="008A5E08"/>
  </w:style>
  <w:style w:type="character" w:styleId="UnresolvedMention">
    <w:name w:val="Unresolved Mention"/>
    <w:basedOn w:val="DefaultParagraphFont"/>
    <w:uiPriority w:val="99"/>
    <w:unhideWhenUsed/>
    <w:rsid w:val="008A5E08"/>
    <w:rPr>
      <w:color w:val="605E5C"/>
      <w:shd w:val="clear" w:color="auto" w:fill="E1DFDD"/>
    </w:rPr>
  </w:style>
  <w:style w:type="paragraph" w:styleId="EndnoteText">
    <w:name w:val="endnote text"/>
    <w:basedOn w:val="Normal"/>
    <w:link w:val="EndnoteTextChar"/>
    <w:uiPriority w:val="99"/>
    <w:semiHidden/>
    <w:unhideWhenUsed/>
    <w:rsid w:val="008A5E08"/>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
    <w:uiPriority w:val="99"/>
    <w:semiHidden/>
    <w:rsid w:val="008A5E08"/>
    <w:rPr>
      <w:rFonts w:eastAsiaTheme="minorEastAsia"/>
      <w:sz w:val="20"/>
      <w:szCs w:val="20"/>
      <w:lang w:eastAsia="ja-JP"/>
    </w:rPr>
  </w:style>
  <w:style w:type="character" w:styleId="EndnoteReference">
    <w:name w:val="endnote reference"/>
    <w:basedOn w:val="DefaultParagraphFont"/>
    <w:uiPriority w:val="99"/>
    <w:semiHidden/>
    <w:unhideWhenUsed/>
    <w:rsid w:val="008A5E08"/>
    <w:rPr>
      <w:vertAlign w:val="superscript"/>
    </w:rPr>
  </w:style>
  <w:style w:type="character" w:customStyle="1" w:styleId="normaltextrun">
    <w:name w:val="normaltextrun"/>
    <w:basedOn w:val="DefaultParagraphFont"/>
    <w:rsid w:val="008A5E08"/>
  </w:style>
  <w:style w:type="character" w:customStyle="1" w:styleId="eop">
    <w:name w:val="eop"/>
    <w:basedOn w:val="DefaultParagraphFont"/>
    <w:rsid w:val="008A5E08"/>
  </w:style>
  <w:style w:type="paragraph" w:customStyle="1" w:styleId="EndNoteBibliographyTitle">
    <w:name w:val="EndNote Bibliography Title"/>
    <w:basedOn w:val="Normal"/>
    <w:link w:val="EndNoteBibliographyTitleChar"/>
    <w:rsid w:val="008A5E08"/>
    <w:pPr>
      <w:spacing w:after="0"/>
      <w:jc w:val="center"/>
    </w:pPr>
    <w:rPr>
      <w:rFonts w:ascii="Courier New" w:eastAsiaTheme="minorEastAsia" w:hAnsi="Courier New" w:cs="Courier New"/>
      <w:sz w:val="20"/>
      <w:szCs w:val="20"/>
      <w:lang w:eastAsia="ja-JP"/>
    </w:rPr>
  </w:style>
  <w:style w:type="character" w:customStyle="1" w:styleId="EndNoteBibliographyTitleChar">
    <w:name w:val="EndNote Bibliography Title Char"/>
    <w:basedOn w:val="EndnoteTextChar"/>
    <w:link w:val="EndNoteBibliographyTitle"/>
    <w:rsid w:val="008A5E08"/>
    <w:rPr>
      <w:rFonts w:ascii="Courier New" w:eastAsiaTheme="minorEastAsia" w:hAnsi="Courier New" w:cs="Courier New"/>
      <w:sz w:val="20"/>
      <w:szCs w:val="20"/>
      <w:lang w:eastAsia="ja-JP"/>
    </w:rPr>
  </w:style>
  <w:style w:type="paragraph" w:customStyle="1" w:styleId="EndNoteBibliography">
    <w:name w:val="EndNote Bibliography"/>
    <w:basedOn w:val="Normal"/>
    <w:link w:val="EndNoteBibliographyChar"/>
    <w:rsid w:val="008A5E08"/>
    <w:pPr>
      <w:spacing w:line="240" w:lineRule="auto"/>
      <w:jc w:val="both"/>
    </w:pPr>
    <w:rPr>
      <w:rFonts w:ascii="Courier New" w:eastAsiaTheme="minorEastAsia" w:hAnsi="Courier New" w:cs="Courier New"/>
      <w:sz w:val="20"/>
      <w:szCs w:val="20"/>
      <w:lang w:eastAsia="ja-JP"/>
    </w:rPr>
  </w:style>
  <w:style w:type="character" w:customStyle="1" w:styleId="EndNoteBibliographyChar">
    <w:name w:val="EndNote Bibliography Char"/>
    <w:basedOn w:val="EndnoteTextChar"/>
    <w:link w:val="EndNoteBibliography"/>
    <w:rsid w:val="008A5E08"/>
    <w:rPr>
      <w:rFonts w:ascii="Courier New" w:eastAsiaTheme="minorEastAsia" w:hAnsi="Courier New" w:cs="Courier New"/>
      <w:sz w:val="20"/>
      <w:szCs w:val="20"/>
      <w:lang w:eastAsia="ja-JP"/>
    </w:rPr>
  </w:style>
  <w:style w:type="paragraph" w:customStyle="1" w:styleId="paragraph">
    <w:name w:val="paragraph"/>
    <w:basedOn w:val="Normal"/>
    <w:rsid w:val="008A5E08"/>
    <w:pPr>
      <w:spacing w:before="100" w:beforeAutospacing="1" w:after="100" w:afterAutospacing="1" w:line="240" w:lineRule="auto"/>
    </w:pPr>
    <w:rPr>
      <w:rFonts w:ascii="Wingdings" w:eastAsia="Wingdings" w:hAnsi="Wingdings" w:cs="Wingdings"/>
      <w:sz w:val="24"/>
      <w:szCs w:val="24"/>
    </w:rPr>
  </w:style>
  <w:style w:type="character" w:styleId="FollowedHyperlink">
    <w:name w:val="FollowedHyperlink"/>
    <w:basedOn w:val="DefaultParagraphFont"/>
    <w:uiPriority w:val="99"/>
    <w:semiHidden/>
    <w:unhideWhenUsed/>
    <w:rsid w:val="008A5E08"/>
    <w:rPr>
      <w:color w:val="954F72" w:themeColor="followedHyperlink"/>
      <w:u w:val="single"/>
    </w:rPr>
  </w:style>
  <w:style w:type="character" w:styleId="Strong">
    <w:name w:val="Strong"/>
    <w:basedOn w:val="DefaultParagraphFont"/>
    <w:uiPriority w:val="22"/>
    <w:qFormat/>
    <w:rsid w:val="008A5E08"/>
    <w:rPr>
      <w:b/>
      <w:bCs/>
    </w:rPr>
  </w:style>
  <w:style w:type="character" w:styleId="Mention">
    <w:name w:val="Mention"/>
    <w:basedOn w:val="DefaultParagraphFont"/>
    <w:uiPriority w:val="99"/>
    <w:unhideWhenUsed/>
    <w:rsid w:val="008A5E08"/>
    <w:rPr>
      <w:color w:val="2B579A"/>
      <w:shd w:val="clear" w:color="auto" w:fill="E1DFDD"/>
    </w:rPr>
  </w:style>
  <w:style w:type="table" w:customStyle="1" w:styleId="TableGrid2">
    <w:name w:val="Table Grid2"/>
    <w:basedOn w:val="TableNormal"/>
    <w:next w:val="TableGrid"/>
    <w:uiPriority w:val="39"/>
    <w:rsid w:val="008A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4410D"/>
    <w:pPr>
      <w:outlineLvl w:val="9"/>
    </w:pPr>
  </w:style>
  <w:style w:type="paragraph" w:styleId="TableofFigures">
    <w:name w:val="table of figures"/>
    <w:basedOn w:val="Normal"/>
    <w:next w:val="Normal"/>
    <w:uiPriority w:val="99"/>
    <w:unhideWhenUsed/>
    <w:rsid w:val="0054410D"/>
    <w:pPr>
      <w:spacing w:after="0"/>
    </w:pPr>
  </w:style>
  <w:style w:type="paragraph" w:styleId="TOC1">
    <w:name w:val="toc 1"/>
    <w:basedOn w:val="Normal"/>
    <w:next w:val="Normal"/>
    <w:autoRedefine/>
    <w:uiPriority w:val="39"/>
    <w:unhideWhenUsed/>
    <w:rsid w:val="0054410D"/>
    <w:pPr>
      <w:spacing w:after="100"/>
    </w:pPr>
  </w:style>
  <w:style w:type="paragraph" w:styleId="TOC2">
    <w:name w:val="toc 2"/>
    <w:basedOn w:val="Normal"/>
    <w:next w:val="Normal"/>
    <w:autoRedefine/>
    <w:uiPriority w:val="39"/>
    <w:unhideWhenUsed/>
    <w:rsid w:val="0054410D"/>
    <w:pPr>
      <w:spacing w:after="100"/>
      <w:ind w:left="220"/>
    </w:pPr>
  </w:style>
  <w:style w:type="paragraph" w:styleId="TOC3">
    <w:name w:val="toc 3"/>
    <w:basedOn w:val="Normal"/>
    <w:next w:val="Normal"/>
    <w:autoRedefine/>
    <w:uiPriority w:val="39"/>
    <w:unhideWhenUsed/>
    <w:rsid w:val="0054410D"/>
    <w:pPr>
      <w:spacing w:after="100"/>
      <w:ind w:left="440"/>
    </w:pPr>
  </w:style>
  <w:style w:type="character" w:customStyle="1" w:styleId="CaptionChar">
    <w:name w:val="Caption Char"/>
    <w:aliases w:val="Caption (HYDROC) Char"/>
    <w:link w:val="Caption"/>
    <w:uiPriority w:val="35"/>
    <w:locked/>
    <w:rsid w:val="00E4052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89353">
      <w:bodyDiv w:val="1"/>
      <w:marLeft w:val="0"/>
      <w:marRight w:val="0"/>
      <w:marTop w:val="0"/>
      <w:marBottom w:val="0"/>
      <w:divBdr>
        <w:top w:val="none" w:sz="0" w:space="0" w:color="auto"/>
        <w:left w:val="none" w:sz="0" w:space="0" w:color="auto"/>
        <w:bottom w:val="none" w:sz="0" w:space="0" w:color="auto"/>
        <w:right w:val="none" w:sz="0" w:space="0" w:color="auto"/>
      </w:divBdr>
    </w:div>
    <w:div w:id="496846712">
      <w:bodyDiv w:val="1"/>
      <w:marLeft w:val="0"/>
      <w:marRight w:val="0"/>
      <w:marTop w:val="0"/>
      <w:marBottom w:val="0"/>
      <w:divBdr>
        <w:top w:val="none" w:sz="0" w:space="0" w:color="auto"/>
        <w:left w:val="none" w:sz="0" w:space="0" w:color="auto"/>
        <w:bottom w:val="none" w:sz="0" w:space="0" w:color="auto"/>
        <w:right w:val="none" w:sz="0" w:space="0" w:color="auto"/>
      </w:divBdr>
    </w:div>
    <w:div w:id="650403277">
      <w:bodyDiv w:val="1"/>
      <w:marLeft w:val="0"/>
      <w:marRight w:val="0"/>
      <w:marTop w:val="0"/>
      <w:marBottom w:val="0"/>
      <w:divBdr>
        <w:top w:val="none" w:sz="0" w:space="0" w:color="auto"/>
        <w:left w:val="none" w:sz="0" w:space="0" w:color="auto"/>
        <w:bottom w:val="none" w:sz="0" w:space="0" w:color="auto"/>
        <w:right w:val="none" w:sz="0" w:space="0" w:color="auto"/>
      </w:divBdr>
    </w:div>
    <w:div w:id="825320490">
      <w:bodyDiv w:val="1"/>
      <w:marLeft w:val="0"/>
      <w:marRight w:val="0"/>
      <w:marTop w:val="0"/>
      <w:marBottom w:val="0"/>
      <w:divBdr>
        <w:top w:val="none" w:sz="0" w:space="0" w:color="auto"/>
        <w:left w:val="none" w:sz="0" w:space="0" w:color="auto"/>
        <w:bottom w:val="none" w:sz="0" w:space="0" w:color="auto"/>
        <w:right w:val="none" w:sz="0" w:space="0" w:color="auto"/>
      </w:divBdr>
    </w:div>
    <w:div w:id="1515337288">
      <w:bodyDiv w:val="1"/>
      <w:marLeft w:val="0"/>
      <w:marRight w:val="0"/>
      <w:marTop w:val="0"/>
      <w:marBottom w:val="0"/>
      <w:divBdr>
        <w:top w:val="none" w:sz="0" w:space="0" w:color="auto"/>
        <w:left w:val="none" w:sz="0" w:space="0" w:color="auto"/>
        <w:bottom w:val="none" w:sz="0" w:space="0" w:color="auto"/>
        <w:right w:val="none" w:sz="0" w:space="0" w:color="auto"/>
      </w:divBdr>
    </w:div>
    <w:div w:id="1570577695">
      <w:bodyDiv w:val="1"/>
      <w:marLeft w:val="0"/>
      <w:marRight w:val="0"/>
      <w:marTop w:val="0"/>
      <w:marBottom w:val="0"/>
      <w:divBdr>
        <w:top w:val="none" w:sz="0" w:space="0" w:color="auto"/>
        <w:left w:val="none" w:sz="0" w:space="0" w:color="auto"/>
        <w:bottom w:val="none" w:sz="0" w:space="0" w:color="auto"/>
        <w:right w:val="none" w:sz="0" w:space="0" w:color="auto"/>
      </w:divBdr>
    </w:div>
    <w:div w:id="1788307087">
      <w:bodyDiv w:val="1"/>
      <w:marLeft w:val="0"/>
      <w:marRight w:val="0"/>
      <w:marTop w:val="0"/>
      <w:marBottom w:val="0"/>
      <w:divBdr>
        <w:top w:val="none" w:sz="0" w:space="0" w:color="auto"/>
        <w:left w:val="none" w:sz="0" w:space="0" w:color="auto"/>
        <w:bottom w:val="none" w:sz="0" w:space="0" w:color="auto"/>
        <w:right w:val="none" w:sz="0" w:space="0" w:color="auto"/>
      </w:divBdr>
    </w:div>
    <w:div w:id="205437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0.xml"/><Relationship Id="rId11" Type="http://schemas.openxmlformats.org/officeDocument/2006/relationships/footnotes" Target="footnotes.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microsoft.com/office/2014/relationships/chartEx" Target="charts/chartEx1.xml"/><Relationship Id="rId58" Type="http://schemas.openxmlformats.org/officeDocument/2006/relationships/chart" Target="charts/chart32.xml"/><Relationship Id="rId66" Type="http://schemas.openxmlformats.org/officeDocument/2006/relationships/image" Target="media/image9.emf"/><Relationship Id="rId5" Type="http://schemas.openxmlformats.org/officeDocument/2006/relationships/customXml" Target="../customXml/item5.xml"/><Relationship Id="rId61" Type="http://schemas.openxmlformats.org/officeDocument/2006/relationships/hyperlink" Target="http://www.who.int/healthsystems/strategy/everybodys_business.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yperlink" Target="https://vizhub.healthdata.org/gbd-compare/" TargetMode="External"/><Relationship Id="rId64" Type="http://schemas.openxmlformats.org/officeDocument/2006/relationships/image" Target="media/image8.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chart" Target="charts/chart3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3.xml"/><Relationship Id="rId67" Type="http://schemas.openxmlformats.org/officeDocument/2006/relationships/image" Target="media/image10.png"/><Relationship Id="rId20" Type="http://schemas.openxmlformats.org/officeDocument/2006/relationships/chart" Target="charts/chart1.xml"/><Relationship Id="rId41" Type="http://schemas.openxmlformats.org/officeDocument/2006/relationships/chart" Target="charts/chart21.xml"/><Relationship Id="rId54" Type="http://schemas.openxmlformats.org/officeDocument/2006/relationships/image" Target="media/image5.png"/><Relationship Id="rId62"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image" Target="media/image3.emf"/><Relationship Id="rId57" Type="http://schemas.openxmlformats.org/officeDocument/2006/relationships/chart" Target="charts/chart31.xml"/><Relationship Id="rId10" Type="http://schemas.openxmlformats.org/officeDocument/2006/relationships/webSettings" Target="webSettings.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image" Target="media/image4.emf"/><Relationship Id="rId60" Type="http://schemas.openxmlformats.org/officeDocument/2006/relationships/image" Target="media/image7.emf"/><Relationship Id="rId65" Type="http://schemas.openxmlformats.org/officeDocument/2006/relationships/chart" Target="charts/chart3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chart" Target="charts/chart19.xml"/><Relationship Id="rId34" Type="http://schemas.openxmlformats.org/officeDocument/2006/relationships/image" Target="media/image2.png"/><Relationship Id="rId50" Type="http://schemas.openxmlformats.org/officeDocument/2006/relationships/chart" Target="charts/chart29.xml"/><Relationship Id="rId55"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blogs.worldbank.org/africacan/to-build-human-capital-prioritize-womens-empowerment" TargetMode="External"/><Relationship Id="rId1" Type="http://schemas.openxmlformats.org/officeDocument/2006/relationships/hyperlink" Target="https://www.imf.org/external/pubs/ft/fandd/2017/09/pdf/bloo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omalia\Bank%20Activities\Economic%20Updates\SEU6\Drafts\Somalia%20covid.20210403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worldbankgroup-my.sharepoint.com/personal/cngumbau_worldbank_org/Documents/Documents/World%20Bank/Somalia/Economic%20Notes/SEU%206/Data%20files/SOM-Inflation-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b385545\AppData\Local\Microsoft\Windows\INetCache\Content.Outlook\YYSF8X0A\inflation%20contribution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USER\Desktop\LHASSA_DOCS\Wave2_Comparative_graphs_F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USER\Desktop\LHASSA_DOCS\Wave%202%20Graphs_Brief_Report\Wave2_Comparative_graphs_F1_Revised.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wb385545\AppData\Local\Microsoft\Windows\INetCache\Content.Outlook\YYSF8X0A\Commercial%20Banks%20Data%20December%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wb385545\AppData\Local\Microsoft\Windows\INetCache\Content.Outlook\YYSF8X0A\Commercial%20Banks%20Data%20December%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worldbankgroup-my.sharepoint.com/personal/cngumbau_worldbank_org/Documents/Documents/World%20Bank/Somalia/Economic%20Notes/SEU%206/Data%20files/SOM-inflation-202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worldbankgroup-my.sharepoint.com/personal/cngumbau_worldbank_org/Documents/Documents/World%20Bank/Somalia/Economic%20Notes/SEU%206/Data%20files/Trade%20Summary%20(Jan%20-Dec2020)%20updat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worldbankgroup-my.sharepoint.com/personal/cngumbau_worldbank_org/Documents/Documents/World%20Bank/Somalia/Economic%20Notes/SEU%206/Data%20files/Trade%20Summary%20(Jan%20-Dec2020)%20update.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U:\Somalia\Bank%20Activities\Economic%20Updates\SEU6\Drafts\Fiscal%20tabl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worldbankgroup-my.sharepoint.com/personal/cngumbau_worldbank_org/Documents/Documents/World%20Bank/Somalia/Economic%20Notes/SEU%206/Data%20files/growth%20figure.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U:\Somalia\Bank%20Activities\Economic%20Updates\SEU6\Drafts\Fiscal%20tabl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worldbankgroup-my.sharepoint.com/personal/cngumbau_worldbank_org/Documents/Documents/World%20Bank/Somalia/PER/Fiscal/FGS/FGS%20Revenue-Expenditure_2017-1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worldbankgroup-my.sharepoint.com/personal/cngumbau_worldbank_org/Documents/Documents/World%20Bank/Somalia/PER/Fiscal/FGS/FGS%20Revenue-Expenditure_2017-19.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worldbankgroup-my.sharepoint.com/personal/cngumbau_worldbank_org/Documents/Documents/World%20Bank/Somalia/PER/Fiscal/Somalia%20Consolidated%20Fiscal%20Table%20-%20Mar.%20202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worldbankgroup-my.sharepoint.com/personal/cngumbau_worldbank_org/Documents/Documents/World%20Bank/Somalia/PER/Fiscal/Somalia%20Consolidated%20Fiscal%20Table%20-%20Mar.%20202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worldbankgroup-my.sharepoint.com/personal/cngumbau_worldbank_org/Documents/Documents/World%20Bank/Somalia/PER/Fiscal/FGS/Budget%202021/FGS%202021%20Budget%20Analysis-Feb.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worldbankgroup-my.sharepoint.com/personal/cngumbau_worldbank_org/Documents/Documents/World%20Bank/Somalia/PER/Fiscal/FGS/Budget%202021/FGS%202021%20Budget%20Analysis-Feb.2.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2.xml"/><Relationship Id="rId4" Type="http://schemas.openxmlformats.org/officeDocument/2006/relationships/oleObject" Target="file:///C:\Users\wb385545\OneDrive%20-%20WBG\Documents\World%20Bank\Somalia\PER\Fiscal\FGS\Budget%202021\FGS%202021%20Budget%20Analysis-Feb.2.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worldbankgroup-my.sharepoint.com/personal/cngumbau_worldbank_org/Documents/Documents/World%20Bank/Somalia/Economic%20Notes/SEU%206/Data%20files/SEU6%20Workbook-Apr.2021.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wb191874\pschuler\Documents\Somalia\Bank%20Activities\Economic%20Updates\SEU6\Figure%203.Fertility%20rat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b385545\AppData\Local\Microsoft\Windows\INetCache\Content.Outlook\YYSF8X0A\Charts%20for%20Part%201.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sers\salimnuhu\Dropbox\World%20Bank%20Work%20Documents\SEU%20Prep\SEU-Data-analytic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sers\salimnuhu\Dropbox\World%20Bank%20Work%20Documents\SEU%20Prep\SEU-Data-analytic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Users\salimnuhu\Dropbox\World%20Bank%20Work%20Documents\SEU%20Prep\SHDS%20priority%20indicators-WB-State-Level.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Users\salimnuhu\Dropbox\World%20Bank%20Work%20Documents\SEU%20Prep\SEU-Data-analytics.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U:\Somalia\Bank%20Activities\Economic%20Updates\SEU6\Health%20fiscal%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Users\salimnuhu\Dropbox\World%20Bank%20Work%20Documents\SEU%20Prep\SEU-Data-analytics.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d.docs.live.net/2ff833abbb396454/Work/consultancies/World%20Bank/Somalia%20EPHS/Somalia%20RMET/2020%20Somalia%20RMET%20summary%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worldbankgroup-my.sharepoint.com/personal/cngumbau_worldbank_org/Documents/Documents/World%20Bank/Somalia/Economic%20Notes/SEU%206/Data%20files/Commercial%20Banks%20Data%20December%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worldbankgroup-my.sharepoint.com/personal/cngumbau_worldbank_org/Documents/Documents/World%20Bank/Somalia/Economic%20Notes/SEU%206/Data%20files/Commercial%20Banks%20Data%20December%20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worldbankgroup-my.sharepoint.com/personal/cngumbau_worldbank_org/Documents/Documents/World%20Bank/Somalia/Economic%20Notes/SEU%206/Data%20files/Commercial%20Banks%20Data%20December%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wb385545\AppData\Local\Microsoft\Windows\INetCache\Content.Outlook\YYSF8X0A\Commercial%20Banks%20Data%20December%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worldbankgroup-my.sharepoint.com/personal/cngumbau_worldbank_org/Documents/Documents/World%20Bank/Somalia/Economic%20Notes/SEU%206/Data%20files/SOM-Inflation-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worldbankgroup-my.sharepoint.com/personal/cngumbau_worldbank_org/Documents/Documents/World%20Bank/Somalia/Economic%20Notes/SEU%206/Data%20files/SOM-Inflation-2021.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Users\salimnuhu\Dropbox\World%20Bank%20Work%20Documents\PAD%20Docs%20CBA\disease-burden-somalia-recent.xlsx" TargetMode="External"/><Relationship Id="rId4" Type="http://schemas.openxmlformats.org/officeDocument/2006/relationships/themeOverride" Target="../theme/themeOverride2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Daily new cases (left axis)</c:v>
          </c:tx>
          <c:spPr>
            <a:solidFill>
              <a:schemeClr val="accent1">
                <a:lumMod val="60000"/>
                <a:lumOff val="40000"/>
              </a:schemeClr>
            </a:solidFill>
            <a:ln>
              <a:noFill/>
            </a:ln>
            <a:effectLst/>
          </c:spPr>
          <c:invertIfNegative val="0"/>
          <c:dPt>
            <c:idx val="40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FA1B-4147-8CBF-AE9FAA6E8AFA}"/>
              </c:ext>
            </c:extLst>
          </c:dPt>
          <c:cat>
            <c:numRef>
              <c:f>data!$D$2:$D$412</c:f>
              <c:numCache>
                <c:formatCode>yyyy\-mm\-dd;@</c:formatCode>
                <c:ptCount val="411"/>
                <c:pt idx="0">
                  <c:v>43906</c:v>
                </c:pt>
                <c:pt idx="1">
                  <c:v>43907</c:v>
                </c:pt>
                <c:pt idx="2">
                  <c:v>43908</c:v>
                </c:pt>
                <c:pt idx="3">
                  <c:v>43909</c:v>
                </c:pt>
                <c:pt idx="4">
                  <c:v>43910</c:v>
                </c:pt>
                <c:pt idx="5">
                  <c:v>43911</c:v>
                </c:pt>
                <c:pt idx="6">
                  <c:v>43912</c:v>
                </c:pt>
                <c:pt idx="7">
                  <c:v>43913</c:v>
                </c:pt>
                <c:pt idx="8">
                  <c:v>43914</c:v>
                </c:pt>
                <c:pt idx="9">
                  <c:v>43915</c:v>
                </c:pt>
                <c:pt idx="10">
                  <c:v>43916</c:v>
                </c:pt>
                <c:pt idx="11">
                  <c:v>43917</c:v>
                </c:pt>
                <c:pt idx="12">
                  <c:v>43918</c:v>
                </c:pt>
                <c:pt idx="13">
                  <c:v>43919</c:v>
                </c:pt>
                <c:pt idx="14">
                  <c:v>43920</c:v>
                </c:pt>
                <c:pt idx="15">
                  <c:v>43921</c:v>
                </c:pt>
                <c:pt idx="16">
                  <c:v>43922</c:v>
                </c:pt>
                <c:pt idx="17">
                  <c:v>43923</c:v>
                </c:pt>
                <c:pt idx="18">
                  <c:v>43924</c:v>
                </c:pt>
                <c:pt idx="19">
                  <c:v>43925</c:v>
                </c:pt>
                <c:pt idx="20">
                  <c:v>43926</c:v>
                </c:pt>
                <c:pt idx="21">
                  <c:v>43927</c:v>
                </c:pt>
                <c:pt idx="22">
                  <c:v>43928</c:v>
                </c:pt>
                <c:pt idx="23">
                  <c:v>43929</c:v>
                </c:pt>
                <c:pt idx="24">
                  <c:v>43930</c:v>
                </c:pt>
                <c:pt idx="25">
                  <c:v>43931</c:v>
                </c:pt>
                <c:pt idx="26">
                  <c:v>43932</c:v>
                </c:pt>
                <c:pt idx="27">
                  <c:v>43933</c:v>
                </c:pt>
                <c:pt idx="28">
                  <c:v>43934</c:v>
                </c:pt>
                <c:pt idx="29">
                  <c:v>43935</c:v>
                </c:pt>
                <c:pt idx="30">
                  <c:v>43936</c:v>
                </c:pt>
                <c:pt idx="31">
                  <c:v>43937</c:v>
                </c:pt>
                <c:pt idx="32">
                  <c:v>43938</c:v>
                </c:pt>
                <c:pt idx="33">
                  <c:v>43939</c:v>
                </c:pt>
                <c:pt idx="34">
                  <c:v>43940</c:v>
                </c:pt>
                <c:pt idx="35">
                  <c:v>43941</c:v>
                </c:pt>
                <c:pt idx="36">
                  <c:v>43942</c:v>
                </c:pt>
                <c:pt idx="37">
                  <c:v>43943</c:v>
                </c:pt>
                <c:pt idx="38">
                  <c:v>43944</c:v>
                </c:pt>
                <c:pt idx="39">
                  <c:v>43945</c:v>
                </c:pt>
                <c:pt idx="40">
                  <c:v>43946</c:v>
                </c:pt>
                <c:pt idx="41">
                  <c:v>43947</c:v>
                </c:pt>
                <c:pt idx="42">
                  <c:v>43948</c:v>
                </c:pt>
                <c:pt idx="43">
                  <c:v>43949</c:v>
                </c:pt>
                <c:pt idx="44">
                  <c:v>43950</c:v>
                </c:pt>
                <c:pt idx="45">
                  <c:v>43951</c:v>
                </c:pt>
                <c:pt idx="46">
                  <c:v>43952</c:v>
                </c:pt>
                <c:pt idx="47">
                  <c:v>43953</c:v>
                </c:pt>
                <c:pt idx="48">
                  <c:v>43954</c:v>
                </c:pt>
                <c:pt idx="49">
                  <c:v>43955</c:v>
                </c:pt>
                <c:pt idx="50">
                  <c:v>43956</c:v>
                </c:pt>
                <c:pt idx="51">
                  <c:v>43957</c:v>
                </c:pt>
                <c:pt idx="52">
                  <c:v>43958</c:v>
                </c:pt>
                <c:pt idx="53">
                  <c:v>43959</c:v>
                </c:pt>
                <c:pt idx="54">
                  <c:v>43960</c:v>
                </c:pt>
                <c:pt idx="55">
                  <c:v>43961</c:v>
                </c:pt>
                <c:pt idx="56">
                  <c:v>43962</c:v>
                </c:pt>
                <c:pt idx="57">
                  <c:v>43963</c:v>
                </c:pt>
                <c:pt idx="58">
                  <c:v>43964</c:v>
                </c:pt>
                <c:pt idx="59">
                  <c:v>43965</c:v>
                </c:pt>
                <c:pt idx="60">
                  <c:v>43966</c:v>
                </c:pt>
                <c:pt idx="61">
                  <c:v>43967</c:v>
                </c:pt>
                <c:pt idx="62">
                  <c:v>43968</c:v>
                </c:pt>
                <c:pt idx="63">
                  <c:v>43969</c:v>
                </c:pt>
                <c:pt idx="64">
                  <c:v>43970</c:v>
                </c:pt>
                <c:pt idx="65">
                  <c:v>43971</c:v>
                </c:pt>
                <c:pt idx="66">
                  <c:v>43972</c:v>
                </c:pt>
                <c:pt idx="67">
                  <c:v>43973</c:v>
                </c:pt>
                <c:pt idx="68">
                  <c:v>43974</c:v>
                </c:pt>
                <c:pt idx="69">
                  <c:v>43975</c:v>
                </c:pt>
                <c:pt idx="70">
                  <c:v>43976</c:v>
                </c:pt>
                <c:pt idx="71">
                  <c:v>43977</c:v>
                </c:pt>
                <c:pt idx="72">
                  <c:v>43978</c:v>
                </c:pt>
                <c:pt idx="73">
                  <c:v>43979</c:v>
                </c:pt>
                <c:pt idx="74">
                  <c:v>43980</c:v>
                </c:pt>
                <c:pt idx="75">
                  <c:v>43981</c:v>
                </c:pt>
                <c:pt idx="76">
                  <c:v>43982</c:v>
                </c:pt>
                <c:pt idx="77">
                  <c:v>43983</c:v>
                </c:pt>
                <c:pt idx="78">
                  <c:v>43984</c:v>
                </c:pt>
                <c:pt idx="79">
                  <c:v>43985</c:v>
                </c:pt>
                <c:pt idx="80">
                  <c:v>43986</c:v>
                </c:pt>
                <c:pt idx="81">
                  <c:v>43987</c:v>
                </c:pt>
                <c:pt idx="82">
                  <c:v>43988</c:v>
                </c:pt>
                <c:pt idx="83">
                  <c:v>43989</c:v>
                </c:pt>
                <c:pt idx="84">
                  <c:v>43990</c:v>
                </c:pt>
                <c:pt idx="85">
                  <c:v>43991</c:v>
                </c:pt>
                <c:pt idx="86">
                  <c:v>43992</c:v>
                </c:pt>
                <c:pt idx="87">
                  <c:v>43993</c:v>
                </c:pt>
                <c:pt idx="88">
                  <c:v>43994</c:v>
                </c:pt>
                <c:pt idx="89">
                  <c:v>43995</c:v>
                </c:pt>
                <c:pt idx="90">
                  <c:v>43996</c:v>
                </c:pt>
                <c:pt idx="91">
                  <c:v>43997</c:v>
                </c:pt>
                <c:pt idx="92">
                  <c:v>43998</c:v>
                </c:pt>
                <c:pt idx="93">
                  <c:v>43999</c:v>
                </c:pt>
                <c:pt idx="94">
                  <c:v>44000</c:v>
                </c:pt>
                <c:pt idx="95">
                  <c:v>44001</c:v>
                </c:pt>
                <c:pt idx="96">
                  <c:v>44002</c:v>
                </c:pt>
                <c:pt idx="97">
                  <c:v>44003</c:v>
                </c:pt>
                <c:pt idx="98">
                  <c:v>44004</c:v>
                </c:pt>
                <c:pt idx="99">
                  <c:v>44005</c:v>
                </c:pt>
                <c:pt idx="100">
                  <c:v>44006</c:v>
                </c:pt>
                <c:pt idx="101">
                  <c:v>44007</c:v>
                </c:pt>
                <c:pt idx="102">
                  <c:v>44008</c:v>
                </c:pt>
                <c:pt idx="103">
                  <c:v>44009</c:v>
                </c:pt>
                <c:pt idx="104">
                  <c:v>44010</c:v>
                </c:pt>
                <c:pt idx="105">
                  <c:v>44011</c:v>
                </c:pt>
                <c:pt idx="106">
                  <c:v>44012</c:v>
                </c:pt>
                <c:pt idx="107">
                  <c:v>44013</c:v>
                </c:pt>
                <c:pt idx="108">
                  <c:v>44014</c:v>
                </c:pt>
                <c:pt idx="109">
                  <c:v>44015</c:v>
                </c:pt>
                <c:pt idx="110">
                  <c:v>44016</c:v>
                </c:pt>
                <c:pt idx="111">
                  <c:v>44017</c:v>
                </c:pt>
                <c:pt idx="112">
                  <c:v>44018</c:v>
                </c:pt>
                <c:pt idx="113">
                  <c:v>44019</c:v>
                </c:pt>
                <c:pt idx="114">
                  <c:v>44020</c:v>
                </c:pt>
                <c:pt idx="115">
                  <c:v>44021</c:v>
                </c:pt>
                <c:pt idx="116">
                  <c:v>44022</c:v>
                </c:pt>
                <c:pt idx="117">
                  <c:v>44023</c:v>
                </c:pt>
                <c:pt idx="118">
                  <c:v>44024</c:v>
                </c:pt>
                <c:pt idx="119">
                  <c:v>44025</c:v>
                </c:pt>
                <c:pt idx="120">
                  <c:v>44026</c:v>
                </c:pt>
                <c:pt idx="121">
                  <c:v>44027</c:v>
                </c:pt>
                <c:pt idx="122">
                  <c:v>44028</c:v>
                </c:pt>
                <c:pt idx="123">
                  <c:v>44029</c:v>
                </c:pt>
                <c:pt idx="124">
                  <c:v>44030</c:v>
                </c:pt>
                <c:pt idx="125">
                  <c:v>44031</c:v>
                </c:pt>
                <c:pt idx="126">
                  <c:v>44032</c:v>
                </c:pt>
                <c:pt idx="127">
                  <c:v>44033</c:v>
                </c:pt>
                <c:pt idx="128">
                  <c:v>44034</c:v>
                </c:pt>
                <c:pt idx="129">
                  <c:v>44035</c:v>
                </c:pt>
                <c:pt idx="130">
                  <c:v>44036</c:v>
                </c:pt>
                <c:pt idx="131">
                  <c:v>44037</c:v>
                </c:pt>
                <c:pt idx="132">
                  <c:v>44038</c:v>
                </c:pt>
                <c:pt idx="133">
                  <c:v>44039</c:v>
                </c:pt>
                <c:pt idx="134">
                  <c:v>44040</c:v>
                </c:pt>
                <c:pt idx="135">
                  <c:v>44041</c:v>
                </c:pt>
                <c:pt idx="136">
                  <c:v>44042</c:v>
                </c:pt>
                <c:pt idx="137">
                  <c:v>44043</c:v>
                </c:pt>
                <c:pt idx="138">
                  <c:v>44044</c:v>
                </c:pt>
                <c:pt idx="139">
                  <c:v>44045</c:v>
                </c:pt>
                <c:pt idx="140">
                  <c:v>44046</c:v>
                </c:pt>
                <c:pt idx="141">
                  <c:v>44047</c:v>
                </c:pt>
                <c:pt idx="142">
                  <c:v>44048</c:v>
                </c:pt>
                <c:pt idx="143">
                  <c:v>44049</c:v>
                </c:pt>
                <c:pt idx="144">
                  <c:v>44050</c:v>
                </c:pt>
                <c:pt idx="145">
                  <c:v>44051</c:v>
                </c:pt>
                <c:pt idx="146">
                  <c:v>44052</c:v>
                </c:pt>
                <c:pt idx="147">
                  <c:v>44053</c:v>
                </c:pt>
                <c:pt idx="148">
                  <c:v>44054</c:v>
                </c:pt>
                <c:pt idx="149">
                  <c:v>44055</c:v>
                </c:pt>
                <c:pt idx="150">
                  <c:v>44056</c:v>
                </c:pt>
                <c:pt idx="151">
                  <c:v>44057</c:v>
                </c:pt>
                <c:pt idx="152">
                  <c:v>44058</c:v>
                </c:pt>
                <c:pt idx="153">
                  <c:v>44059</c:v>
                </c:pt>
                <c:pt idx="154">
                  <c:v>44060</c:v>
                </c:pt>
                <c:pt idx="155">
                  <c:v>44061</c:v>
                </c:pt>
                <c:pt idx="156">
                  <c:v>44062</c:v>
                </c:pt>
                <c:pt idx="157">
                  <c:v>44063</c:v>
                </c:pt>
                <c:pt idx="158">
                  <c:v>44064</c:v>
                </c:pt>
                <c:pt idx="159">
                  <c:v>44065</c:v>
                </c:pt>
                <c:pt idx="160">
                  <c:v>44066</c:v>
                </c:pt>
                <c:pt idx="161">
                  <c:v>44067</c:v>
                </c:pt>
                <c:pt idx="162">
                  <c:v>44068</c:v>
                </c:pt>
                <c:pt idx="163">
                  <c:v>44069</c:v>
                </c:pt>
                <c:pt idx="164">
                  <c:v>44070</c:v>
                </c:pt>
                <c:pt idx="165">
                  <c:v>44071</c:v>
                </c:pt>
                <c:pt idx="166">
                  <c:v>44072</c:v>
                </c:pt>
                <c:pt idx="167">
                  <c:v>44073</c:v>
                </c:pt>
                <c:pt idx="168">
                  <c:v>44074</c:v>
                </c:pt>
                <c:pt idx="169">
                  <c:v>44075</c:v>
                </c:pt>
                <c:pt idx="170">
                  <c:v>44076</c:v>
                </c:pt>
                <c:pt idx="171">
                  <c:v>44077</c:v>
                </c:pt>
                <c:pt idx="172">
                  <c:v>44078</c:v>
                </c:pt>
                <c:pt idx="173">
                  <c:v>44079</c:v>
                </c:pt>
                <c:pt idx="174">
                  <c:v>44080</c:v>
                </c:pt>
                <c:pt idx="175">
                  <c:v>44081</c:v>
                </c:pt>
                <c:pt idx="176">
                  <c:v>44082</c:v>
                </c:pt>
                <c:pt idx="177">
                  <c:v>44083</c:v>
                </c:pt>
                <c:pt idx="178">
                  <c:v>44084</c:v>
                </c:pt>
                <c:pt idx="179">
                  <c:v>44085</c:v>
                </c:pt>
                <c:pt idx="180">
                  <c:v>44086</c:v>
                </c:pt>
                <c:pt idx="181">
                  <c:v>44087</c:v>
                </c:pt>
                <c:pt idx="182">
                  <c:v>44088</c:v>
                </c:pt>
                <c:pt idx="183">
                  <c:v>44089</c:v>
                </c:pt>
                <c:pt idx="184">
                  <c:v>44090</c:v>
                </c:pt>
                <c:pt idx="185">
                  <c:v>44091</c:v>
                </c:pt>
                <c:pt idx="186">
                  <c:v>44092</c:v>
                </c:pt>
                <c:pt idx="187">
                  <c:v>44093</c:v>
                </c:pt>
                <c:pt idx="188">
                  <c:v>44094</c:v>
                </c:pt>
                <c:pt idx="189">
                  <c:v>44095</c:v>
                </c:pt>
                <c:pt idx="190">
                  <c:v>44096</c:v>
                </c:pt>
                <c:pt idx="191">
                  <c:v>44097</c:v>
                </c:pt>
                <c:pt idx="192">
                  <c:v>44098</c:v>
                </c:pt>
                <c:pt idx="193">
                  <c:v>44099</c:v>
                </c:pt>
                <c:pt idx="194">
                  <c:v>44100</c:v>
                </c:pt>
                <c:pt idx="195">
                  <c:v>44101</c:v>
                </c:pt>
                <c:pt idx="196">
                  <c:v>44102</c:v>
                </c:pt>
                <c:pt idx="197">
                  <c:v>44103</c:v>
                </c:pt>
                <c:pt idx="198">
                  <c:v>44104</c:v>
                </c:pt>
                <c:pt idx="199">
                  <c:v>44105</c:v>
                </c:pt>
                <c:pt idx="200">
                  <c:v>44106</c:v>
                </c:pt>
                <c:pt idx="201">
                  <c:v>44107</c:v>
                </c:pt>
                <c:pt idx="202">
                  <c:v>44108</c:v>
                </c:pt>
                <c:pt idx="203">
                  <c:v>44109</c:v>
                </c:pt>
                <c:pt idx="204">
                  <c:v>44110</c:v>
                </c:pt>
                <c:pt idx="205">
                  <c:v>44111</c:v>
                </c:pt>
                <c:pt idx="206">
                  <c:v>44112</c:v>
                </c:pt>
                <c:pt idx="207">
                  <c:v>44113</c:v>
                </c:pt>
                <c:pt idx="208">
                  <c:v>44114</c:v>
                </c:pt>
                <c:pt idx="209">
                  <c:v>44115</c:v>
                </c:pt>
                <c:pt idx="210">
                  <c:v>44116</c:v>
                </c:pt>
                <c:pt idx="211">
                  <c:v>44117</c:v>
                </c:pt>
                <c:pt idx="212">
                  <c:v>44118</c:v>
                </c:pt>
                <c:pt idx="213">
                  <c:v>44119</c:v>
                </c:pt>
                <c:pt idx="214">
                  <c:v>44120</c:v>
                </c:pt>
                <c:pt idx="215">
                  <c:v>44121</c:v>
                </c:pt>
                <c:pt idx="216">
                  <c:v>44122</c:v>
                </c:pt>
                <c:pt idx="217">
                  <c:v>44123</c:v>
                </c:pt>
                <c:pt idx="218">
                  <c:v>44124</c:v>
                </c:pt>
                <c:pt idx="219">
                  <c:v>44125</c:v>
                </c:pt>
                <c:pt idx="220">
                  <c:v>44126</c:v>
                </c:pt>
                <c:pt idx="221">
                  <c:v>44127</c:v>
                </c:pt>
                <c:pt idx="222">
                  <c:v>44128</c:v>
                </c:pt>
                <c:pt idx="223">
                  <c:v>44129</c:v>
                </c:pt>
                <c:pt idx="224">
                  <c:v>44130</c:v>
                </c:pt>
                <c:pt idx="225">
                  <c:v>44131</c:v>
                </c:pt>
                <c:pt idx="226">
                  <c:v>44132</c:v>
                </c:pt>
                <c:pt idx="227">
                  <c:v>44133</c:v>
                </c:pt>
                <c:pt idx="228">
                  <c:v>44134</c:v>
                </c:pt>
                <c:pt idx="229">
                  <c:v>44135</c:v>
                </c:pt>
                <c:pt idx="230">
                  <c:v>44136</c:v>
                </c:pt>
                <c:pt idx="231">
                  <c:v>44137</c:v>
                </c:pt>
                <c:pt idx="232">
                  <c:v>44138</c:v>
                </c:pt>
                <c:pt idx="233">
                  <c:v>44139</c:v>
                </c:pt>
                <c:pt idx="234">
                  <c:v>44140</c:v>
                </c:pt>
                <c:pt idx="235">
                  <c:v>44141</c:v>
                </c:pt>
                <c:pt idx="236">
                  <c:v>44142</c:v>
                </c:pt>
                <c:pt idx="237">
                  <c:v>44143</c:v>
                </c:pt>
                <c:pt idx="238">
                  <c:v>44144</c:v>
                </c:pt>
                <c:pt idx="239">
                  <c:v>44145</c:v>
                </c:pt>
                <c:pt idx="240">
                  <c:v>44146</c:v>
                </c:pt>
                <c:pt idx="241">
                  <c:v>44147</c:v>
                </c:pt>
                <c:pt idx="242">
                  <c:v>44148</c:v>
                </c:pt>
                <c:pt idx="243">
                  <c:v>44149</c:v>
                </c:pt>
                <c:pt idx="244">
                  <c:v>44150</c:v>
                </c:pt>
                <c:pt idx="245">
                  <c:v>44151</c:v>
                </c:pt>
                <c:pt idx="246">
                  <c:v>44152</c:v>
                </c:pt>
                <c:pt idx="247">
                  <c:v>44153</c:v>
                </c:pt>
                <c:pt idx="248">
                  <c:v>44154</c:v>
                </c:pt>
                <c:pt idx="249">
                  <c:v>44155</c:v>
                </c:pt>
                <c:pt idx="250">
                  <c:v>44156</c:v>
                </c:pt>
                <c:pt idx="251">
                  <c:v>44157</c:v>
                </c:pt>
                <c:pt idx="252">
                  <c:v>44158</c:v>
                </c:pt>
                <c:pt idx="253">
                  <c:v>44159</c:v>
                </c:pt>
                <c:pt idx="254">
                  <c:v>44160</c:v>
                </c:pt>
                <c:pt idx="255">
                  <c:v>44161</c:v>
                </c:pt>
                <c:pt idx="256">
                  <c:v>44162</c:v>
                </c:pt>
                <c:pt idx="257">
                  <c:v>44163</c:v>
                </c:pt>
                <c:pt idx="258">
                  <c:v>44164</c:v>
                </c:pt>
                <c:pt idx="259">
                  <c:v>44165</c:v>
                </c:pt>
                <c:pt idx="260">
                  <c:v>44166</c:v>
                </c:pt>
                <c:pt idx="261">
                  <c:v>44167</c:v>
                </c:pt>
                <c:pt idx="262">
                  <c:v>44168</c:v>
                </c:pt>
                <c:pt idx="263">
                  <c:v>44169</c:v>
                </c:pt>
                <c:pt idx="264">
                  <c:v>44170</c:v>
                </c:pt>
                <c:pt idx="265">
                  <c:v>44171</c:v>
                </c:pt>
                <c:pt idx="266">
                  <c:v>44172</c:v>
                </c:pt>
                <c:pt idx="267">
                  <c:v>44173</c:v>
                </c:pt>
                <c:pt idx="268">
                  <c:v>44174</c:v>
                </c:pt>
                <c:pt idx="269">
                  <c:v>44175</c:v>
                </c:pt>
                <c:pt idx="270">
                  <c:v>44176</c:v>
                </c:pt>
                <c:pt idx="271">
                  <c:v>44177</c:v>
                </c:pt>
                <c:pt idx="272">
                  <c:v>44178</c:v>
                </c:pt>
                <c:pt idx="273">
                  <c:v>44179</c:v>
                </c:pt>
                <c:pt idx="274">
                  <c:v>44180</c:v>
                </c:pt>
                <c:pt idx="275">
                  <c:v>44181</c:v>
                </c:pt>
                <c:pt idx="276">
                  <c:v>44182</c:v>
                </c:pt>
                <c:pt idx="277">
                  <c:v>44183</c:v>
                </c:pt>
                <c:pt idx="278">
                  <c:v>44184</c:v>
                </c:pt>
                <c:pt idx="279">
                  <c:v>44185</c:v>
                </c:pt>
                <c:pt idx="280">
                  <c:v>44186</c:v>
                </c:pt>
                <c:pt idx="281">
                  <c:v>44187</c:v>
                </c:pt>
                <c:pt idx="282">
                  <c:v>44188</c:v>
                </c:pt>
                <c:pt idx="283">
                  <c:v>44189</c:v>
                </c:pt>
                <c:pt idx="284">
                  <c:v>44190</c:v>
                </c:pt>
                <c:pt idx="285">
                  <c:v>44191</c:v>
                </c:pt>
                <c:pt idx="286">
                  <c:v>44192</c:v>
                </c:pt>
                <c:pt idx="287">
                  <c:v>44193</c:v>
                </c:pt>
                <c:pt idx="288">
                  <c:v>44194</c:v>
                </c:pt>
                <c:pt idx="289">
                  <c:v>44195</c:v>
                </c:pt>
                <c:pt idx="290">
                  <c:v>44196</c:v>
                </c:pt>
                <c:pt idx="291">
                  <c:v>44197</c:v>
                </c:pt>
                <c:pt idx="292">
                  <c:v>44198</c:v>
                </c:pt>
                <c:pt idx="293">
                  <c:v>44199</c:v>
                </c:pt>
                <c:pt idx="294">
                  <c:v>44200</c:v>
                </c:pt>
                <c:pt idx="295">
                  <c:v>44201</c:v>
                </c:pt>
                <c:pt idx="296">
                  <c:v>44202</c:v>
                </c:pt>
                <c:pt idx="297">
                  <c:v>44203</c:v>
                </c:pt>
                <c:pt idx="298">
                  <c:v>44204</c:v>
                </c:pt>
                <c:pt idx="299">
                  <c:v>44205</c:v>
                </c:pt>
                <c:pt idx="300">
                  <c:v>44206</c:v>
                </c:pt>
                <c:pt idx="301">
                  <c:v>44207</c:v>
                </c:pt>
                <c:pt idx="302">
                  <c:v>44208</c:v>
                </c:pt>
                <c:pt idx="303">
                  <c:v>44209</c:v>
                </c:pt>
                <c:pt idx="304">
                  <c:v>44210</c:v>
                </c:pt>
                <c:pt idx="305">
                  <c:v>44211</c:v>
                </c:pt>
                <c:pt idx="306">
                  <c:v>44212</c:v>
                </c:pt>
                <c:pt idx="307">
                  <c:v>44213</c:v>
                </c:pt>
                <c:pt idx="308">
                  <c:v>44214</c:v>
                </c:pt>
                <c:pt idx="309">
                  <c:v>44215</c:v>
                </c:pt>
                <c:pt idx="310">
                  <c:v>44216</c:v>
                </c:pt>
                <c:pt idx="311">
                  <c:v>44217</c:v>
                </c:pt>
                <c:pt idx="312">
                  <c:v>44218</c:v>
                </c:pt>
                <c:pt idx="313">
                  <c:v>44219</c:v>
                </c:pt>
                <c:pt idx="314">
                  <c:v>44220</c:v>
                </c:pt>
                <c:pt idx="315">
                  <c:v>44221</c:v>
                </c:pt>
                <c:pt idx="316">
                  <c:v>44222</c:v>
                </c:pt>
                <c:pt idx="317">
                  <c:v>44223</c:v>
                </c:pt>
                <c:pt idx="318">
                  <c:v>44224</c:v>
                </c:pt>
                <c:pt idx="319">
                  <c:v>44225</c:v>
                </c:pt>
                <c:pt idx="320">
                  <c:v>44226</c:v>
                </c:pt>
                <c:pt idx="321">
                  <c:v>44227</c:v>
                </c:pt>
                <c:pt idx="322">
                  <c:v>44228</c:v>
                </c:pt>
                <c:pt idx="323">
                  <c:v>44229</c:v>
                </c:pt>
                <c:pt idx="324">
                  <c:v>44230</c:v>
                </c:pt>
                <c:pt idx="325">
                  <c:v>44231</c:v>
                </c:pt>
                <c:pt idx="326">
                  <c:v>44232</c:v>
                </c:pt>
                <c:pt idx="327">
                  <c:v>44233</c:v>
                </c:pt>
                <c:pt idx="328">
                  <c:v>44234</c:v>
                </c:pt>
                <c:pt idx="329">
                  <c:v>44235</c:v>
                </c:pt>
                <c:pt idx="330">
                  <c:v>44236</c:v>
                </c:pt>
                <c:pt idx="331">
                  <c:v>44237</c:v>
                </c:pt>
                <c:pt idx="332">
                  <c:v>44238</c:v>
                </c:pt>
                <c:pt idx="333">
                  <c:v>44239</c:v>
                </c:pt>
                <c:pt idx="334">
                  <c:v>44240</c:v>
                </c:pt>
                <c:pt idx="335">
                  <c:v>44241</c:v>
                </c:pt>
                <c:pt idx="336">
                  <c:v>44242</c:v>
                </c:pt>
                <c:pt idx="337">
                  <c:v>44243</c:v>
                </c:pt>
                <c:pt idx="338">
                  <c:v>44244</c:v>
                </c:pt>
                <c:pt idx="339">
                  <c:v>44245</c:v>
                </c:pt>
                <c:pt idx="340">
                  <c:v>44246</c:v>
                </c:pt>
                <c:pt idx="341">
                  <c:v>44247</c:v>
                </c:pt>
                <c:pt idx="342">
                  <c:v>44248</c:v>
                </c:pt>
                <c:pt idx="343">
                  <c:v>44249</c:v>
                </c:pt>
                <c:pt idx="344">
                  <c:v>44250</c:v>
                </c:pt>
                <c:pt idx="345">
                  <c:v>44251</c:v>
                </c:pt>
                <c:pt idx="346">
                  <c:v>44252</c:v>
                </c:pt>
                <c:pt idx="347">
                  <c:v>44253</c:v>
                </c:pt>
                <c:pt idx="348">
                  <c:v>44254</c:v>
                </c:pt>
                <c:pt idx="349">
                  <c:v>44255</c:v>
                </c:pt>
                <c:pt idx="350">
                  <c:v>44256</c:v>
                </c:pt>
                <c:pt idx="351">
                  <c:v>44257</c:v>
                </c:pt>
                <c:pt idx="352">
                  <c:v>44258</c:v>
                </c:pt>
                <c:pt idx="353">
                  <c:v>44259</c:v>
                </c:pt>
                <c:pt idx="354">
                  <c:v>44260</c:v>
                </c:pt>
                <c:pt idx="355">
                  <c:v>44261</c:v>
                </c:pt>
                <c:pt idx="356">
                  <c:v>44262</c:v>
                </c:pt>
                <c:pt idx="357">
                  <c:v>44263</c:v>
                </c:pt>
                <c:pt idx="358">
                  <c:v>44264</c:v>
                </c:pt>
                <c:pt idx="359">
                  <c:v>44265</c:v>
                </c:pt>
                <c:pt idx="360">
                  <c:v>44266</c:v>
                </c:pt>
                <c:pt idx="361">
                  <c:v>44267</c:v>
                </c:pt>
                <c:pt idx="362">
                  <c:v>44268</c:v>
                </c:pt>
                <c:pt idx="363">
                  <c:v>44269</c:v>
                </c:pt>
                <c:pt idx="364">
                  <c:v>44270</c:v>
                </c:pt>
                <c:pt idx="365">
                  <c:v>44271</c:v>
                </c:pt>
                <c:pt idx="366">
                  <c:v>44272</c:v>
                </c:pt>
                <c:pt idx="367">
                  <c:v>44273</c:v>
                </c:pt>
                <c:pt idx="368">
                  <c:v>44274</c:v>
                </c:pt>
                <c:pt idx="369">
                  <c:v>44275</c:v>
                </c:pt>
                <c:pt idx="370">
                  <c:v>44276</c:v>
                </c:pt>
                <c:pt idx="371">
                  <c:v>44277</c:v>
                </c:pt>
                <c:pt idx="372">
                  <c:v>44278</c:v>
                </c:pt>
                <c:pt idx="373">
                  <c:v>44279</c:v>
                </c:pt>
                <c:pt idx="374">
                  <c:v>44280</c:v>
                </c:pt>
                <c:pt idx="375">
                  <c:v>44281</c:v>
                </c:pt>
                <c:pt idx="376">
                  <c:v>44282</c:v>
                </c:pt>
                <c:pt idx="377">
                  <c:v>44283</c:v>
                </c:pt>
                <c:pt idx="378">
                  <c:v>44284</c:v>
                </c:pt>
                <c:pt idx="379">
                  <c:v>44285</c:v>
                </c:pt>
                <c:pt idx="380">
                  <c:v>44286</c:v>
                </c:pt>
                <c:pt idx="381">
                  <c:v>44287</c:v>
                </c:pt>
                <c:pt idx="382">
                  <c:v>44288</c:v>
                </c:pt>
                <c:pt idx="383">
                  <c:v>44289</c:v>
                </c:pt>
                <c:pt idx="384">
                  <c:v>44290</c:v>
                </c:pt>
                <c:pt idx="385">
                  <c:v>44291</c:v>
                </c:pt>
                <c:pt idx="386">
                  <c:v>44292</c:v>
                </c:pt>
                <c:pt idx="387">
                  <c:v>44293</c:v>
                </c:pt>
                <c:pt idx="388">
                  <c:v>44294</c:v>
                </c:pt>
                <c:pt idx="389">
                  <c:v>44295</c:v>
                </c:pt>
                <c:pt idx="390">
                  <c:v>44296</c:v>
                </c:pt>
                <c:pt idx="391">
                  <c:v>44297</c:v>
                </c:pt>
                <c:pt idx="392">
                  <c:v>44298</c:v>
                </c:pt>
                <c:pt idx="393">
                  <c:v>44299</c:v>
                </c:pt>
                <c:pt idx="394">
                  <c:v>44300</c:v>
                </c:pt>
                <c:pt idx="395">
                  <c:v>44301</c:v>
                </c:pt>
                <c:pt idx="396">
                  <c:v>44302</c:v>
                </c:pt>
                <c:pt idx="397">
                  <c:v>44303</c:v>
                </c:pt>
                <c:pt idx="398">
                  <c:v>44304</c:v>
                </c:pt>
                <c:pt idx="399">
                  <c:v>44305</c:v>
                </c:pt>
                <c:pt idx="400">
                  <c:v>44306</c:v>
                </c:pt>
                <c:pt idx="401">
                  <c:v>44307</c:v>
                </c:pt>
                <c:pt idx="402">
                  <c:v>44308</c:v>
                </c:pt>
                <c:pt idx="403">
                  <c:v>44309</c:v>
                </c:pt>
                <c:pt idx="404">
                  <c:v>44310</c:v>
                </c:pt>
                <c:pt idx="405">
                  <c:v>44311</c:v>
                </c:pt>
                <c:pt idx="406">
                  <c:v>44312</c:v>
                </c:pt>
                <c:pt idx="407">
                  <c:v>44313</c:v>
                </c:pt>
                <c:pt idx="408">
                  <c:v>44314</c:v>
                </c:pt>
                <c:pt idx="409">
                  <c:v>44315</c:v>
                </c:pt>
                <c:pt idx="410">
                  <c:v>44316</c:v>
                </c:pt>
              </c:numCache>
            </c:numRef>
          </c:cat>
          <c:val>
            <c:numRef>
              <c:f>data!$G$2:$G$412</c:f>
              <c:numCache>
                <c:formatCode>General</c:formatCode>
                <c:ptCount val="411"/>
                <c:pt idx="5">
                  <c:v>0.14299999999999999</c:v>
                </c:pt>
                <c:pt idx="6">
                  <c:v>0.14299999999999999</c:v>
                </c:pt>
                <c:pt idx="7">
                  <c:v>0</c:v>
                </c:pt>
                <c:pt idx="8">
                  <c:v>0</c:v>
                </c:pt>
                <c:pt idx="9">
                  <c:v>0</c:v>
                </c:pt>
                <c:pt idx="10">
                  <c:v>0.14299999999999999</c:v>
                </c:pt>
                <c:pt idx="11">
                  <c:v>0.28599999999999998</c:v>
                </c:pt>
                <c:pt idx="12">
                  <c:v>0.28599999999999998</c:v>
                </c:pt>
                <c:pt idx="13">
                  <c:v>0.28599999999999998</c:v>
                </c:pt>
                <c:pt idx="14">
                  <c:v>0.28599999999999998</c:v>
                </c:pt>
                <c:pt idx="15">
                  <c:v>0.57099999999999995</c:v>
                </c:pt>
                <c:pt idx="16">
                  <c:v>0.57099999999999995</c:v>
                </c:pt>
                <c:pt idx="17">
                  <c:v>0.42899999999999999</c:v>
                </c:pt>
                <c:pt idx="18">
                  <c:v>0.57099999999999995</c:v>
                </c:pt>
                <c:pt idx="19">
                  <c:v>0.57099999999999995</c:v>
                </c:pt>
                <c:pt idx="20">
                  <c:v>0.57099999999999995</c:v>
                </c:pt>
                <c:pt idx="21">
                  <c:v>0.57099999999999995</c:v>
                </c:pt>
                <c:pt idx="22">
                  <c:v>0.42899999999999999</c:v>
                </c:pt>
                <c:pt idx="23">
                  <c:v>1</c:v>
                </c:pt>
                <c:pt idx="24">
                  <c:v>1</c:v>
                </c:pt>
                <c:pt idx="25">
                  <c:v>2</c:v>
                </c:pt>
                <c:pt idx="26">
                  <c:v>2</c:v>
                </c:pt>
                <c:pt idx="27">
                  <c:v>2.5710000000000002</c:v>
                </c:pt>
                <c:pt idx="28">
                  <c:v>7.5709999999999997</c:v>
                </c:pt>
                <c:pt idx="29">
                  <c:v>7.4290000000000003</c:v>
                </c:pt>
                <c:pt idx="30">
                  <c:v>9.7140000000000004</c:v>
                </c:pt>
                <c:pt idx="31">
                  <c:v>9.7140000000000004</c:v>
                </c:pt>
                <c:pt idx="32">
                  <c:v>13.571</c:v>
                </c:pt>
                <c:pt idx="33">
                  <c:v>16.286000000000001</c:v>
                </c:pt>
                <c:pt idx="34">
                  <c:v>19.856999999999999</c:v>
                </c:pt>
                <c:pt idx="35">
                  <c:v>25.286000000000001</c:v>
                </c:pt>
                <c:pt idx="36">
                  <c:v>32.286000000000001</c:v>
                </c:pt>
                <c:pt idx="37">
                  <c:v>29.428999999999998</c:v>
                </c:pt>
                <c:pt idx="38">
                  <c:v>35.429000000000002</c:v>
                </c:pt>
                <c:pt idx="39">
                  <c:v>30.286000000000001</c:v>
                </c:pt>
                <c:pt idx="40">
                  <c:v>36.429000000000002</c:v>
                </c:pt>
                <c:pt idx="41">
                  <c:v>38.856999999999999</c:v>
                </c:pt>
                <c:pt idx="42">
                  <c:v>34.713999999999999</c:v>
                </c:pt>
                <c:pt idx="43">
                  <c:v>34.570999999999998</c:v>
                </c:pt>
                <c:pt idx="44">
                  <c:v>42.286000000000001</c:v>
                </c:pt>
                <c:pt idx="45">
                  <c:v>39</c:v>
                </c:pt>
                <c:pt idx="46">
                  <c:v>39</c:v>
                </c:pt>
                <c:pt idx="47">
                  <c:v>40.143000000000001</c:v>
                </c:pt>
                <c:pt idx="48">
                  <c:v>40.856999999999999</c:v>
                </c:pt>
                <c:pt idx="49">
                  <c:v>39.429000000000002</c:v>
                </c:pt>
                <c:pt idx="50">
                  <c:v>43.856999999999999</c:v>
                </c:pt>
                <c:pt idx="51">
                  <c:v>41.570999999999998</c:v>
                </c:pt>
                <c:pt idx="52">
                  <c:v>46.713999999999999</c:v>
                </c:pt>
                <c:pt idx="53">
                  <c:v>46.713999999999999</c:v>
                </c:pt>
                <c:pt idx="54">
                  <c:v>46.570999999999998</c:v>
                </c:pt>
                <c:pt idx="55">
                  <c:v>47.429000000000002</c:v>
                </c:pt>
                <c:pt idx="56">
                  <c:v>47.570999999999998</c:v>
                </c:pt>
                <c:pt idx="57">
                  <c:v>47.856999999999999</c:v>
                </c:pt>
                <c:pt idx="58">
                  <c:v>49.429000000000002</c:v>
                </c:pt>
                <c:pt idx="59">
                  <c:v>50.856999999999999</c:v>
                </c:pt>
                <c:pt idx="60">
                  <c:v>50.856999999999999</c:v>
                </c:pt>
                <c:pt idx="61">
                  <c:v>51.429000000000002</c:v>
                </c:pt>
                <c:pt idx="62">
                  <c:v>52.429000000000002</c:v>
                </c:pt>
                <c:pt idx="63">
                  <c:v>52.286000000000001</c:v>
                </c:pt>
                <c:pt idx="64">
                  <c:v>47.429000000000002</c:v>
                </c:pt>
                <c:pt idx="65">
                  <c:v>50.570999999999998</c:v>
                </c:pt>
                <c:pt idx="66">
                  <c:v>44.286000000000001</c:v>
                </c:pt>
                <c:pt idx="67">
                  <c:v>44.286000000000001</c:v>
                </c:pt>
                <c:pt idx="68">
                  <c:v>33.856999999999999</c:v>
                </c:pt>
                <c:pt idx="69">
                  <c:v>24.713999999999999</c:v>
                </c:pt>
                <c:pt idx="70">
                  <c:v>33.429000000000002</c:v>
                </c:pt>
                <c:pt idx="71">
                  <c:v>29.856999999999999</c:v>
                </c:pt>
                <c:pt idx="72">
                  <c:v>22.571000000000002</c:v>
                </c:pt>
                <c:pt idx="73">
                  <c:v>33.429000000000002</c:v>
                </c:pt>
                <c:pt idx="74">
                  <c:v>33.429000000000002</c:v>
                </c:pt>
                <c:pt idx="75">
                  <c:v>46</c:v>
                </c:pt>
                <c:pt idx="76">
                  <c:v>54.570999999999998</c:v>
                </c:pt>
                <c:pt idx="77">
                  <c:v>47.713999999999999</c:v>
                </c:pt>
                <c:pt idx="78">
                  <c:v>54</c:v>
                </c:pt>
                <c:pt idx="79">
                  <c:v>59.286000000000001</c:v>
                </c:pt>
                <c:pt idx="80">
                  <c:v>53.713999999999999</c:v>
                </c:pt>
                <c:pt idx="81">
                  <c:v>53.713999999999999</c:v>
                </c:pt>
                <c:pt idx="82">
                  <c:v>53.286000000000001</c:v>
                </c:pt>
                <c:pt idx="83">
                  <c:v>51.143000000000001</c:v>
                </c:pt>
                <c:pt idx="84">
                  <c:v>49.286000000000001</c:v>
                </c:pt>
                <c:pt idx="85">
                  <c:v>46.713999999999999</c:v>
                </c:pt>
                <c:pt idx="86">
                  <c:v>43.713999999999999</c:v>
                </c:pt>
                <c:pt idx="87">
                  <c:v>44.143000000000001</c:v>
                </c:pt>
                <c:pt idx="88">
                  <c:v>44.143000000000001</c:v>
                </c:pt>
                <c:pt idx="89">
                  <c:v>41.429000000000002</c:v>
                </c:pt>
                <c:pt idx="90">
                  <c:v>40.570999999999998</c:v>
                </c:pt>
                <c:pt idx="91">
                  <c:v>39.143000000000001</c:v>
                </c:pt>
                <c:pt idx="92">
                  <c:v>34.570999999999998</c:v>
                </c:pt>
                <c:pt idx="93">
                  <c:v>34.856999999999999</c:v>
                </c:pt>
                <c:pt idx="94">
                  <c:v>29.428999999999998</c:v>
                </c:pt>
                <c:pt idx="95">
                  <c:v>29.428999999999998</c:v>
                </c:pt>
                <c:pt idx="96">
                  <c:v>25.143000000000001</c:v>
                </c:pt>
                <c:pt idx="97">
                  <c:v>23</c:v>
                </c:pt>
                <c:pt idx="98">
                  <c:v>24.286000000000001</c:v>
                </c:pt>
                <c:pt idx="99">
                  <c:v>22</c:v>
                </c:pt>
                <c:pt idx="100">
                  <c:v>19.856999999999999</c:v>
                </c:pt>
                <c:pt idx="101">
                  <c:v>22.713999999999999</c:v>
                </c:pt>
                <c:pt idx="102">
                  <c:v>22.713999999999999</c:v>
                </c:pt>
                <c:pt idx="103">
                  <c:v>17.571000000000002</c:v>
                </c:pt>
                <c:pt idx="104">
                  <c:v>16.428999999999998</c:v>
                </c:pt>
                <c:pt idx="105">
                  <c:v>13.143000000000001</c:v>
                </c:pt>
                <c:pt idx="106">
                  <c:v>16</c:v>
                </c:pt>
                <c:pt idx="107">
                  <c:v>12.714</c:v>
                </c:pt>
                <c:pt idx="108">
                  <c:v>9.4290000000000003</c:v>
                </c:pt>
                <c:pt idx="109">
                  <c:v>9.4290000000000003</c:v>
                </c:pt>
                <c:pt idx="110">
                  <c:v>11.856999999999999</c:v>
                </c:pt>
                <c:pt idx="111">
                  <c:v>14.714</c:v>
                </c:pt>
                <c:pt idx="112">
                  <c:v>14.571</c:v>
                </c:pt>
                <c:pt idx="113">
                  <c:v>13</c:v>
                </c:pt>
                <c:pt idx="114">
                  <c:v>14.856999999999999</c:v>
                </c:pt>
                <c:pt idx="115">
                  <c:v>13.429</c:v>
                </c:pt>
                <c:pt idx="116">
                  <c:v>13.429</c:v>
                </c:pt>
                <c:pt idx="117">
                  <c:v>12.856999999999999</c:v>
                </c:pt>
                <c:pt idx="118">
                  <c:v>8.8569999999999993</c:v>
                </c:pt>
                <c:pt idx="119">
                  <c:v>9.4290000000000003</c:v>
                </c:pt>
                <c:pt idx="120">
                  <c:v>8.7140000000000004</c:v>
                </c:pt>
                <c:pt idx="121">
                  <c:v>7.8570000000000002</c:v>
                </c:pt>
                <c:pt idx="122">
                  <c:v>9.7140000000000004</c:v>
                </c:pt>
                <c:pt idx="123">
                  <c:v>9.7140000000000004</c:v>
                </c:pt>
                <c:pt idx="124">
                  <c:v>8.5709999999999997</c:v>
                </c:pt>
                <c:pt idx="125">
                  <c:v>8.5709999999999997</c:v>
                </c:pt>
                <c:pt idx="126">
                  <c:v>8.2859999999999996</c:v>
                </c:pt>
                <c:pt idx="127">
                  <c:v>8.4290000000000003</c:v>
                </c:pt>
                <c:pt idx="128">
                  <c:v>11.143000000000001</c:v>
                </c:pt>
                <c:pt idx="129">
                  <c:v>9.2859999999999996</c:v>
                </c:pt>
                <c:pt idx="130">
                  <c:v>9.2859999999999996</c:v>
                </c:pt>
                <c:pt idx="131">
                  <c:v>9.5709999999999997</c:v>
                </c:pt>
                <c:pt idx="132">
                  <c:v>8.4290000000000003</c:v>
                </c:pt>
                <c:pt idx="133">
                  <c:v>9.4290000000000003</c:v>
                </c:pt>
                <c:pt idx="134">
                  <c:v>11</c:v>
                </c:pt>
                <c:pt idx="135">
                  <c:v>7.2859999999999996</c:v>
                </c:pt>
                <c:pt idx="136">
                  <c:v>5.8570000000000002</c:v>
                </c:pt>
                <c:pt idx="137">
                  <c:v>5.8570000000000002</c:v>
                </c:pt>
                <c:pt idx="138">
                  <c:v>4.8570000000000002</c:v>
                </c:pt>
                <c:pt idx="139">
                  <c:v>6</c:v>
                </c:pt>
                <c:pt idx="140">
                  <c:v>3.4289999999999998</c:v>
                </c:pt>
                <c:pt idx="141">
                  <c:v>1.143</c:v>
                </c:pt>
                <c:pt idx="142">
                  <c:v>2.1429999999999998</c:v>
                </c:pt>
                <c:pt idx="143">
                  <c:v>2.1429999999999998</c:v>
                </c:pt>
                <c:pt idx="144">
                  <c:v>2.1429999999999998</c:v>
                </c:pt>
                <c:pt idx="145">
                  <c:v>2.1429999999999998</c:v>
                </c:pt>
                <c:pt idx="146">
                  <c:v>1</c:v>
                </c:pt>
                <c:pt idx="147">
                  <c:v>1</c:v>
                </c:pt>
                <c:pt idx="148">
                  <c:v>1</c:v>
                </c:pt>
                <c:pt idx="149">
                  <c:v>0</c:v>
                </c:pt>
                <c:pt idx="150">
                  <c:v>0</c:v>
                </c:pt>
                <c:pt idx="151">
                  <c:v>3.286</c:v>
                </c:pt>
                <c:pt idx="152">
                  <c:v>3.286</c:v>
                </c:pt>
                <c:pt idx="153">
                  <c:v>4.1429999999999998</c:v>
                </c:pt>
                <c:pt idx="154">
                  <c:v>4.2859999999999996</c:v>
                </c:pt>
                <c:pt idx="155">
                  <c:v>4.2859999999999996</c:v>
                </c:pt>
                <c:pt idx="156">
                  <c:v>5.4290000000000003</c:v>
                </c:pt>
                <c:pt idx="157">
                  <c:v>5.4290000000000003</c:v>
                </c:pt>
                <c:pt idx="158">
                  <c:v>2.1429999999999998</c:v>
                </c:pt>
                <c:pt idx="159">
                  <c:v>2.714</c:v>
                </c:pt>
                <c:pt idx="160">
                  <c:v>1.857</c:v>
                </c:pt>
                <c:pt idx="161">
                  <c:v>1.714</c:v>
                </c:pt>
                <c:pt idx="162">
                  <c:v>2.5710000000000002</c:v>
                </c:pt>
                <c:pt idx="163">
                  <c:v>1.429</c:v>
                </c:pt>
                <c:pt idx="164">
                  <c:v>1.429</c:v>
                </c:pt>
                <c:pt idx="165">
                  <c:v>1.429</c:v>
                </c:pt>
                <c:pt idx="166">
                  <c:v>5.8570000000000002</c:v>
                </c:pt>
                <c:pt idx="167">
                  <c:v>5.8570000000000002</c:v>
                </c:pt>
                <c:pt idx="168">
                  <c:v>5.8570000000000002</c:v>
                </c:pt>
                <c:pt idx="169">
                  <c:v>5</c:v>
                </c:pt>
                <c:pt idx="170">
                  <c:v>5</c:v>
                </c:pt>
                <c:pt idx="171">
                  <c:v>5</c:v>
                </c:pt>
                <c:pt idx="172">
                  <c:v>8.1430000000000007</c:v>
                </c:pt>
                <c:pt idx="173">
                  <c:v>3.1429999999999998</c:v>
                </c:pt>
                <c:pt idx="174">
                  <c:v>7.4290000000000003</c:v>
                </c:pt>
                <c:pt idx="175">
                  <c:v>7.4290000000000003</c:v>
                </c:pt>
                <c:pt idx="176">
                  <c:v>8.7140000000000004</c:v>
                </c:pt>
                <c:pt idx="177">
                  <c:v>8.7140000000000004</c:v>
                </c:pt>
                <c:pt idx="178">
                  <c:v>8.7140000000000004</c:v>
                </c:pt>
                <c:pt idx="179">
                  <c:v>6.2859999999999996</c:v>
                </c:pt>
                <c:pt idx="180">
                  <c:v>6.2859999999999996</c:v>
                </c:pt>
                <c:pt idx="181">
                  <c:v>3.8570000000000002</c:v>
                </c:pt>
                <c:pt idx="182">
                  <c:v>3.8570000000000002</c:v>
                </c:pt>
                <c:pt idx="183">
                  <c:v>2.714</c:v>
                </c:pt>
                <c:pt idx="184">
                  <c:v>2.714</c:v>
                </c:pt>
                <c:pt idx="185">
                  <c:v>2.714</c:v>
                </c:pt>
                <c:pt idx="186">
                  <c:v>2</c:v>
                </c:pt>
                <c:pt idx="187">
                  <c:v>3.5710000000000002</c:v>
                </c:pt>
                <c:pt idx="188">
                  <c:v>7.5709999999999997</c:v>
                </c:pt>
                <c:pt idx="189">
                  <c:v>10.856999999999999</c:v>
                </c:pt>
                <c:pt idx="190">
                  <c:v>10.714</c:v>
                </c:pt>
                <c:pt idx="191">
                  <c:v>10.714</c:v>
                </c:pt>
                <c:pt idx="192">
                  <c:v>10.714</c:v>
                </c:pt>
                <c:pt idx="193">
                  <c:v>10.714</c:v>
                </c:pt>
                <c:pt idx="194">
                  <c:v>26.713999999999999</c:v>
                </c:pt>
                <c:pt idx="195">
                  <c:v>20.856999999999999</c:v>
                </c:pt>
                <c:pt idx="196">
                  <c:v>17.571000000000002</c:v>
                </c:pt>
                <c:pt idx="197">
                  <c:v>17.571000000000002</c:v>
                </c:pt>
                <c:pt idx="198">
                  <c:v>17.571000000000002</c:v>
                </c:pt>
                <c:pt idx="199">
                  <c:v>18.286000000000001</c:v>
                </c:pt>
                <c:pt idx="200">
                  <c:v>18.286000000000001</c:v>
                </c:pt>
                <c:pt idx="201">
                  <c:v>0.71399999999999997</c:v>
                </c:pt>
                <c:pt idx="202">
                  <c:v>22.428999999999998</c:v>
                </c:pt>
                <c:pt idx="203">
                  <c:v>22.428999999999998</c:v>
                </c:pt>
                <c:pt idx="204">
                  <c:v>22.428999999999998</c:v>
                </c:pt>
                <c:pt idx="205">
                  <c:v>22.428999999999998</c:v>
                </c:pt>
                <c:pt idx="206">
                  <c:v>21.713999999999999</c:v>
                </c:pt>
                <c:pt idx="207">
                  <c:v>21.713999999999999</c:v>
                </c:pt>
                <c:pt idx="208">
                  <c:v>36.286000000000001</c:v>
                </c:pt>
                <c:pt idx="209">
                  <c:v>17</c:v>
                </c:pt>
                <c:pt idx="210">
                  <c:v>17</c:v>
                </c:pt>
                <c:pt idx="211">
                  <c:v>17</c:v>
                </c:pt>
                <c:pt idx="212">
                  <c:v>17</c:v>
                </c:pt>
                <c:pt idx="213">
                  <c:v>17</c:v>
                </c:pt>
                <c:pt idx="214">
                  <c:v>17</c:v>
                </c:pt>
                <c:pt idx="215">
                  <c:v>2.4289999999999998</c:v>
                </c:pt>
                <c:pt idx="216">
                  <c:v>0</c:v>
                </c:pt>
                <c:pt idx="217">
                  <c:v>3.714</c:v>
                </c:pt>
                <c:pt idx="218">
                  <c:v>3.714</c:v>
                </c:pt>
                <c:pt idx="219">
                  <c:v>3.714</c:v>
                </c:pt>
                <c:pt idx="220">
                  <c:v>4.7140000000000004</c:v>
                </c:pt>
                <c:pt idx="221">
                  <c:v>4.7140000000000004</c:v>
                </c:pt>
                <c:pt idx="222">
                  <c:v>4.7140000000000004</c:v>
                </c:pt>
                <c:pt idx="223">
                  <c:v>11</c:v>
                </c:pt>
                <c:pt idx="224">
                  <c:v>7.2859999999999996</c:v>
                </c:pt>
                <c:pt idx="225">
                  <c:v>7.2859999999999996</c:v>
                </c:pt>
                <c:pt idx="226">
                  <c:v>7.2859999999999996</c:v>
                </c:pt>
                <c:pt idx="227">
                  <c:v>6.2859999999999996</c:v>
                </c:pt>
                <c:pt idx="228">
                  <c:v>6.2859999999999996</c:v>
                </c:pt>
                <c:pt idx="229">
                  <c:v>6.2859999999999996</c:v>
                </c:pt>
                <c:pt idx="230">
                  <c:v>0</c:v>
                </c:pt>
                <c:pt idx="231">
                  <c:v>0</c:v>
                </c:pt>
                <c:pt idx="232">
                  <c:v>41.143000000000001</c:v>
                </c:pt>
                <c:pt idx="233">
                  <c:v>41.143000000000001</c:v>
                </c:pt>
                <c:pt idx="234">
                  <c:v>41.143000000000001</c:v>
                </c:pt>
                <c:pt idx="235">
                  <c:v>41.143000000000001</c:v>
                </c:pt>
                <c:pt idx="236">
                  <c:v>41.143000000000001</c:v>
                </c:pt>
                <c:pt idx="237">
                  <c:v>41.143000000000001</c:v>
                </c:pt>
                <c:pt idx="238">
                  <c:v>51.429000000000002</c:v>
                </c:pt>
                <c:pt idx="239">
                  <c:v>10.286</c:v>
                </c:pt>
                <c:pt idx="240">
                  <c:v>10.286</c:v>
                </c:pt>
                <c:pt idx="241">
                  <c:v>10.286</c:v>
                </c:pt>
                <c:pt idx="242">
                  <c:v>10.286</c:v>
                </c:pt>
                <c:pt idx="243">
                  <c:v>10.286</c:v>
                </c:pt>
                <c:pt idx="244">
                  <c:v>10.286</c:v>
                </c:pt>
                <c:pt idx="245">
                  <c:v>0</c:v>
                </c:pt>
                <c:pt idx="246">
                  <c:v>11.571</c:v>
                </c:pt>
                <c:pt idx="247">
                  <c:v>11.571</c:v>
                </c:pt>
                <c:pt idx="248">
                  <c:v>11.571</c:v>
                </c:pt>
                <c:pt idx="249">
                  <c:v>11.571</c:v>
                </c:pt>
                <c:pt idx="250">
                  <c:v>11.571</c:v>
                </c:pt>
                <c:pt idx="251">
                  <c:v>20.571000000000002</c:v>
                </c:pt>
                <c:pt idx="252">
                  <c:v>20.571000000000002</c:v>
                </c:pt>
                <c:pt idx="253">
                  <c:v>9</c:v>
                </c:pt>
                <c:pt idx="254">
                  <c:v>9</c:v>
                </c:pt>
                <c:pt idx="255">
                  <c:v>9.8569999999999993</c:v>
                </c:pt>
                <c:pt idx="256">
                  <c:v>9.8569999999999993</c:v>
                </c:pt>
                <c:pt idx="257">
                  <c:v>9.8569999999999993</c:v>
                </c:pt>
                <c:pt idx="258">
                  <c:v>0.85699999999999998</c:v>
                </c:pt>
                <c:pt idx="259">
                  <c:v>0.85699999999999998</c:v>
                </c:pt>
                <c:pt idx="260">
                  <c:v>0.85699999999999998</c:v>
                </c:pt>
                <c:pt idx="261">
                  <c:v>11.429</c:v>
                </c:pt>
                <c:pt idx="262">
                  <c:v>10.571</c:v>
                </c:pt>
                <c:pt idx="263">
                  <c:v>10.571</c:v>
                </c:pt>
                <c:pt idx="264">
                  <c:v>10.571</c:v>
                </c:pt>
                <c:pt idx="265">
                  <c:v>10.571</c:v>
                </c:pt>
                <c:pt idx="266">
                  <c:v>18.286000000000001</c:v>
                </c:pt>
                <c:pt idx="267">
                  <c:v>18.286000000000001</c:v>
                </c:pt>
                <c:pt idx="268">
                  <c:v>7.7140000000000004</c:v>
                </c:pt>
                <c:pt idx="269">
                  <c:v>7.7140000000000004</c:v>
                </c:pt>
                <c:pt idx="270">
                  <c:v>7.7140000000000004</c:v>
                </c:pt>
                <c:pt idx="271">
                  <c:v>7.7140000000000004</c:v>
                </c:pt>
                <c:pt idx="272">
                  <c:v>7.7140000000000004</c:v>
                </c:pt>
                <c:pt idx="273">
                  <c:v>0</c:v>
                </c:pt>
                <c:pt idx="274">
                  <c:v>0</c:v>
                </c:pt>
                <c:pt idx="275">
                  <c:v>0</c:v>
                </c:pt>
                <c:pt idx="276">
                  <c:v>11.856999999999999</c:v>
                </c:pt>
                <c:pt idx="277">
                  <c:v>11.856999999999999</c:v>
                </c:pt>
                <c:pt idx="278">
                  <c:v>11.856999999999999</c:v>
                </c:pt>
                <c:pt idx="279">
                  <c:v>11.856999999999999</c:v>
                </c:pt>
                <c:pt idx="280">
                  <c:v>11.856999999999999</c:v>
                </c:pt>
                <c:pt idx="281">
                  <c:v>15.856999999999999</c:v>
                </c:pt>
                <c:pt idx="282">
                  <c:v>15.856999999999999</c:v>
                </c:pt>
                <c:pt idx="283">
                  <c:v>4</c:v>
                </c:pt>
                <c:pt idx="284">
                  <c:v>4</c:v>
                </c:pt>
                <c:pt idx="285">
                  <c:v>4</c:v>
                </c:pt>
                <c:pt idx="286">
                  <c:v>4</c:v>
                </c:pt>
                <c:pt idx="287">
                  <c:v>4</c:v>
                </c:pt>
                <c:pt idx="288">
                  <c:v>0</c:v>
                </c:pt>
                <c:pt idx="289">
                  <c:v>3.4289999999999998</c:v>
                </c:pt>
                <c:pt idx="290">
                  <c:v>3.4289999999999998</c:v>
                </c:pt>
                <c:pt idx="291">
                  <c:v>3.4289999999999998</c:v>
                </c:pt>
                <c:pt idx="292">
                  <c:v>3.4289999999999998</c:v>
                </c:pt>
                <c:pt idx="293">
                  <c:v>3.4289999999999998</c:v>
                </c:pt>
                <c:pt idx="294">
                  <c:v>3.4289999999999998</c:v>
                </c:pt>
                <c:pt idx="295">
                  <c:v>3.4289999999999998</c:v>
                </c:pt>
                <c:pt idx="296">
                  <c:v>1.714</c:v>
                </c:pt>
                <c:pt idx="297">
                  <c:v>1.714</c:v>
                </c:pt>
                <c:pt idx="298">
                  <c:v>1.714</c:v>
                </c:pt>
                <c:pt idx="299">
                  <c:v>1.714</c:v>
                </c:pt>
                <c:pt idx="300">
                  <c:v>1.714</c:v>
                </c:pt>
                <c:pt idx="301">
                  <c:v>1.714</c:v>
                </c:pt>
                <c:pt idx="302">
                  <c:v>1.714</c:v>
                </c:pt>
                <c:pt idx="303">
                  <c:v>0</c:v>
                </c:pt>
                <c:pt idx="304">
                  <c:v>2.5710000000000002</c:v>
                </c:pt>
                <c:pt idx="305">
                  <c:v>2.5710000000000002</c:v>
                </c:pt>
                <c:pt idx="306">
                  <c:v>2.5710000000000002</c:v>
                </c:pt>
                <c:pt idx="307">
                  <c:v>2.5710000000000002</c:v>
                </c:pt>
                <c:pt idx="308">
                  <c:v>2.5710000000000002</c:v>
                </c:pt>
                <c:pt idx="309">
                  <c:v>2.5710000000000002</c:v>
                </c:pt>
                <c:pt idx="310">
                  <c:v>2.5710000000000002</c:v>
                </c:pt>
                <c:pt idx="311">
                  <c:v>0</c:v>
                </c:pt>
                <c:pt idx="312">
                  <c:v>0</c:v>
                </c:pt>
                <c:pt idx="313">
                  <c:v>1.429</c:v>
                </c:pt>
                <c:pt idx="314">
                  <c:v>1.429</c:v>
                </c:pt>
                <c:pt idx="315">
                  <c:v>1.429</c:v>
                </c:pt>
                <c:pt idx="316">
                  <c:v>1.429</c:v>
                </c:pt>
                <c:pt idx="317">
                  <c:v>1.429</c:v>
                </c:pt>
                <c:pt idx="318">
                  <c:v>5.7140000000000004</c:v>
                </c:pt>
                <c:pt idx="319">
                  <c:v>5.7140000000000004</c:v>
                </c:pt>
                <c:pt idx="320">
                  <c:v>4.2859999999999996</c:v>
                </c:pt>
                <c:pt idx="321">
                  <c:v>4.2859999999999996</c:v>
                </c:pt>
                <c:pt idx="322">
                  <c:v>4.2859999999999996</c:v>
                </c:pt>
                <c:pt idx="323">
                  <c:v>4.2859999999999996</c:v>
                </c:pt>
                <c:pt idx="324">
                  <c:v>8.5709999999999997</c:v>
                </c:pt>
                <c:pt idx="325">
                  <c:v>4.2859999999999996</c:v>
                </c:pt>
                <c:pt idx="326">
                  <c:v>4.2859999999999996</c:v>
                </c:pt>
                <c:pt idx="327">
                  <c:v>10</c:v>
                </c:pt>
                <c:pt idx="328">
                  <c:v>11.143000000000001</c:v>
                </c:pt>
                <c:pt idx="329">
                  <c:v>11.143000000000001</c:v>
                </c:pt>
                <c:pt idx="330">
                  <c:v>11.143000000000001</c:v>
                </c:pt>
                <c:pt idx="331">
                  <c:v>17.286000000000001</c:v>
                </c:pt>
                <c:pt idx="332">
                  <c:v>28.428999999999998</c:v>
                </c:pt>
                <c:pt idx="333">
                  <c:v>37.286000000000001</c:v>
                </c:pt>
                <c:pt idx="334">
                  <c:v>34</c:v>
                </c:pt>
                <c:pt idx="335">
                  <c:v>45.856999999999999</c:v>
                </c:pt>
                <c:pt idx="336">
                  <c:v>58.713999999999999</c:v>
                </c:pt>
                <c:pt idx="337">
                  <c:v>73</c:v>
                </c:pt>
                <c:pt idx="338">
                  <c:v>80.713999999999999</c:v>
                </c:pt>
                <c:pt idx="339">
                  <c:v>88.429000000000002</c:v>
                </c:pt>
                <c:pt idx="340">
                  <c:v>79.570999999999998</c:v>
                </c:pt>
                <c:pt idx="341">
                  <c:v>113.857</c:v>
                </c:pt>
                <c:pt idx="342">
                  <c:v>119.143</c:v>
                </c:pt>
                <c:pt idx="343">
                  <c:v>139</c:v>
                </c:pt>
                <c:pt idx="344">
                  <c:v>124.714</c:v>
                </c:pt>
                <c:pt idx="345">
                  <c:v>149.857</c:v>
                </c:pt>
                <c:pt idx="346">
                  <c:v>150.714</c:v>
                </c:pt>
                <c:pt idx="347">
                  <c:v>150.714</c:v>
                </c:pt>
                <c:pt idx="348">
                  <c:v>157.429</c:v>
                </c:pt>
                <c:pt idx="349">
                  <c:v>177.143</c:v>
                </c:pt>
                <c:pt idx="350">
                  <c:v>163.714</c:v>
                </c:pt>
                <c:pt idx="351">
                  <c:v>181.714</c:v>
                </c:pt>
                <c:pt idx="352">
                  <c:v>168.286</c:v>
                </c:pt>
                <c:pt idx="353">
                  <c:v>166.143</c:v>
                </c:pt>
                <c:pt idx="354">
                  <c:v>166.143</c:v>
                </c:pt>
                <c:pt idx="355">
                  <c:v>150</c:v>
                </c:pt>
                <c:pt idx="356">
                  <c:v>152</c:v>
                </c:pt>
                <c:pt idx="357">
                  <c:v>149.429</c:v>
                </c:pt>
                <c:pt idx="358">
                  <c:v>151.286</c:v>
                </c:pt>
                <c:pt idx="359">
                  <c:v>140.857</c:v>
                </c:pt>
                <c:pt idx="360">
                  <c:v>138.571</c:v>
                </c:pt>
                <c:pt idx="361">
                  <c:v>138.571</c:v>
                </c:pt>
                <c:pt idx="362">
                  <c:v>129.286</c:v>
                </c:pt>
                <c:pt idx="363">
                  <c:v>124.143</c:v>
                </c:pt>
                <c:pt idx="364">
                  <c:v>127.143</c:v>
                </c:pt>
                <c:pt idx="365">
                  <c:v>122.857</c:v>
                </c:pt>
                <c:pt idx="366">
                  <c:v>126.714</c:v>
                </c:pt>
                <c:pt idx="367">
                  <c:v>111.429</c:v>
                </c:pt>
                <c:pt idx="368">
                  <c:v>157.857</c:v>
                </c:pt>
                <c:pt idx="369">
                  <c:v>146</c:v>
                </c:pt>
                <c:pt idx="370">
                  <c:v>127.857</c:v>
                </c:pt>
                <c:pt idx="371">
                  <c:v>126.571</c:v>
                </c:pt>
                <c:pt idx="372">
                  <c:v>133.143</c:v>
                </c:pt>
                <c:pt idx="373">
                  <c:v>109.857</c:v>
                </c:pt>
                <c:pt idx="374">
                  <c:v>152</c:v>
                </c:pt>
                <c:pt idx="375">
                  <c:v>105.571</c:v>
                </c:pt>
                <c:pt idx="376">
                  <c:v>124.286</c:v>
                </c:pt>
                <c:pt idx="377">
                  <c:v>127.429</c:v>
                </c:pt>
                <c:pt idx="378">
                  <c:v>135.714</c:v>
                </c:pt>
                <c:pt idx="379">
                  <c:v>131.857</c:v>
                </c:pt>
                <c:pt idx="380">
                  <c:v>147</c:v>
                </c:pt>
                <c:pt idx="381">
                  <c:v>119.286</c:v>
                </c:pt>
                <c:pt idx="382">
                  <c:v>119.286</c:v>
                </c:pt>
                <c:pt idx="383">
                  <c:v>95.143000000000001</c:v>
                </c:pt>
                <c:pt idx="384">
                  <c:v>115.143</c:v>
                </c:pt>
                <c:pt idx="385">
                  <c:v>106.286</c:v>
                </c:pt>
                <c:pt idx="386">
                  <c:v>98</c:v>
                </c:pt>
                <c:pt idx="387">
                  <c:v>82.856999999999999</c:v>
                </c:pt>
                <c:pt idx="388">
                  <c:v>110.286</c:v>
                </c:pt>
                <c:pt idx="389">
                  <c:v>110.286</c:v>
                </c:pt>
                <c:pt idx="390">
                  <c:v>109.571</c:v>
                </c:pt>
                <c:pt idx="391">
                  <c:v>89</c:v>
                </c:pt>
                <c:pt idx="392">
                  <c:v>94</c:v>
                </c:pt>
                <c:pt idx="393">
                  <c:v>84</c:v>
                </c:pt>
                <c:pt idx="394">
                  <c:v>122.714</c:v>
                </c:pt>
                <c:pt idx="395">
                  <c:v>80.856999999999999</c:v>
                </c:pt>
                <c:pt idx="396">
                  <c:v>80.856999999999999</c:v>
                </c:pt>
                <c:pt idx="397">
                  <c:v>80.856999999999999</c:v>
                </c:pt>
                <c:pt idx="398">
                  <c:v>96.143000000000001</c:v>
                </c:pt>
                <c:pt idx="399">
                  <c:v>108.286</c:v>
                </c:pt>
                <c:pt idx="400">
                  <c:v>108.286</c:v>
                </c:pt>
                <c:pt idx="401">
                  <c:v>88.856999999999999</c:v>
                </c:pt>
                <c:pt idx="402">
                  <c:v>88.856999999999999</c:v>
                </c:pt>
                <c:pt idx="403">
                  <c:v>88.856999999999999</c:v>
                </c:pt>
                <c:pt idx="404">
                  <c:v>88.856999999999999</c:v>
                </c:pt>
                <c:pt idx="405">
                  <c:v>84.429000000000002</c:v>
                </c:pt>
                <c:pt idx="406">
                  <c:v>69.713999999999999</c:v>
                </c:pt>
                <c:pt idx="407">
                  <c:v>84.429000000000002</c:v>
                </c:pt>
                <c:pt idx="408">
                  <c:v>65.143000000000001</c:v>
                </c:pt>
                <c:pt idx="409">
                  <c:v>65.143000000000001</c:v>
                </c:pt>
                <c:pt idx="410">
                  <c:v>65.143000000000001</c:v>
                </c:pt>
              </c:numCache>
            </c:numRef>
          </c:val>
          <c:extLst>
            <c:ext xmlns:c16="http://schemas.microsoft.com/office/drawing/2014/chart" uri="{C3380CC4-5D6E-409C-BE32-E72D297353CC}">
              <c16:uniqueId val="{00000002-FA1B-4147-8CBF-AE9FAA6E8AFA}"/>
            </c:ext>
          </c:extLst>
        </c:ser>
        <c:dLbls>
          <c:showLegendKey val="0"/>
          <c:showVal val="0"/>
          <c:showCatName val="0"/>
          <c:showSerName val="0"/>
          <c:showPercent val="0"/>
          <c:showBubbleSize val="0"/>
        </c:dLbls>
        <c:gapWidth val="25"/>
        <c:axId val="177484576"/>
        <c:axId val="2109619295"/>
      </c:barChart>
      <c:lineChart>
        <c:grouping val="standard"/>
        <c:varyColors val="0"/>
        <c:ser>
          <c:idx val="1"/>
          <c:order val="1"/>
          <c:tx>
            <c:v>Total deaths (right axis)</c:v>
          </c:tx>
          <c:spPr>
            <a:ln w="28575" cap="rnd">
              <a:solidFill>
                <a:schemeClr val="accent2"/>
              </a:solidFill>
              <a:round/>
            </a:ln>
            <a:effectLst/>
          </c:spPr>
          <c:marker>
            <c:symbol val="none"/>
          </c:marker>
          <c:val>
            <c:numRef>
              <c:f>data!$H$2:$H$412</c:f>
              <c:numCache>
                <c:formatCode>General</c:formatCode>
                <c:ptCount val="411"/>
                <c:pt idx="23">
                  <c:v>1</c:v>
                </c:pt>
                <c:pt idx="24">
                  <c:v>1</c:v>
                </c:pt>
                <c:pt idx="25">
                  <c:v>1</c:v>
                </c:pt>
                <c:pt idx="26">
                  <c:v>1</c:v>
                </c:pt>
                <c:pt idx="27">
                  <c:v>1</c:v>
                </c:pt>
                <c:pt idx="28">
                  <c:v>2</c:v>
                </c:pt>
                <c:pt idx="29">
                  <c:v>2</c:v>
                </c:pt>
                <c:pt idx="30">
                  <c:v>5</c:v>
                </c:pt>
                <c:pt idx="31">
                  <c:v>5</c:v>
                </c:pt>
                <c:pt idx="32">
                  <c:v>6</c:v>
                </c:pt>
                <c:pt idx="33">
                  <c:v>7</c:v>
                </c:pt>
                <c:pt idx="34">
                  <c:v>7</c:v>
                </c:pt>
                <c:pt idx="35">
                  <c:v>8</c:v>
                </c:pt>
                <c:pt idx="36">
                  <c:v>8</c:v>
                </c:pt>
                <c:pt idx="37">
                  <c:v>8</c:v>
                </c:pt>
                <c:pt idx="38">
                  <c:v>16</c:v>
                </c:pt>
                <c:pt idx="39">
                  <c:v>16</c:v>
                </c:pt>
                <c:pt idx="40">
                  <c:v>18</c:v>
                </c:pt>
                <c:pt idx="41">
                  <c:v>23</c:v>
                </c:pt>
                <c:pt idx="42">
                  <c:v>26</c:v>
                </c:pt>
                <c:pt idx="43">
                  <c:v>28</c:v>
                </c:pt>
                <c:pt idx="44">
                  <c:v>28</c:v>
                </c:pt>
                <c:pt idx="45">
                  <c:v>28</c:v>
                </c:pt>
                <c:pt idx="46">
                  <c:v>28</c:v>
                </c:pt>
                <c:pt idx="47">
                  <c:v>31</c:v>
                </c:pt>
                <c:pt idx="48">
                  <c:v>32</c:v>
                </c:pt>
                <c:pt idx="49">
                  <c:v>35</c:v>
                </c:pt>
                <c:pt idx="50">
                  <c:v>38</c:v>
                </c:pt>
                <c:pt idx="51">
                  <c:v>39</c:v>
                </c:pt>
                <c:pt idx="52">
                  <c:v>44</c:v>
                </c:pt>
                <c:pt idx="53">
                  <c:v>44</c:v>
                </c:pt>
                <c:pt idx="54">
                  <c:v>48</c:v>
                </c:pt>
                <c:pt idx="55">
                  <c:v>51</c:v>
                </c:pt>
                <c:pt idx="56">
                  <c:v>52</c:v>
                </c:pt>
                <c:pt idx="57">
                  <c:v>52</c:v>
                </c:pt>
                <c:pt idx="58">
                  <c:v>52</c:v>
                </c:pt>
                <c:pt idx="59">
                  <c:v>53</c:v>
                </c:pt>
                <c:pt idx="60">
                  <c:v>53</c:v>
                </c:pt>
                <c:pt idx="61">
                  <c:v>55</c:v>
                </c:pt>
                <c:pt idx="62">
                  <c:v>56</c:v>
                </c:pt>
                <c:pt idx="63">
                  <c:v>57</c:v>
                </c:pt>
                <c:pt idx="64">
                  <c:v>59</c:v>
                </c:pt>
                <c:pt idx="65">
                  <c:v>61</c:v>
                </c:pt>
                <c:pt idx="66">
                  <c:v>61</c:v>
                </c:pt>
                <c:pt idx="67">
                  <c:v>61</c:v>
                </c:pt>
                <c:pt idx="68">
                  <c:v>61</c:v>
                </c:pt>
                <c:pt idx="69">
                  <c:v>61</c:v>
                </c:pt>
                <c:pt idx="70">
                  <c:v>66</c:v>
                </c:pt>
                <c:pt idx="71">
                  <c:v>67</c:v>
                </c:pt>
                <c:pt idx="72">
                  <c:v>67</c:v>
                </c:pt>
                <c:pt idx="73">
                  <c:v>72</c:v>
                </c:pt>
                <c:pt idx="74">
                  <c:v>72</c:v>
                </c:pt>
                <c:pt idx="75">
                  <c:v>73</c:v>
                </c:pt>
                <c:pt idx="76">
                  <c:v>78</c:v>
                </c:pt>
                <c:pt idx="77">
                  <c:v>79</c:v>
                </c:pt>
                <c:pt idx="78">
                  <c:v>79</c:v>
                </c:pt>
                <c:pt idx="79">
                  <c:v>79</c:v>
                </c:pt>
                <c:pt idx="80">
                  <c:v>79</c:v>
                </c:pt>
                <c:pt idx="81">
                  <c:v>79</c:v>
                </c:pt>
                <c:pt idx="82">
                  <c:v>82</c:v>
                </c:pt>
                <c:pt idx="83">
                  <c:v>83</c:v>
                </c:pt>
                <c:pt idx="84">
                  <c:v>84</c:v>
                </c:pt>
                <c:pt idx="85">
                  <c:v>85</c:v>
                </c:pt>
                <c:pt idx="86">
                  <c:v>85</c:v>
                </c:pt>
                <c:pt idx="87">
                  <c:v>85</c:v>
                </c:pt>
                <c:pt idx="88">
                  <c:v>85</c:v>
                </c:pt>
                <c:pt idx="89">
                  <c:v>87</c:v>
                </c:pt>
                <c:pt idx="90">
                  <c:v>88</c:v>
                </c:pt>
                <c:pt idx="91">
                  <c:v>88</c:v>
                </c:pt>
                <c:pt idx="92">
                  <c:v>88</c:v>
                </c:pt>
                <c:pt idx="93">
                  <c:v>88</c:v>
                </c:pt>
                <c:pt idx="94">
                  <c:v>88</c:v>
                </c:pt>
                <c:pt idx="95">
                  <c:v>88</c:v>
                </c:pt>
                <c:pt idx="96">
                  <c:v>88</c:v>
                </c:pt>
                <c:pt idx="97">
                  <c:v>90</c:v>
                </c:pt>
                <c:pt idx="98">
                  <c:v>90</c:v>
                </c:pt>
                <c:pt idx="99">
                  <c:v>90</c:v>
                </c:pt>
                <c:pt idx="100">
                  <c:v>90</c:v>
                </c:pt>
                <c:pt idx="101">
                  <c:v>90</c:v>
                </c:pt>
                <c:pt idx="102">
                  <c:v>90</c:v>
                </c:pt>
                <c:pt idx="103">
                  <c:v>90</c:v>
                </c:pt>
                <c:pt idx="104">
                  <c:v>90</c:v>
                </c:pt>
                <c:pt idx="105">
                  <c:v>90</c:v>
                </c:pt>
                <c:pt idx="106">
                  <c:v>90</c:v>
                </c:pt>
                <c:pt idx="107">
                  <c:v>90</c:v>
                </c:pt>
                <c:pt idx="108">
                  <c:v>90</c:v>
                </c:pt>
                <c:pt idx="109">
                  <c:v>90</c:v>
                </c:pt>
                <c:pt idx="110">
                  <c:v>92</c:v>
                </c:pt>
                <c:pt idx="111">
                  <c:v>92</c:v>
                </c:pt>
                <c:pt idx="112">
                  <c:v>92</c:v>
                </c:pt>
                <c:pt idx="113">
                  <c:v>92</c:v>
                </c:pt>
                <c:pt idx="114">
                  <c:v>92</c:v>
                </c:pt>
                <c:pt idx="115">
                  <c:v>92</c:v>
                </c:pt>
                <c:pt idx="116">
                  <c:v>92</c:v>
                </c:pt>
                <c:pt idx="117">
                  <c:v>92</c:v>
                </c:pt>
                <c:pt idx="118">
                  <c:v>93</c:v>
                </c:pt>
                <c:pt idx="119">
                  <c:v>93</c:v>
                </c:pt>
                <c:pt idx="120">
                  <c:v>93</c:v>
                </c:pt>
                <c:pt idx="121">
                  <c:v>93</c:v>
                </c:pt>
                <c:pt idx="122">
                  <c:v>93</c:v>
                </c:pt>
                <c:pt idx="123">
                  <c:v>93</c:v>
                </c:pt>
                <c:pt idx="124">
                  <c:v>93</c:v>
                </c:pt>
                <c:pt idx="125">
                  <c:v>93</c:v>
                </c:pt>
                <c:pt idx="126">
                  <c:v>93</c:v>
                </c:pt>
                <c:pt idx="127">
                  <c:v>93</c:v>
                </c:pt>
                <c:pt idx="128">
                  <c:v>93</c:v>
                </c:pt>
                <c:pt idx="129">
                  <c:v>93</c:v>
                </c:pt>
                <c:pt idx="130">
                  <c:v>93</c:v>
                </c:pt>
                <c:pt idx="131">
                  <c:v>93</c:v>
                </c:pt>
                <c:pt idx="132">
                  <c:v>93</c:v>
                </c:pt>
                <c:pt idx="133">
                  <c:v>93</c:v>
                </c:pt>
                <c:pt idx="134">
                  <c:v>93</c:v>
                </c:pt>
                <c:pt idx="135">
                  <c:v>93</c:v>
                </c:pt>
                <c:pt idx="136">
                  <c:v>93</c:v>
                </c:pt>
                <c:pt idx="137">
                  <c:v>93</c:v>
                </c:pt>
                <c:pt idx="138">
                  <c:v>93</c:v>
                </c:pt>
                <c:pt idx="139">
                  <c:v>93</c:v>
                </c:pt>
                <c:pt idx="140">
                  <c:v>93</c:v>
                </c:pt>
                <c:pt idx="141">
                  <c:v>93</c:v>
                </c:pt>
                <c:pt idx="142">
                  <c:v>93</c:v>
                </c:pt>
                <c:pt idx="143">
                  <c:v>93</c:v>
                </c:pt>
                <c:pt idx="144">
                  <c:v>93</c:v>
                </c:pt>
                <c:pt idx="145">
                  <c:v>93</c:v>
                </c:pt>
                <c:pt idx="146">
                  <c:v>93</c:v>
                </c:pt>
                <c:pt idx="147">
                  <c:v>93</c:v>
                </c:pt>
                <c:pt idx="148">
                  <c:v>93</c:v>
                </c:pt>
                <c:pt idx="149">
                  <c:v>93</c:v>
                </c:pt>
                <c:pt idx="150">
                  <c:v>93</c:v>
                </c:pt>
                <c:pt idx="151">
                  <c:v>93</c:v>
                </c:pt>
                <c:pt idx="152">
                  <c:v>93</c:v>
                </c:pt>
                <c:pt idx="153">
                  <c:v>93</c:v>
                </c:pt>
                <c:pt idx="154">
                  <c:v>93</c:v>
                </c:pt>
                <c:pt idx="155">
                  <c:v>93</c:v>
                </c:pt>
                <c:pt idx="156">
                  <c:v>93</c:v>
                </c:pt>
                <c:pt idx="157">
                  <c:v>93</c:v>
                </c:pt>
                <c:pt idx="158">
                  <c:v>93</c:v>
                </c:pt>
                <c:pt idx="159">
                  <c:v>93</c:v>
                </c:pt>
                <c:pt idx="160">
                  <c:v>93</c:v>
                </c:pt>
                <c:pt idx="161">
                  <c:v>93</c:v>
                </c:pt>
                <c:pt idx="162">
                  <c:v>95</c:v>
                </c:pt>
                <c:pt idx="163">
                  <c:v>95</c:v>
                </c:pt>
                <c:pt idx="164">
                  <c:v>95</c:v>
                </c:pt>
                <c:pt idx="165">
                  <c:v>95</c:v>
                </c:pt>
                <c:pt idx="166">
                  <c:v>97</c:v>
                </c:pt>
                <c:pt idx="167">
                  <c:v>98</c:v>
                </c:pt>
                <c:pt idx="168">
                  <c:v>98</c:v>
                </c:pt>
                <c:pt idx="169">
                  <c:v>98</c:v>
                </c:pt>
                <c:pt idx="170">
                  <c:v>98</c:v>
                </c:pt>
                <c:pt idx="171">
                  <c:v>98</c:v>
                </c:pt>
                <c:pt idx="172">
                  <c:v>97</c:v>
                </c:pt>
                <c:pt idx="173">
                  <c:v>97</c:v>
                </c:pt>
                <c:pt idx="174">
                  <c:v>97</c:v>
                </c:pt>
                <c:pt idx="175">
                  <c:v>97</c:v>
                </c:pt>
                <c:pt idx="176">
                  <c:v>97</c:v>
                </c:pt>
                <c:pt idx="177">
                  <c:v>97</c:v>
                </c:pt>
                <c:pt idx="178">
                  <c:v>97</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99</c:v>
                </c:pt>
                <c:pt idx="195">
                  <c:v>99</c:v>
                </c:pt>
                <c:pt idx="196">
                  <c:v>99</c:v>
                </c:pt>
                <c:pt idx="197">
                  <c:v>99</c:v>
                </c:pt>
                <c:pt idx="198">
                  <c:v>99</c:v>
                </c:pt>
                <c:pt idx="199">
                  <c:v>99</c:v>
                </c:pt>
                <c:pt idx="200">
                  <c:v>99</c:v>
                </c:pt>
                <c:pt idx="201">
                  <c:v>99</c:v>
                </c:pt>
                <c:pt idx="202">
                  <c:v>99</c:v>
                </c:pt>
                <c:pt idx="203">
                  <c:v>99</c:v>
                </c:pt>
                <c:pt idx="204">
                  <c:v>99</c:v>
                </c:pt>
                <c:pt idx="205">
                  <c:v>99</c:v>
                </c:pt>
                <c:pt idx="206">
                  <c:v>99</c:v>
                </c:pt>
                <c:pt idx="207">
                  <c:v>99</c:v>
                </c:pt>
                <c:pt idx="208">
                  <c:v>99</c:v>
                </c:pt>
                <c:pt idx="209">
                  <c:v>99</c:v>
                </c:pt>
                <c:pt idx="210">
                  <c:v>99</c:v>
                </c:pt>
                <c:pt idx="211">
                  <c:v>99</c:v>
                </c:pt>
                <c:pt idx="212">
                  <c:v>99</c:v>
                </c:pt>
                <c:pt idx="213">
                  <c:v>99</c:v>
                </c:pt>
                <c:pt idx="214">
                  <c:v>99</c:v>
                </c:pt>
                <c:pt idx="215">
                  <c:v>99</c:v>
                </c:pt>
                <c:pt idx="216">
                  <c:v>99</c:v>
                </c:pt>
                <c:pt idx="217">
                  <c:v>99</c:v>
                </c:pt>
                <c:pt idx="218">
                  <c:v>101</c:v>
                </c:pt>
                <c:pt idx="219">
                  <c:v>101</c:v>
                </c:pt>
                <c:pt idx="220">
                  <c:v>102</c:v>
                </c:pt>
                <c:pt idx="221">
                  <c:v>102</c:v>
                </c:pt>
                <c:pt idx="222">
                  <c:v>102</c:v>
                </c:pt>
                <c:pt idx="223">
                  <c:v>104</c:v>
                </c:pt>
                <c:pt idx="224">
                  <c:v>104</c:v>
                </c:pt>
                <c:pt idx="225">
                  <c:v>104</c:v>
                </c:pt>
                <c:pt idx="226">
                  <c:v>104</c:v>
                </c:pt>
                <c:pt idx="227">
                  <c:v>104</c:v>
                </c:pt>
                <c:pt idx="228">
                  <c:v>104</c:v>
                </c:pt>
                <c:pt idx="229">
                  <c:v>104</c:v>
                </c:pt>
                <c:pt idx="230">
                  <c:v>104</c:v>
                </c:pt>
                <c:pt idx="231">
                  <c:v>104</c:v>
                </c:pt>
                <c:pt idx="232">
                  <c:v>107</c:v>
                </c:pt>
                <c:pt idx="233">
                  <c:v>107</c:v>
                </c:pt>
                <c:pt idx="234">
                  <c:v>107</c:v>
                </c:pt>
                <c:pt idx="235">
                  <c:v>107</c:v>
                </c:pt>
                <c:pt idx="236">
                  <c:v>107</c:v>
                </c:pt>
                <c:pt idx="237">
                  <c:v>107</c:v>
                </c:pt>
                <c:pt idx="238">
                  <c:v>107</c:v>
                </c:pt>
                <c:pt idx="239">
                  <c:v>107</c:v>
                </c:pt>
                <c:pt idx="240">
                  <c:v>107</c:v>
                </c:pt>
                <c:pt idx="241">
                  <c:v>107</c:v>
                </c:pt>
                <c:pt idx="242">
                  <c:v>107</c:v>
                </c:pt>
                <c:pt idx="243">
                  <c:v>107</c:v>
                </c:pt>
                <c:pt idx="244">
                  <c:v>107</c:v>
                </c:pt>
                <c:pt idx="245">
                  <c:v>107</c:v>
                </c:pt>
                <c:pt idx="246">
                  <c:v>108</c:v>
                </c:pt>
                <c:pt idx="247">
                  <c:v>108</c:v>
                </c:pt>
                <c:pt idx="248">
                  <c:v>108</c:v>
                </c:pt>
                <c:pt idx="249">
                  <c:v>108</c:v>
                </c:pt>
                <c:pt idx="250">
                  <c:v>108</c:v>
                </c:pt>
                <c:pt idx="251">
                  <c:v>113</c:v>
                </c:pt>
                <c:pt idx="252">
                  <c:v>113</c:v>
                </c:pt>
                <c:pt idx="253">
                  <c:v>113</c:v>
                </c:pt>
                <c:pt idx="254">
                  <c:v>113</c:v>
                </c:pt>
                <c:pt idx="255">
                  <c:v>113</c:v>
                </c:pt>
                <c:pt idx="256">
                  <c:v>113</c:v>
                </c:pt>
                <c:pt idx="257">
                  <c:v>113</c:v>
                </c:pt>
                <c:pt idx="258">
                  <c:v>113</c:v>
                </c:pt>
                <c:pt idx="259">
                  <c:v>113</c:v>
                </c:pt>
                <c:pt idx="260">
                  <c:v>113</c:v>
                </c:pt>
                <c:pt idx="261">
                  <c:v>121</c:v>
                </c:pt>
                <c:pt idx="262">
                  <c:v>121</c:v>
                </c:pt>
                <c:pt idx="263">
                  <c:v>121</c:v>
                </c:pt>
                <c:pt idx="264">
                  <c:v>121</c:v>
                </c:pt>
                <c:pt idx="265">
                  <c:v>121</c:v>
                </c:pt>
                <c:pt idx="266">
                  <c:v>121</c:v>
                </c:pt>
                <c:pt idx="267">
                  <c:v>121</c:v>
                </c:pt>
                <c:pt idx="268">
                  <c:v>121</c:v>
                </c:pt>
                <c:pt idx="269">
                  <c:v>121</c:v>
                </c:pt>
                <c:pt idx="270">
                  <c:v>121</c:v>
                </c:pt>
                <c:pt idx="271">
                  <c:v>121</c:v>
                </c:pt>
                <c:pt idx="272">
                  <c:v>121</c:v>
                </c:pt>
                <c:pt idx="273">
                  <c:v>121</c:v>
                </c:pt>
                <c:pt idx="274">
                  <c:v>121</c:v>
                </c:pt>
                <c:pt idx="275">
                  <c:v>121</c:v>
                </c:pt>
                <c:pt idx="276">
                  <c:v>124</c:v>
                </c:pt>
                <c:pt idx="277">
                  <c:v>124</c:v>
                </c:pt>
                <c:pt idx="278">
                  <c:v>124</c:v>
                </c:pt>
                <c:pt idx="279">
                  <c:v>124</c:v>
                </c:pt>
                <c:pt idx="280">
                  <c:v>124</c:v>
                </c:pt>
                <c:pt idx="281">
                  <c:v>127</c:v>
                </c:pt>
                <c:pt idx="282">
                  <c:v>127</c:v>
                </c:pt>
                <c:pt idx="283">
                  <c:v>127</c:v>
                </c:pt>
                <c:pt idx="284">
                  <c:v>127</c:v>
                </c:pt>
                <c:pt idx="285">
                  <c:v>127</c:v>
                </c:pt>
                <c:pt idx="286">
                  <c:v>127</c:v>
                </c:pt>
                <c:pt idx="287">
                  <c:v>127</c:v>
                </c:pt>
                <c:pt idx="288">
                  <c:v>127</c:v>
                </c:pt>
                <c:pt idx="289">
                  <c:v>130</c:v>
                </c:pt>
                <c:pt idx="290">
                  <c:v>130</c:v>
                </c:pt>
                <c:pt idx="291">
                  <c:v>130</c:v>
                </c:pt>
                <c:pt idx="292">
                  <c:v>130</c:v>
                </c:pt>
                <c:pt idx="293">
                  <c:v>130</c:v>
                </c:pt>
                <c:pt idx="294">
                  <c:v>130</c:v>
                </c:pt>
                <c:pt idx="295">
                  <c:v>130</c:v>
                </c:pt>
                <c:pt idx="296">
                  <c:v>130</c:v>
                </c:pt>
                <c:pt idx="297">
                  <c:v>130</c:v>
                </c:pt>
                <c:pt idx="298">
                  <c:v>130</c:v>
                </c:pt>
                <c:pt idx="299">
                  <c:v>130</c:v>
                </c:pt>
                <c:pt idx="300">
                  <c:v>130</c:v>
                </c:pt>
                <c:pt idx="301">
                  <c:v>130</c:v>
                </c:pt>
                <c:pt idx="302">
                  <c:v>130</c:v>
                </c:pt>
                <c:pt idx="303">
                  <c:v>130</c:v>
                </c:pt>
                <c:pt idx="304">
                  <c:v>130</c:v>
                </c:pt>
                <c:pt idx="305">
                  <c:v>130</c:v>
                </c:pt>
                <c:pt idx="306">
                  <c:v>130</c:v>
                </c:pt>
                <c:pt idx="307">
                  <c:v>130</c:v>
                </c:pt>
                <c:pt idx="308">
                  <c:v>130</c:v>
                </c:pt>
                <c:pt idx="309">
                  <c:v>130</c:v>
                </c:pt>
                <c:pt idx="310">
                  <c:v>130</c:v>
                </c:pt>
                <c:pt idx="311">
                  <c:v>130</c:v>
                </c:pt>
                <c:pt idx="312">
                  <c:v>130</c:v>
                </c:pt>
                <c:pt idx="313">
                  <c:v>130</c:v>
                </c:pt>
                <c:pt idx="314">
                  <c:v>130</c:v>
                </c:pt>
                <c:pt idx="315">
                  <c:v>130</c:v>
                </c:pt>
                <c:pt idx="316">
                  <c:v>130</c:v>
                </c:pt>
                <c:pt idx="317">
                  <c:v>130</c:v>
                </c:pt>
                <c:pt idx="318">
                  <c:v>130</c:v>
                </c:pt>
                <c:pt idx="319">
                  <c:v>130</c:v>
                </c:pt>
                <c:pt idx="320">
                  <c:v>130</c:v>
                </c:pt>
                <c:pt idx="321">
                  <c:v>130</c:v>
                </c:pt>
                <c:pt idx="322">
                  <c:v>130</c:v>
                </c:pt>
                <c:pt idx="323">
                  <c:v>130</c:v>
                </c:pt>
                <c:pt idx="324">
                  <c:v>132</c:v>
                </c:pt>
                <c:pt idx="325">
                  <c:v>132</c:v>
                </c:pt>
                <c:pt idx="326">
                  <c:v>132</c:v>
                </c:pt>
                <c:pt idx="327">
                  <c:v>134</c:v>
                </c:pt>
                <c:pt idx="328">
                  <c:v>134</c:v>
                </c:pt>
                <c:pt idx="329">
                  <c:v>134</c:v>
                </c:pt>
                <c:pt idx="330">
                  <c:v>134</c:v>
                </c:pt>
                <c:pt idx="331">
                  <c:v>139</c:v>
                </c:pt>
                <c:pt idx="332">
                  <c:v>144</c:v>
                </c:pt>
                <c:pt idx="333">
                  <c:v>146</c:v>
                </c:pt>
                <c:pt idx="334">
                  <c:v>148</c:v>
                </c:pt>
                <c:pt idx="335">
                  <c:v>152</c:v>
                </c:pt>
                <c:pt idx="336">
                  <c:v>154</c:v>
                </c:pt>
                <c:pt idx="337">
                  <c:v>163</c:v>
                </c:pt>
                <c:pt idx="338">
                  <c:v>172</c:v>
                </c:pt>
                <c:pt idx="339">
                  <c:v>179</c:v>
                </c:pt>
                <c:pt idx="340">
                  <c:v>179</c:v>
                </c:pt>
                <c:pt idx="341">
                  <c:v>194</c:v>
                </c:pt>
                <c:pt idx="342">
                  <c:v>202</c:v>
                </c:pt>
                <c:pt idx="343">
                  <c:v>208</c:v>
                </c:pt>
                <c:pt idx="344">
                  <c:v>208</c:v>
                </c:pt>
                <c:pt idx="345">
                  <c:v>218</c:v>
                </c:pt>
                <c:pt idx="346">
                  <c:v>223</c:v>
                </c:pt>
                <c:pt idx="347">
                  <c:v>223</c:v>
                </c:pt>
                <c:pt idx="348">
                  <c:v>231</c:v>
                </c:pt>
                <c:pt idx="349">
                  <c:v>239</c:v>
                </c:pt>
                <c:pt idx="350">
                  <c:v>243</c:v>
                </c:pt>
                <c:pt idx="351">
                  <c:v>249</c:v>
                </c:pt>
                <c:pt idx="352">
                  <c:v>260</c:v>
                </c:pt>
                <c:pt idx="353">
                  <c:v>274</c:v>
                </c:pt>
                <c:pt idx="354">
                  <c:v>274</c:v>
                </c:pt>
                <c:pt idx="355">
                  <c:v>294</c:v>
                </c:pt>
                <c:pt idx="356">
                  <c:v>302</c:v>
                </c:pt>
                <c:pt idx="357">
                  <c:v>307</c:v>
                </c:pt>
                <c:pt idx="358">
                  <c:v>319</c:v>
                </c:pt>
                <c:pt idx="359">
                  <c:v>327</c:v>
                </c:pt>
                <c:pt idx="360">
                  <c:v>338</c:v>
                </c:pt>
                <c:pt idx="361">
                  <c:v>338</c:v>
                </c:pt>
                <c:pt idx="362">
                  <c:v>349</c:v>
                </c:pt>
                <c:pt idx="363">
                  <c:v>367</c:v>
                </c:pt>
                <c:pt idx="364">
                  <c:v>379</c:v>
                </c:pt>
                <c:pt idx="365">
                  <c:v>385</c:v>
                </c:pt>
                <c:pt idx="366">
                  <c:v>392</c:v>
                </c:pt>
                <c:pt idx="367">
                  <c:v>392</c:v>
                </c:pt>
                <c:pt idx="368">
                  <c:v>414</c:v>
                </c:pt>
                <c:pt idx="369">
                  <c:v>419</c:v>
                </c:pt>
                <c:pt idx="370">
                  <c:v>429</c:v>
                </c:pt>
                <c:pt idx="371">
                  <c:v>441</c:v>
                </c:pt>
                <c:pt idx="372">
                  <c:v>453</c:v>
                </c:pt>
                <c:pt idx="373">
                  <c:v>453</c:v>
                </c:pt>
                <c:pt idx="374">
                  <c:v>471</c:v>
                </c:pt>
                <c:pt idx="375">
                  <c:v>471</c:v>
                </c:pt>
                <c:pt idx="376">
                  <c:v>488</c:v>
                </c:pt>
                <c:pt idx="377">
                  <c:v>496</c:v>
                </c:pt>
                <c:pt idx="378">
                  <c:v>510</c:v>
                </c:pt>
                <c:pt idx="379">
                  <c:v>521</c:v>
                </c:pt>
                <c:pt idx="380">
                  <c:v>529</c:v>
                </c:pt>
                <c:pt idx="381">
                  <c:v>537</c:v>
                </c:pt>
                <c:pt idx="382">
                  <c:v>537</c:v>
                </c:pt>
                <c:pt idx="383">
                  <c:v>537</c:v>
                </c:pt>
                <c:pt idx="384">
                  <c:v>557</c:v>
                </c:pt>
                <c:pt idx="385">
                  <c:v>568</c:v>
                </c:pt>
                <c:pt idx="386">
                  <c:v>576</c:v>
                </c:pt>
                <c:pt idx="387">
                  <c:v>576</c:v>
                </c:pt>
                <c:pt idx="388">
                  <c:v>605</c:v>
                </c:pt>
                <c:pt idx="389">
                  <c:v>605</c:v>
                </c:pt>
                <c:pt idx="390">
                  <c:v>605</c:v>
                </c:pt>
                <c:pt idx="391">
                  <c:v>618</c:v>
                </c:pt>
                <c:pt idx="392">
                  <c:v>618</c:v>
                </c:pt>
                <c:pt idx="393">
                  <c:v>618</c:v>
                </c:pt>
                <c:pt idx="394">
                  <c:v>656</c:v>
                </c:pt>
                <c:pt idx="395">
                  <c:v>656</c:v>
                </c:pt>
                <c:pt idx="396">
                  <c:v>656</c:v>
                </c:pt>
                <c:pt idx="397">
                  <c:v>656</c:v>
                </c:pt>
                <c:pt idx="398">
                  <c:v>670</c:v>
                </c:pt>
                <c:pt idx="399">
                  <c:v>678</c:v>
                </c:pt>
                <c:pt idx="400">
                  <c:v>678</c:v>
                </c:pt>
                <c:pt idx="401">
                  <c:v>689</c:v>
                </c:pt>
                <c:pt idx="402">
                  <c:v>689</c:v>
                </c:pt>
                <c:pt idx="403">
                  <c:v>689</c:v>
                </c:pt>
                <c:pt idx="404">
                  <c:v>689</c:v>
                </c:pt>
                <c:pt idx="405">
                  <c:v>698</c:v>
                </c:pt>
                <c:pt idx="406">
                  <c:v>702</c:v>
                </c:pt>
                <c:pt idx="407">
                  <c:v>713</c:v>
                </c:pt>
                <c:pt idx="408">
                  <c:v>713</c:v>
                </c:pt>
                <c:pt idx="409">
                  <c:v>713</c:v>
                </c:pt>
                <c:pt idx="410">
                  <c:v>713</c:v>
                </c:pt>
              </c:numCache>
            </c:numRef>
          </c:val>
          <c:smooth val="1"/>
          <c:extLst>
            <c:ext xmlns:c16="http://schemas.microsoft.com/office/drawing/2014/chart" uri="{C3380CC4-5D6E-409C-BE32-E72D297353CC}">
              <c16:uniqueId val="{00000003-FA1B-4147-8CBF-AE9FAA6E8AFA}"/>
            </c:ext>
          </c:extLst>
        </c:ser>
        <c:dLbls>
          <c:showLegendKey val="0"/>
          <c:showVal val="0"/>
          <c:showCatName val="0"/>
          <c:showSerName val="0"/>
          <c:showPercent val="0"/>
          <c:showBubbleSize val="0"/>
        </c:dLbls>
        <c:marker val="1"/>
        <c:smooth val="0"/>
        <c:axId val="2058361743"/>
        <c:axId val="1186350767"/>
      </c:lineChart>
      <c:dateAx>
        <c:axId val="177484576"/>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619295"/>
        <c:crosses val="autoZero"/>
        <c:auto val="1"/>
        <c:lblOffset val="100"/>
        <c:baseTimeUnit val="days"/>
        <c:majorUnit val="2"/>
        <c:majorTimeUnit val="months"/>
      </c:dateAx>
      <c:valAx>
        <c:axId val="21096192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a:t>
                </a:r>
                <a:r>
                  <a:rPr lang="en-US" baseline="0"/>
                  <a:t> new cases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84576"/>
        <c:crosses val="autoZero"/>
        <c:crossBetween val="between"/>
      </c:valAx>
      <c:valAx>
        <c:axId val="118635076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361743"/>
        <c:crosses val="max"/>
        <c:crossBetween val="between"/>
      </c:valAx>
      <c:catAx>
        <c:axId val="2058361743"/>
        <c:scaling>
          <c:orientation val="minMax"/>
        </c:scaling>
        <c:delete val="1"/>
        <c:axPos val="b"/>
        <c:majorTickMark val="out"/>
        <c:minorTickMark val="none"/>
        <c:tickLblPos val="nextTo"/>
        <c:crossAx val="1186350767"/>
        <c:crosses val="autoZero"/>
        <c:auto val="1"/>
        <c:lblAlgn val="ctr"/>
        <c:lblOffset val="100"/>
        <c:noMultiLvlLbl val="0"/>
      </c:catAx>
      <c:spPr>
        <a:noFill/>
        <a:ln>
          <a:noFill/>
        </a:ln>
        <a:effectLst/>
      </c:spPr>
    </c:plotArea>
    <c:legend>
      <c:legendPos val="t"/>
      <c:layout>
        <c:manualLayout>
          <c:xMode val="edge"/>
          <c:yMode val="edge"/>
          <c:x val="0.1050733562150885"/>
          <c:y val="3.4285714285714287E-2"/>
          <c:w val="0.36106962350495264"/>
          <c:h val="0.1935721034870641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c. Changes in CPI (Somaliland, Percent)</a:t>
            </a:r>
          </a:p>
        </c:rich>
      </c:tx>
      <c:layout>
        <c:manualLayout>
          <c:xMode val="edge"/>
          <c:yMode val="edge"/>
          <c:x val="0.18273318184220261"/>
          <c:y val="5.5478502080443829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423738751552022E-2"/>
          <c:y val="0.10611726932191728"/>
          <c:w val="0.92696620533206342"/>
          <c:h val="0.76103923902716042"/>
        </c:manualLayout>
      </c:layout>
      <c:lineChart>
        <c:grouping val="standard"/>
        <c:varyColors val="0"/>
        <c:ser>
          <c:idx val="0"/>
          <c:order val="0"/>
          <c:tx>
            <c:strRef>
              <c:f>'Inflation-Mog SL PSS'!$F$2</c:f>
              <c:strCache>
                <c:ptCount val="1"/>
                <c:pt idx="0">
                  <c:v>Overall</c:v>
                </c:pt>
              </c:strCache>
            </c:strRef>
          </c:tx>
          <c:spPr>
            <a:ln w="28575" cap="rnd">
              <a:solidFill>
                <a:schemeClr val="accent1"/>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PSS'!$F$3:$F$29</c:f>
              <c:numCache>
                <c:formatCode>General</c:formatCode>
                <c:ptCount val="27"/>
                <c:pt idx="0">
                  <c:v>7.7</c:v>
                </c:pt>
                <c:pt idx="1">
                  <c:v>7.2</c:v>
                </c:pt>
                <c:pt idx="2">
                  <c:v>7</c:v>
                </c:pt>
                <c:pt idx="3">
                  <c:v>6.6</c:v>
                </c:pt>
                <c:pt idx="4">
                  <c:v>5.0999999999999996</c:v>
                </c:pt>
                <c:pt idx="5">
                  <c:v>4.5</c:v>
                </c:pt>
                <c:pt idx="6">
                  <c:v>4.9000000000000004</c:v>
                </c:pt>
                <c:pt idx="7">
                  <c:v>4</c:v>
                </c:pt>
                <c:pt idx="8">
                  <c:v>4</c:v>
                </c:pt>
                <c:pt idx="9">
                  <c:v>4</c:v>
                </c:pt>
                <c:pt idx="10">
                  <c:v>4.5</c:v>
                </c:pt>
                <c:pt idx="11">
                  <c:v>4.7</c:v>
                </c:pt>
                <c:pt idx="12">
                  <c:v>4.5999999999999996</c:v>
                </c:pt>
                <c:pt idx="13">
                  <c:v>5</c:v>
                </c:pt>
                <c:pt idx="14">
                  <c:v>5.6</c:v>
                </c:pt>
                <c:pt idx="15">
                  <c:v>6.3</c:v>
                </c:pt>
                <c:pt idx="16">
                  <c:v>6.3</c:v>
                </c:pt>
                <c:pt idx="17">
                  <c:v>6.9</c:v>
                </c:pt>
                <c:pt idx="18">
                  <c:v>6.8</c:v>
                </c:pt>
                <c:pt idx="19">
                  <c:v>7.1</c:v>
                </c:pt>
                <c:pt idx="20">
                  <c:v>6</c:v>
                </c:pt>
                <c:pt idx="21">
                  <c:v>4.5999999999999996</c:v>
                </c:pt>
                <c:pt idx="22">
                  <c:v>4.4000000000000004</c:v>
                </c:pt>
                <c:pt idx="23">
                  <c:v>3.5</c:v>
                </c:pt>
                <c:pt idx="24">
                  <c:v>3.3</c:v>
                </c:pt>
                <c:pt idx="25">
                  <c:v>3</c:v>
                </c:pt>
                <c:pt idx="26">
                  <c:v>2.5</c:v>
                </c:pt>
              </c:numCache>
            </c:numRef>
          </c:val>
          <c:smooth val="0"/>
          <c:extLst>
            <c:ext xmlns:c16="http://schemas.microsoft.com/office/drawing/2014/chart" uri="{C3380CC4-5D6E-409C-BE32-E72D297353CC}">
              <c16:uniqueId val="{00000000-763C-4790-8013-1ECA437B1146}"/>
            </c:ext>
          </c:extLst>
        </c:ser>
        <c:ser>
          <c:idx val="1"/>
          <c:order val="1"/>
          <c:tx>
            <c:strRef>
              <c:f>'Inflation-Mog SL PSS'!$G$2</c:f>
              <c:strCache>
                <c:ptCount val="1"/>
                <c:pt idx="0">
                  <c:v>Food</c:v>
                </c:pt>
              </c:strCache>
            </c:strRef>
          </c:tx>
          <c:spPr>
            <a:ln w="28575" cap="rnd">
              <a:solidFill>
                <a:schemeClr val="accent2"/>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PSS'!$G$3:$G$29</c:f>
              <c:numCache>
                <c:formatCode>General</c:formatCode>
                <c:ptCount val="27"/>
                <c:pt idx="0">
                  <c:v>9.1</c:v>
                </c:pt>
                <c:pt idx="1">
                  <c:v>8.4</c:v>
                </c:pt>
                <c:pt idx="2">
                  <c:v>7.4</c:v>
                </c:pt>
                <c:pt idx="3">
                  <c:v>6.4</c:v>
                </c:pt>
                <c:pt idx="4">
                  <c:v>5.8</c:v>
                </c:pt>
                <c:pt idx="5">
                  <c:v>6.1</c:v>
                </c:pt>
                <c:pt idx="6">
                  <c:v>6.6</c:v>
                </c:pt>
                <c:pt idx="7">
                  <c:v>6.6</c:v>
                </c:pt>
                <c:pt idx="8">
                  <c:v>7.8</c:v>
                </c:pt>
                <c:pt idx="9">
                  <c:v>8.1</c:v>
                </c:pt>
                <c:pt idx="10">
                  <c:v>7.4</c:v>
                </c:pt>
                <c:pt idx="11">
                  <c:v>8.6999999999999993</c:v>
                </c:pt>
                <c:pt idx="12">
                  <c:v>8.8000000000000007</c:v>
                </c:pt>
                <c:pt idx="13">
                  <c:v>9.1</c:v>
                </c:pt>
                <c:pt idx="14">
                  <c:v>10.7</c:v>
                </c:pt>
                <c:pt idx="15">
                  <c:v>10.9</c:v>
                </c:pt>
                <c:pt idx="16">
                  <c:v>10.9</c:v>
                </c:pt>
                <c:pt idx="17">
                  <c:v>11.8</c:v>
                </c:pt>
                <c:pt idx="18">
                  <c:v>11.9</c:v>
                </c:pt>
              </c:numCache>
            </c:numRef>
          </c:val>
          <c:smooth val="0"/>
          <c:extLst>
            <c:ext xmlns:c16="http://schemas.microsoft.com/office/drawing/2014/chart" uri="{C3380CC4-5D6E-409C-BE32-E72D297353CC}">
              <c16:uniqueId val="{00000001-763C-4790-8013-1ECA437B1146}"/>
            </c:ext>
          </c:extLst>
        </c:ser>
        <c:dLbls>
          <c:showLegendKey val="0"/>
          <c:showVal val="0"/>
          <c:showCatName val="0"/>
          <c:showSerName val="0"/>
          <c:showPercent val="0"/>
          <c:showBubbleSize val="0"/>
        </c:dLbls>
        <c:smooth val="0"/>
        <c:axId val="939074352"/>
        <c:axId val="1094965840"/>
      </c:lineChart>
      <c:dateAx>
        <c:axId val="939074352"/>
        <c:scaling>
          <c:orientation val="minMax"/>
        </c:scaling>
        <c:delete val="0"/>
        <c:axPos val="b"/>
        <c:numFmt formatCode="mmm\-yy" sourceLinked="1"/>
        <c:majorTickMark val="out"/>
        <c:minorTickMark val="none"/>
        <c:tickLblPos val="low"/>
        <c:spPr>
          <a:noFill/>
          <a:ln w="6350" cap="flat" cmpd="sng" algn="ctr">
            <a:solidFill>
              <a:srgbClr val="A5A5A5"/>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094965840"/>
        <c:crosses val="autoZero"/>
        <c:auto val="1"/>
        <c:lblOffset val="100"/>
        <c:baseTimeUnit val="months"/>
      </c:dateAx>
      <c:valAx>
        <c:axId val="1094965840"/>
        <c:scaling>
          <c:orientation val="minMax"/>
          <c:min val="-6"/>
        </c:scaling>
        <c:delete val="0"/>
        <c:axPos val="l"/>
        <c:numFmt formatCode="General" sourceLinked="1"/>
        <c:majorTickMark val="none"/>
        <c:minorTickMark val="none"/>
        <c:tickLblPos val="nextTo"/>
        <c:spPr>
          <a:noFill/>
          <a:ln w="6350">
            <a:solidFill>
              <a:srgbClr val="A5A5A5"/>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39074352"/>
        <c:crosses val="autoZero"/>
        <c:crossBetween val="between"/>
        <c:majorUnit val="4"/>
      </c:valAx>
      <c:spPr>
        <a:noFill/>
        <a:ln>
          <a:noFill/>
        </a:ln>
        <a:effectLst/>
      </c:spPr>
    </c:plotArea>
    <c:legend>
      <c:legendPos val="b"/>
      <c:layout>
        <c:manualLayout>
          <c:xMode val="edge"/>
          <c:yMode val="edge"/>
          <c:x val="0.10907961795956869"/>
          <c:y val="0.71888303855264002"/>
          <c:w val="0.84125460191020218"/>
          <c:h val="5.820676646529665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Contributors to CPI changes between December</a:t>
            </a:r>
            <a:r>
              <a:rPr lang="en-US" sz="900" baseline="0"/>
              <a:t> </a:t>
            </a:r>
            <a:r>
              <a:rPr lang="en-US" sz="900"/>
              <a:t>2020 and March 2021 </a:t>
            </a:r>
          </a:p>
        </c:rich>
      </c:tx>
      <c:layout>
        <c:manualLayout>
          <c:xMode val="edge"/>
          <c:yMode val="edge"/>
          <c:x val="0.28749379127120112"/>
          <c:y val="2.072539705658563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229110512129379"/>
          <c:y val="0.12817638128855668"/>
          <c:w val="0.67359318292760573"/>
          <c:h val="0.71979467169624722"/>
        </c:manualLayout>
      </c:layout>
      <c:barChart>
        <c:barDir val="bar"/>
        <c:grouping val="stacked"/>
        <c:varyColors val="0"/>
        <c:ser>
          <c:idx val="0"/>
          <c:order val="0"/>
          <c:spPr>
            <a:solidFill>
              <a:schemeClr val="accent1"/>
            </a:solidFill>
            <a:ln>
              <a:noFill/>
            </a:ln>
            <a:effectLst/>
          </c:spPr>
          <c:invertIfNegative val="0"/>
          <c:dPt>
            <c:idx val="12"/>
            <c:invertIfNegative val="0"/>
            <c:bubble3D val="0"/>
            <c:spPr>
              <a:solidFill>
                <a:srgbClr val="ED7D31"/>
              </a:solidFill>
              <a:ln>
                <a:solidFill>
                  <a:srgbClr val="ED7D31"/>
                </a:solidFill>
              </a:ln>
              <a:effectLst/>
            </c:spPr>
            <c:extLst>
              <c:ext xmlns:c16="http://schemas.microsoft.com/office/drawing/2014/chart" uri="{C3380CC4-5D6E-409C-BE32-E72D297353CC}">
                <c16:uniqueId val="{00000001-3098-4C51-AEFD-B17FE88EFB0E}"/>
              </c:ext>
            </c:extLst>
          </c:dPt>
          <c:cat>
            <c:strRef>
              <c:f>Sheet1!$A$16:$A$28</c:f>
              <c:strCache>
                <c:ptCount val="13"/>
                <c:pt idx="0">
                  <c:v>Restaurant and Hotels</c:v>
                </c:pt>
                <c:pt idx="1">
                  <c:v>Education</c:v>
                </c:pt>
                <c:pt idx="2">
                  <c:v>Tobacco &amp; Narcotics</c:v>
                </c:pt>
                <c:pt idx="3">
                  <c:v>Recreation &amp; Culture</c:v>
                </c:pt>
                <c:pt idx="4">
                  <c:v>Communication</c:v>
                </c:pt>
                <c:pt idx="5">
                  <c:v>Miscellaneous</c:v>
                </c:pt>
                <c:pt idx="6">
                  <c:v>Furnishing, Households &amp; Maintenance</c:v>
                </c:pt>
                <c:pt idx="7">
                  <c:v>Clothing &amp; Footwear</c:v>
                </c:pt>
                <c:pt idx="8">
                  <c:v>Transport</c:v>
                </c:pt>
                <c:pt idx="9">
                  <c:v>Food &amp; Non-Alcoholic Beverages</c:v>
                </c:pt>
                <c:pt idx="10">
                  <c:v>Health</c:v>
                </c:pt>
                <c:pt idx="11">
                  <c:v>Housing, Water, Electricity &amp; Gas</c:v>
                </c:pt>
                <c:pt idx="12">
                  <c:v>All Groups CPI</c:v>
                </c:pt>
              </c:strCache>
            </c:strRef>
          </c:cat>
          <c:val>
            <c:numRef>
              <c:f>Sheet1!$B$16:$B$28</c:f>
              <c:numCache>
                <c:formatCode>0.00</c:formatCode>
                <c:ptCount val="13"/>
                <c:pt idx="0">
                  <c:v>-6.3880080714901633E-3</c:v>
                </c:pt>
                <c:pt idx="1">
                  <c:v>0</c:v>
                </c:pt>
                <c:pt idx="2">
                  <c:v>2.8162566674627687E-2</c:v>
                </c:pt>
                <c:pt idx="3">
                  <c:v>3.9265680775114831E-2</c:v>
                </c:pt>
                <c:pt idx="4">
                  <c:v>4.6528189910979463E-2</c:v>
                </c:pt>
                <c:pt idx="5">
                  <c:v>5.0475309161268633E-2</c:v>
                </c:pt>
                <c:pt idx="6">
                  <c:v>5.1361705972711613E-2</c:v>
                </c:pt>
                <c:pt idx="7">
                  <c:v>5.6709583130350717E-2</c:v>
                </c:pt>
                <c:pt idx="8">
                  <c:v>9.6915167095115801E-2</c:v>
                </c:pt>
                <c:pt idx="9">
                  <c:v>0.3673304567288152</c:v>
                </c:pt>
                <c:pt idx="10">
                  <c:v>0.43784510831091583</c:v>
                </c:pt>
                <c:pt idx="11">
                  <c:v>0.70029914529914805</c:v>
                </c:pt>
                <c:pt idx="12">
                  <c:v>1.9054751206523557</c:v>
                </c:pt>
              </c:numCache>
            </c:numRef>
          </c:val>
          <c:extLst>
            <c:ext xmlns:c16="http://schemas.microsoft.com/office/drawing/2014/chart" uri="{C3380CC4-5D6E-409C-BE32-E72D297353CC}">
              <c16:uniqueId val="{00000002-3098-4C51-AEFD-B17FE88EFB0E}"/>
            </c:ext>
          </c:extLst>
        </c:ser>
        <c:dLbls>
          <c:showLegendKey val="0"/>
          <c:showVal val="0"/>
          <c:showCatName val="0"/>
          <c:showSerName val="0"/>
          <c:showPercent val="0"/>
          <c:showBubbleSize val="0"/>
        </c:dLbls>
        <c:gapWidth val="75"/>
        <c:overlap val="100"/>
        <c:axId val="939123552"/>
        <c:axId val="1094972080"/>
      </c:barChart>
      <c:catAx>
        <c:axId val="939123552"/>
        <c:scaling>
          <c:orientation val="minMax"/>
        </c:scaling>
        <c:delete val="0"/>
        <c:axPos val="l"/>
        <c:numFmt formatCode="General" sourceLinked="1"/>
        <c:majorTickMark val="none"/>
        <c:minorTickMark val="none"/>
        <c:tickLblPos val="low"/>
        <c:spPr>
          <a:noFill/>
          <a:ln w="6350" cap="flat" cmpd="sng" algn="ctr">
            <a:solidFill>
              <a:srgbClr val="A5A5A5"/>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4972080"/>
        <c:crosses val="autoZero"/>
        <c:auto val="1"/>
        <c:lblAlgn val="ctr"/>
        <c:lblOffset val="100"/>
        <c:noMultiLvlLbl val="0"/>
      </c:catAx>
      <c:valAx>
        <c:axId val="1094972080"/>
        <c:scaling>
          <c:orientation val="minMax"/>
          <c:max val="2"/>
          <c:min val="-0.25"/>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39123552"/>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49352203552959E-2"/>
          <c:y val="0.11185682326621924"/>
          <c:w val="0.91180360723131804"/>
          <c:h val="0.77177156546706827"/>
        </c:manualLayout>
      </c:layout>
      <c:barChart>
        <c:barDir val="col"/>
        <c:grouping val="clustered"/>
        <c:varyColors val="0"/>
        <c:ser>
          <c:idx val="0"/>
          <c:order val="0"/>
          <c:tx>
            <c:strRef>
              <c:f>'Evolution_of _indicators'!$H$116</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'Evolution_of _indicators'!$G$117:$G$118</c:f>
              <c:strCache>
                <c:ptCount val="2"/>
                <c:pt idx="0">
                  <c:v>Frequency</c:v>
                </c:pt>
                <c:pt idx="1">
                  <c:v>Amount</c:v>
                </c:pt>
              </c:strCache>
            </c:strRef>
          </c:cat>
          <c:val>
            <c:numRef>
              <c:f>'Evolution_of _indicators'!$H$117:$H$118</c:f>
              <c:numCache>
                <c:formatCode>0%</c:formatCode>
                <c:ptCount val="2"/>
                <c:pt idx="0">
                  <c:v>0.49</c:v>
                </c:pt>
                <c:pt idx="1">
                  <c:v>0.36</c:v>
                </c:pt>
              </c:numCache>
            </c:numRef>
          </c:val>
          <c:extLst>
            <c:ext xmlns:c16="http://schemas.microsoft.com/office/drawing/2014/chart" uri="{C3380CC4-5D6E-409C-BE32-E72D297353CC}">
              <c16:uniqueId val="{00000000-BACA-45E2-A462-9381C85393A6}"/>
            </c:ext>
          </c:extLst>
        </c:ser>
        <c:ser>
          <c:idx val="1"/>
          <c:order val="1"/>
          <c:tx>
            <c:strRef>
              <c:f>'Evolution_of _indicators'!$I$116</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'Evolution_of _indicators'!$G$117:$G$118</c:f>
              <c:strCache>
                <c:ptCount val="2"/>
                <c:pt idx="0">
                  <c:v>Frequency</c:v>
                </c:pt>
                <c:pt idx="1">
                  <c:v>Amount</c:v>
                </c:pt>
              </c:strCache>
            </c:strRef>
          </c:cat>
          <c:val>
            <c:numRef>
              <c:f>'Evolution_of _indicators'!$I$117:$I$118</c:f>
              <c:numCache>
                <c:formatCode>0%</c:formatCode>
                <c:ptCount val="2"/>
                <c:pt idx="0">
                  <c:v>0.69399999999999995</c:v>
                </c:pt>
                <c:pt idx="1">
                  <c:v>0.67</c:v>
                </c:pt>
              </c:numCache>
            </c:numRef>
          </c:val>
          <c:extLst>
            <c:ext xmlns:c16="http://schemas.microsoft.com/office/drawing/2014/chart" uri="{C3380CC4-5D6E-409C-BE32-E72D297353CC}">
              <c16:uniqueId val="{00000001-BACA-45E2-A462-9381C85393A6}"/>
            </c:ext>
          </c:extLst>
        </c:ser>
        <c:dLbls>
          <c:showLegendKey val="0"/>
          <c:showVal val="0"/>
          <c:showCatName val="0"/>
          <c:showSerName val="0"/>
          <c:showPercent val="0"/>
          <c:showBubbleSize val="0"/>
        </c:dLbls>
        <c:gapWidth val="199"/>
        <c:axId val="159455760"/>
        <c:axId val="159467824"/>
      </c:barChart>
      <c:catAx>
        <c:axId val="159455760"/>
        <c:scaling>
          <c:orientation val="minMax"/>
        </c:scaling>
        <c:delete val="0"/>
        <c:axPos val="b"/>
        <c:numFmt formatCode="General" sourceLinked="1"/>
        <c:majorTickMark val="none"/>
        <c:minorTickMark val="none"/>
        <c:tickLblPos val="nextTo"/>
        <c:spPr>
          <a:noFill/>
          <a:ln w="6350" cap="flat" cmpd="sng" algn="ctr">
            <a:solidFill>
              <a:schemeClr val="accent3"/>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n-US"/>
          </a:p>
        </c:txPr>
        <c:crossAx val="159467824"/>
        <c:crosses val="autoZero"/>
        <c:auto val="1"/>
        <c:lblAlgn val="ctr"/>
        <c:lblOffset val="100"/>
        <c:noMultiLvlLbl val="0"/>
      </c:catAx>
      <c:valAx>
        <c:axId val="159467824"/>
        <c:scaling>
          <c:orientation val="minMax"/>
          <c:max val="0.8"/>
          <c:min val="0"/>
        </c:scaling>
        <c:delete val="0"/>
        <c:axPos val="l"/>
        <c:numFmt formatCode="0%" sourceLinked="1"/>
        <c:majorTickMark val="none"/>
        <c:minorTickMark val="none"/>
        <c:tickLblPos val="nextTo"/>
        <c:spPr>
          <a:noFill/>
          <a:ln w="6350">
            <a:solidFill>
              <a:schemeClr val="accent3"/>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9455760"/>
        <c:crosses val="autoZero"/>
        <c:crossBetween val="between"/>
        <c:majorUnit val="0.2"/>
      </c:valAx>
      <c:spPr>
        <a:noFill/>
        <a:ln>
          <a:noFill/>
        </a:ln>
        <a:effectLst/>
      </c:spPr>
    </c:plotArea>
    <c:legend>
      <c:legendPos val="b"/>
      <c:layout>
        <c:manualLayout>
          <c:xMode val="edge"/>
          <c:yMode val="edge"/>
          <c:x val="0.25423319997876215"/>
          <c:y val="1.1862107840546574E-3"/>
          <c:w val="0.49795552019660183"/>
          <c:h val="8.32927843545716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637992843645993"/>
          <c:y val="8.2468068668807085E-2"/>
          <c:w val="0.55918412836182307"/>
          <c:h val="0.79710847555360242"/>
        </c:manualLayout>
      </c:layout>
      <c:barChart>
        <c:barDir val="bar"/>
        <c:grouping val="clustered"/>
        <c:varyColors val="0"/>
        <c:ser>
          <c:idx val="0"/>
          <c:order val="0"/>
          <c:tx>
            <c:strRef>
              <c:f>'Sec4.3_Income_changes_Summary'!$B$38</c:f>
              <c:strCache>
                <c:ptCount val="1"/>
                <c:pt idx="0">
                  <c:v>Wave 1</c:v>
                </c:pt>
              </c:strCache>
            </c:strRef>
          </c:tx>
          <c:spPr>
            <a:solidFill>
              <a:schemeClr val="accent5"/>
            </a:solidFill>
            <a:ln>
              <a:noFill/>
            </a:ln>
            <a:effectLst/>
          </c:spPr>
          <c:invertIfNegative val="0"/>
          <c:cat>
            <c:strRef>
              <c:f>'Sec4.3_Income_changes_Summary'!$A$39:$A$49</c:f>
              <c:strCache>
                <c:ptCount val="11"/>
                <c:pt idx="0">
                  <c:v>Unemployment benefits</c:v>
                </c:pt>
                <c:pt idx="1">
                  <c:v>Non-farm Family business</c:v>
                </c:pt>
                <c:pt idx="2">
                  <c:v>Assistance from family within country</c:v>
                </c:pt>
                <c:pt idx="3">
                  <c:v>Family farming, likestock keeping or fishing</c:v>
                </c:pt>
                <c:pt idx="4">
                  <c:v>Wage employment</c:v>
                </c:pt>
                <c:pt idx="5">
                  <c:v>Income from properties, investments or savings</c:v>
                </c:pt>
                <c:pt idx="6">
                  <c:v>Assistance from non-family members</c:v>
                </c:pt>
                <c:pt idx="7">
                  <c:v>Assiatance from NGOs</c:v>
                </c:pt>
                <c:pt idx="8">
                  <c:v>Assistance from government</c:v>
                </c:pt>
                <c:pt idx="9">
                  <c:v>Pension</c:v>
                </c:pt>
                <c:pt idx="10">
                  <c:v>Any of the above income sources</c:v>
                </c:pt>
              </c:strCache>
            </c:strRef>
          </c:cat>
          <c:val>
            <c:numRef>
              <c:f>'Sec4.3_Income_changes_Summary'!$B$39:$B$49</c:f>
              <c:numCache>
                <c:formatCode>0%</c:formatCode>
                <c:ptCount val="11"/>
                <c:pt idx="0">
                  <c:v>0.90200000000000002</c:v>
                </c:pt>
                <c:pt idx="1">
                  <c:v>0.87</c:v>
                </c:pt>
                <c:pt idx="2">
                  <c:v>0.83</c:v>
                </c:pt>
                <c:pt idx="3">
                  <c:v>0.8</c:v>
                </c:pt>
                <c:pt idx="4">
                  <c:v>0.78</c:v>
                </c:pt>
                <c:pt idx="5">
                  <c:v>0.72</c:v>
                </c:pt>
                <c:pt idx="6">
                  <c:v>0.57999999999999996</c:v>
                </c:pt>
                <c:pt idx="7">
                  <c:v>0.56000000000000005</c:v>
                </c:pt>
                <c:pt idx="8">
                  <c:v>0.38</c:v>
                </c:pt>
                <c:pt idx="9">
                  <c:v>0.31</c:v>
                </c:pt>
                <c:pt idx="10">
                  <c:v>0.8</c:v>
                </c:pt>
              </c:numCache>
            </c:numRef>
          </c:val>
          <c:extLst>
            <c:ext xmlns:c16="http://schemas.microsoft.com/office/drawing/2014/chart" uri="{C3380CC4-5D6E-409C-BE32-E72D297353CC}">
              <c16:uniqueId val="{00000000-DB01-4884-B7A1-762448CF2EE9}"/>
            </c:ext>
          </c:extLst>
        </c:ser>
        <c:ser>
          <c:idx val="1"/>
          <c:order val="1"/>
          <c:tx>
            <c:strRef>
              <c:f>'Sec4.3_Income_changes_Summary'!$C$38</c:f>
              <c:strCache>
                <c:ptCount val="1"/>
                <c:pt idx="0">
                  <c:v>Wave 2</c:v>
                </c:pt>
              </c:strCache>
            </c:strRef>
          </c:tx>
          <c:spPr>
            <a:solidFill>
              <a:schemeClr val="accent2"/>
            </a:solidFill>
            <a:ln>
              <a:noFill/>
            </a:ln>
            <a:effectLst/>
          </c:spPr>
          <c:invertIfNegative val="0"/>
          <c:cat>
            <c:strRef>
              <c:f>'Sec4.3_Income_changes_Summary'!$A$39:$A$49</c:f>
              <c:strCache>
                <c:ptCount val="11"/>
                <c:pt idx="0">
                  <c:v>Unemployment benefits</c:v>
                </c:pt>
                <c:pt idx="1">
                  <c:v>Non-farm Family business</c:v>
                </c:pt>
                <c:pt idx="2">
                  <c:v>Assistance from family within country</c:v>
                </c:pt>
                <c:pt idx="3">
                  <c:v>Family farming, likestock keeping or fishing</c:v>
                </c:pt>
                <c:pt idx="4">
                  <c:v>Wage employment</c:v>
                </c:pt>
                <c:pt idx="5">
                  <c:v>Income from properties, investments or savings</c:v>
                </c:pt>
                <c:pt idx="6">
                  <c:v>Assistance from non-family members</c:v>
                </c:pt>
                <c:pt idx="7">
                  <c:v>Assiatance from NGOs</c:v>
                </c:pt>
                <c:pt idx="8">
                  <c:v>Assistance from government</c:v>
                </c:pt>
                <c:pt idx="9">
                  <c:v>Pension</c:v>
                </c:pt>
                <c:pt idx="10">
                  <c:v>Any of the above income sources</c:v>
                </c:pt>
              </c:strCache>
            </c:strRef>
          </c:cat>
          <c:val>
            <c:numRef>
              <c:f>'Sec4.3_Income_changes_Summary'!$C$39:$C$49</c:f>
              <c:numCache>
                <c:formatCode>0%</c:formatCode>
                <c:ptCount val="11"/>
                <c:pt idx="0">
                  <c:v>0.90200000000000002</c:v>
                </c:pt>
                <c:pt idx="1">
                  <c:v>0.85699999999999998</c:v>
                </c:pt>
                <c:pt idx="2">
                  <c:v>0.84899999999999998</c:v>
                </c:pt>
                <c:pt idx="3">
                  <c:v>0.83799999999999997</c:v>
                </c:pt>
                <c:pt idx="4">
                  <c:v>0.7</c:v>
                </c:pt>
                <c:pt idx="5">
                  <c:v>0.82599999999999996</c:v>
                </c:pt>
                <c:pt idx="6">
                  <c:v>0.76200000000000001</c:v>
                </c:pt>
                <c:pt idx="7">
                  <c:v>0.84599999999999997</c:v>
                </c:pt>
                <c:pt idx="8">
                  <c:v>0.82199999999999995</c:v>
                </c:pt>
                <c:pt idx="9">
                  <c:v>0.99199999999999999</c:v>
                </c:pt>
                <c:pt idx="10">
                  <c:v>0.83940000000000003</c:v>
                </c:pt>
              </c:numCache>
            </c:numRef>
          </c:val>
          <c:extLst>
            <c:ext xmlns:c16="http://schemas.microsoft.com/office/drawing/2014/chart" uri="{C3380CC4-5D6E-409C-BE32-E72D297353CC}">
              <c16:uniqueId val="{00000001-DB01-4884-B7A1-762448CF2EE9}"/>
            </c:ext>
          </c:extLst>
        </c:ser>
        <c:dLbls>
          <c:showLegendKey val="0"/>
          <c:showVal val="0"/>
          <c:showCatName val="0"/>
          <c:showSerName val="0"/>
          <c:showPercent val="0"/>
          <c:showBubbleSize val="0"/>
        </c:dLbls>
        <c:gapWidth val="182"/>
        <c:axId val="1588407663"/>
        <c:axId val="1588420975"/>
      </c:barChart>
      <c:catAx>
        <c:axId val="1588407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420975"/>
        <c:crosses val="autoZero"/>
        <c:auto val="1"/>
        <c:lblAlgn val="ctr"/>
        <c:lblOffset val="100"/>
        <c:noMultiLvlLbl val="0"/>
      </c:catAx>
      <c:valAx>
        <c:axId val="1588420975"/>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407663"/>
        <c:crosses val="autoZero"/>
        <c:crossBetween val="between"/>
        <c:majorUnit val="0.2"/>
      </c:valAx>
      <c:spPr>
        <a:noFill/>
        <a:ln>
          <a:noFill/>
        </a:ln>
        <a:effectLst/>
      </c:spPr>
    </c:plotArea>
    <c:legend>
      <c:legendPos val="b"/>
      <c:layout>
        <c:manualLayout>
          <c:xMode val="edge"/>
          <c:yMode val="edge"/>
          <c:x val="0.30525412824361997"/>
          <c:y val="0.92223562705212869"/>
          <c:w val="0.46455054956003111"/>
          <c:h val="5.9989755102155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5183338828709"/>
          <c:y val="0.10744717803373359"/>
          <c:w val="0.85077262960262912"/>
          <c:h val="0.78018688800571112"/>
        </c:manualLayout>
      </c:layout>
      <c:lineChart>
        <c:grouping val="standard"/>
        <c:varyColors val="0"/>
        <c:ser>
          <c:idx val="0"/>
          <c:order val="0"/>
          <c:tx>
            <c:strRef>
              <c:f>Sheet2!$A$38</c:f>
              <c:strCache>
                <c:ptCount val="1"/>
                <c:pt idx="0">
                  <c:v>Domestic Assets</c:v>
                </c:pt>
              </c:strCache>
            </c:strRef>
          </c:tx>
          <c:spPr>
            <a:ln w="28575" cap="rnd">
              <a:solidFill>
                <a:schemeClr val="accent1"/>
              </a:solidFill>
              <a:round/>
            </a:ln>
            <a:effectLst/>
          </c:spPr>
          <c:marker>
            <c:symbol val="none"/>
          </c:marker>
          <c:cat>
            <c:numRef>
              <c:f>Sheet2!$B$37:$S$37</c:f>
              <c:numCache>
                <c:formatCode>mmm\-yy</c:formatCode>
                <c:ptCount val="18"/>
                <c:pt idx="0">
                  <c:v>43160</c:v>
                </c:pt>
                <c:pt idx="1">
                  <c:v>43252</c:v>
                </c:pt>
                <c:pt idx="2">
                  <c:v>43344</c:v>
                </c:pt>
                <c:pt idx="3">
                  <c:v>43435</c:v>
                </c:pt>
                <c:pt idx="4">
                  <c:v>43525</c:v>
                </c:pt>
                <c:pt idx="5">
                  <c:v>43617</c:v>
                </c:pt>
                <c:pt idx="6">
                  <c:v>43709</c:v>
                </c:pt>
                <c:pt idx="7">
                  <c:v>43800</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Sheet2!$B$38:$S$38</c:f>
              <c:numCache>
                <c:formatCode>#,##0_);\(#,##0\)</c:formatCode>
                <c:ptCount val="18"/>
                <c:pt idx="0">
                  <c:v>324.15863546000003</c:v>
                </c:pt>
                <c:pt idx="1">
                  <c:v>333.52471733999994</c:v>
                </c:pt>
                <c:pt idx="2">
                  <c:v>366.16313456</c:v>
                </c:pt>
                <c:pt idx="3">
                  <c:v>394.41608265999997</c:v>
                </c:pt>
                <c:pt idx="4">
                  <c:v>404.21593598999999</c:v>
                </c:pt>
                <c:pt idx="5">
                  <c:v>440.35031156000008</c:v>
                </c:pt>
                <c:pt idx="6">
                  <c:v>481.86356696000007</c:v>
                </c:pt>
                <c:pt idx="7">
                  <c:v>515.97650858999998</c:v>
                </c:pt>
                <c:pt idx="8">
                  <c:v>539.88043489999995</c:v>
                </c:pt>
                <c:pt idx="9">
                  <c:v>523.24892194999995</c:v>
                </c:pt>
                <c:pt idx="10">
                  <c:v>540.04125780999993</c:v>
                </c:pt>
                <c:pt idx="11">
                  <c:v>549.34404207950001</c:v>
                </c:pt>
                <c:pt idx="12">
                  <c:v>562.84294356666658</c:v>
                </c:pt>
                <c:pt idx="13">
                  <c:v>557.10491808333336</c:v>
                </c:pt>
                <c:pt idx="14">
                  <c:v>576.57703359000004</c:v>
                </c:pt>
                <c:pt idx="15">
                  <c:v>607.99398244999998</c:v>
                </c:pt>
                <c:pt idx="16">
                  <c:v>628.73132750000013</c:v>
                </c:pt>
                <c:pt idx="17">
                  <c:v>764.18383285799996</c:v>
                </c:pt>
              </c:numCache>
            </c:numRef>
          </c:val>
          <c:smooth val="0"/>
          <c:extLst>
            <c:ext xmlns:c16="http://schemas.microsoft.com/office/drawing/2014/chart" uri="{C3380CC4-5D6E-409C-BE32-E72D297353CC}">
              <c16:uniqueId val="{00000000-3199-4203-869A-269A29B3D2C2}"/>
            </c:ext>
          </c:extLst>
        </c:ser>
        <c:ser>
          <c:idx val="1"/>
          <c:order val="1"/>
          <c:tx>
            <c:strRef>
              <c:f>Sheet2!$A$39</c:f>
              <c:strCache>
                <c:ptCount val="1"/>
                <c:pt idx="0">
                  <c:v>Domestic Liabilities</c:v>
                </c:pt>
              </c:strCache>
            </c:strRef>
          </c:tx>
          <c:spPr>
            <a:ln w="28575" cap="rnd">
              <a:solidFill>
                <a:schemeClr val="accent2"/>
              </a:solidFill>
              <a:round/>
            </a:ln>
            <a:effectLst/>
          </c:spPr>
          <c:marker>
            <c:symbol val="none"/>
          </c:marker>
          <c:cat>
            <c:numRef>
              <c:f>Sheet2!$B$37:$S$37</c:f>
              <c:numCache>
                <c:formatCode>mmm\-yy</c:formatCode>
                <c:ptCount val="18"/>
                <c:pt idx="0">
                  <c:v>43160</c:v>
                </c:pt>
                <c:pt idx="1">
                  <c:v>43252</c:v>
                </c:pt>
                <c:pt idx="2">
                  <c:v>43344</c:v>
                </c:pt>
                <c:pt idx="3">
                  <c:v>43435</c:v>
                </c:pt>
                <c:pt idx="4">
                  <c:v>43525</c:v>
                </c:pt>
                <c:pt idx="5">
                  <c:v>43617</c:v>
                </c:pt>
                <c:pt idx="6">
                  <c:v>43709</c:v>
                </c:pt>
                <c:pt idx="7">
                  <c:v>43800</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Sheet2!$B$39:$S$39</c:f>
              <c:numCache>
                <c:formatCode>0</c:formatCode>
                <c:ptCount val="18"/>
                <c:pt idx="0">
                  <c:v>297.00030022999999</c:v>
                </c:pt>
                <c:pt idx="1">
                  <c:v>299.24093829000003</c:v>
                </c:pt>
                <c:pt idx="2">
                  <c:v>322.16583785</c:v>
                </c:pt>
                <c:pt idx="3">
                  <c:v>361.01944897000004</c:v>
                </c:pt>
                <c:pt idx="4">
                  <c:v>370.82184805999998</c:v>
                </c:pt>
                <c:pt idx="5">
                  <c:v>387.46153178000003</c:v>
                </c:pt>
                <c:pt idx="6">
                  <c:v>406.25234519000014</c:v>
                </c:pt>
                <c:pt idx="7">
                  <c:v>459.24217261000007</c:v>
                </c:pt>
                <c:pt idx="8">
                  <c:v>455.54119996999998</c:v>
                </c:pt>
                <c:pt idx="9">
                  <c:v>435.19900430999996</c:v>
                </c:pt>
                <c:pt idx="10">
                  <c:v>449.05765710000003</c:v>
                </c:pt>
                <c:pt idx="11">
                  <c:v>462.72458292950006</c:v>
                </c:pt>
                <c:pt idx="12">
                  <c:v>481.67044805000006</c:v>
                </c:pt>
                <c:pt idx="13">
                  <c:v>484.55258732000004</c:v>
                </c:pt>
                <c:pt idx="14">
                  <c:v>502.89280499</c:v>
                </c:pt>
                <c:pt idx="15">
                  <c:v>538.07404939000003</c:v>
                </c:pt>
                <c:pt idx="16">
                  <c:v>555.82656650000001</c:v>
                </c:pt>
                <c:pt idx="17">
                  <c:v>704.29101280999998</c:v>
                </c:pt>
              </c:numCache>
            </c:numRef>
          </c:val>
          <c:smooth val="0"/>
          <c:extLst>
            <c:ext xmlns:c16="http://schemas.microsoft.com/office/drawing/2014/chart" uri="{C3380CC4-5D6E-409C-BE32-E72D297353CC}">
              <c16:uniqueId val="{00000001-3199-4203-869A-269A29B3D2C2}"/>
            </c:ext>
          </c:extLst>
        </c:ser>
        <c:dLbls>
          <c:showLegendKey val="0"/>
          <c:showVal val="0"/>
          <c:showCatName val="0"/>
          <c:showSerName val="0"/>
          <c:showPercent val="0"/>
          <c:showBubbleSize val="0"/>
        </c:dLbls>
        <c:smooth val="0"/>
        <c:axId val="465004304"/>
        <c:axId val="2062205488"/>
      </c:lineChart>
      <c:dateAx>
        <c:axId val="4650043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62205488"/>
        <c:crosses val="autoZero"/>
        <c:auto val="1"/>
        <c:lblOffset val="100"/>
        <c:baseTimeUnit val="months"/>
        <c:majorUnit val="4"/>
        <c:majorTimeUnit val="months"/>
      </c:dateAx>
      <c:valAx>
        <c:axId val="20622054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baseline="0">
                    <a:effectLst/>
                  </a:rPr>
                  <a:t>Millions of US$</a:t>
                </a:r>
                <a:endParaRPr lang="en-US"/>
              </a:p>
            </c:rich>
          </c:tx>
          <c:layout>
            <c:manualLayout>
              <c:xMode val="edge"/>
              <c:yMode val="edge"/>
              <c:x val="1.7742409502782316E-2"/>
              <c:y val="0.224394553366986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5004304"/>
        <c:crosses val="autoZero"/>
        <c:crossBetween val="between"/>
      </c:valAx>
      <c:spPr>
        <a:noFill/>
        <a:ln>
          <a:noFill/>
        </a:ln>
        <a:effectLst/>
      </c:spPr>
    </c:plotArea>
    <c:legend>
      <c:legendPos val="t"/>
      <c:layout>
        <c:manualLayout>
          <c:xMode val="edge"/>
          <c:yMode val="edge"/>
          <c:x val="0.21764045725555914"/>
          <c:y val="4.3649537041969881E-2"/>
          <c:w val="0.60389657099314198"/>
          <c:h val="8.4802829957486711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20334753237811E-2"/>
          <c:y val="2.4559820110808032E-2"/>
          <c:w val="0.88033834509104036"/>
          <c:h val="0.8734805086450288"/>
        </c:manualLayout>
      </c:layout>
      <c:areaChart>
        <c:grouping val="stacked"/>
        <c:varyColors val="0"/>
        <c:ser>
          <c:idx val="1"/>
          <c:order val="0"/>
          <c:tx>
            <c:strRef>
              <c:f>Sheet4!$A$3</c:f>
              <c:strCache>
                <c:ptCount val="1"/>
                <c:pt idx="0">
                  <c:v>Demand deposit by individuals</c:v>
                </c:pt>
              </c:strCache>
            </c:strRef>
          </c:tx>
          <c:spPr>
            <a:solidFill>
              <a:schemeClr val="accent2"/>
            </a:solidFill>
            <a:ln>
              <a:noFill/>
            </a:ln>
            <a:effectLst/>
          </c:spPr>
          <c:cat>
            <c:numRef>
              <c:f>Sheet4!$B$1:$S$1</c:f>
              <c:numCache>
                <c:formatCode>mmm\-yy</c:formatCode>
                <c:ptCount val="18"/>
                <c:pt idx="0">
                  <c:v>43160</c:v>
                </c:pt>
                <c:pt idx="1">
                  <c:v>43252</c:v>
                </c:pt>
                <c:pt idx="2">
                  <c:v>43344</c:v>
                </c:pt>
                <c:pt idx="3">
                  <c:v>43435</c:v>
                </c:pt>
                <c:pt idx="4">
                  <c:v>43525</c:v>
                </c:pt>
                <c:pt idx="5">
                  <c:v>43617</c:v>
                </c:pt>
                <c:pt idx="6">
                  <c:v>43709</c:v>
                </c:pt>
                <c:pt idx="7">
                  <c:v>43800</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Sheet4!$B$3:$S$3</c:f>
              <c:numCache>
                <c:formatCode>0.0</c:formatCode>
                <c:ptCount val="18"/>
                <c:pt idx="0">
                  <c:v>117.10108674999999</c:v>
                </c:pt>
                <c:pt idx="1">
                  <c:v>203.92577275000002</c:v>
                </c:pt>
                <c:pt idx="2">
                  <c:v>215.22046368347119</c:v>
                </c:pt>
                <c:pt idx="3">
                  <c:v>227.17085915999999</c:v>
                </c:pt>
                <c:pt idx="4">
                  <c:v>224.80011215999997</c:v>
                </c:pt>
                <c:pt idx="5">
                  <c:v>200.80287222959402</c:v>
                </c:pt>
                <c:pt idx="6">
                  <c:v>222.15817239525001</c:v>
                </c:pt>
                <c:pt idx="7">
                  <c:v>255.36612657573284</c:v>
                </c:pt>
                <c:pt idx="8">
                  <c:v>253.00726337880002</c:v>
                </c:pt>
                <c:pt idx="9">
                  <c:v>250.7560865778</c:v>
                </c:pt>
                <c:pt idx="10">
                  <c:v>248.62644926280001</c:v>
                </c:pt>
                <c:pt idx="11">
                  <c:v>247.71119693850792</c:v>
                </c:pt>
                <c:pt idx="12">
                  <c:v>249.57690964433087</c:v>
                </c:pt>
                <c:pt idx="13">
                  <c:v>262.36391796417951</c:v>
                </c:pt>
                <c:pt idx="14">
                  <c:v>270.41222289166302</c:v>
                </c:pt>
                <c:pt idx="15">
                  <c:v>258.43764010019595</c:v>
                </c:pt>
                <c:pt idx="16">
                  <c:v>265.43046378577134</c:v>
                </c:pt>
                <c:pt idx="17">
                  <c:v>317.21897027252174</c:v>
                </c:pt>
              </c:numCache>
            </c:numRef>
          </c:val>
          <c:extLst>
            <c:ext xmlns:c16="http://schemas.microsoft.com/office/drawing/2014/chart" uri="{C3380CC4-5D6E-409C-BE32-E72D297353CC}">
              <c16:uniqueId val="{00000001-B219-4A68-BD41-15554C09036D}"/>
            </c:ext>
          </c:extLst>
        </c:ser>
        <c:ser>
          <c:idx val="2"/>
          <c:order val="1"/>
          <c:tx>
            <c:strRef>
              <c:f>Sheet4!$A$4</c:f>
              <c:strCache>
                <c:ptCount val="1"/>
                <c:pt idx="0">
                  <c:v>Demand deposit by commerical entities</c:v>
                </c:pt>
              </c:strCache>
            </c:strRef>
          </c:tx>
          <c:spPr>
            <a:solidFill>
              <a:schemeClr val="accent3"/>
            </a:solidFill>
            <a:ln>
              <a:noFill/>
            </a:ln>
            <a:effectLst/>
          </c:spPr>
          <c:cat>
            <c:numRef>
              <c:f>Sheet4!$B$1:$S$1</c:f>
              <c:numCache>
                <c:formatCode>mmm\-yy</c:formatCode>
                <c:ptCount val="18"/>
                <c:pt idx="0">
                  <c:v>43160</c:v>
                </c:pt>
                <c:pt idx="1">
                  <c:v>43252</c:v>
                </c:pt>
                <c:pt idx="2">
                  <c:v>43344</c:v>
                </c:pt>
                <c:pt idx="3">
                  <c:v>43435</c:v>
                </c:pt>
                <c:pt idx="4">
                  <c:v>43525</c:v>
                </c:pt>
                <c:pt idx="5">
                  <c:v>43617</c:v>
                </c:pt>
                <c:pt idx="6">
                  <c:v>43709</c:v>
                </c:pt>
                <c:pt idx="7">
                  <c:v>43800</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Sheet4!$B$4:$S$4</c:f>
              <c:numCache>
                <c:formatCode>0.0</c:formatCode>
                <c:ptCount val="18"/>
                <c:pt idx="0">
                  <c:v>141.88500482000001</c:v>
                </c:pt>
                <c:pt idx="1">
                  <c:v>64.132001290000005</c:v>
                </c:pt>
                <c:pt idx="2">
                  <c:v>72.404569087335616</c:v>
                </c:pt>
                <c:pt idx="3">
                  <c:v>87.659396000000001</c:v>
                </c:pt>
                <c:pt idx="4">
                  <c:v>97.529068230000007</c:v>
                </c:pt>
                <c:pt idx="5">
                  <c:v>137.29788354040599</c:v>
                </c:pt>
                <c:pt idx="6">
                  <c:v>134.06570835474997</c:v>
                </c:pt>
                <c:pt idx="7">
                  <c:v>143.99741955426717</c:v>
                </c:pt>
                <c:pt idx="8">
                  <c:v>136.83330790119999</c:v>
                </c:pt>
                <c:pt idx="9">
                  <c:v>126.7056658322</c:v>
                </c:pt>
                <c:pt idx="10">
                  <c:v>142.46044128720001</c:v>
                </c:pt>
                <c:pt idx="11">
                  <c:v>152.05728119149208</c:v>
                </c:pt>
                <c:pt idx="12">
                  <c:v>153.86786018566914</c:v>
                </c:pt>
                <c:pt idx="13">
                  <c:v>156.67420521832932</c:v>
                </c:pt>
                <c:pt idx="14">
                  <c:v>164.09206931890293</c:v>
                </c:pt>
                <c:pt idx="15">
                  <c:v>208.27983299049686</c:v>
                </c:pt>
                <c:pt idx="16">
                  <c:v>206.25985666489439</c:v>
                </c:pt>
                <c:pt idx="17">
                  <c:v>310.32898708747814</c:v>
                </c:pt>
              </c:numCache>
            </c:numRef>
          </c:val>
          <c:extLst>
            <c:ext xmlns:c16="http://schemas.microsoft.com/office/drawing/2014/chart" uri="{C3380CC4-5D6E-409C-BE32-E72D297353CC}">
              <c16:uniqueId val="{00000002-B219-4A68-BD41-15554C09036D}"/>
            </c:ext>
          </c:extLst>
        </c:ser>
        <c:ser>
          <c:idx val="3"/>
          <c:order val="2"/>
          <c:tx>
            <c:strRef>
              <c:f>Sheet4!$A$5</c:f>
              <c:strCache>
                <c:ptCount val="1"/>
                <c:pt idx="0">
                  <c:v>Savings deposits</c:v>
                </c:pt>
              </c:strCache>
            </c:strRef>
          </c:tx>
          <c:spPr>
            <a:solidFill>
              <a:schemeClr val="accent4"/>
            </a:solidFill>
            <a:ln>
              <a:noFill/>
            </a:ln>
            <a:effectLst/>
          </c:spPr>
          <c:cat>
            <c:numRef>
              <c:f>Sheet4!$B$1:$S$1</c:f>
              <c:numCache>
                <c:formatCode>mmm\-yy</c:formatCode>
                <c:ptCount val="18"/>
                <c:pt idx="0">
                  <c:v>43160</c:v>
                </c:pt>
                <c:pt idx="1">
                  <c:v>43252</c:v>
                </c:pt>
                <c:pt idx="2">
                  <c:v>43344</c:v>
                </c:pt>
                <c:pt idx="3">
                  <c:v>43435</c:v>
                </c:pt>
                <c:pt idx="4">
                  <c:v>43525</c:v>
                </c:pt>
                <c:pt idx="5">
                  <c:v>43617</c:v>
                </c:pt>
                <c:pt idx="6">
                  <c:v>43709</c:v>
                </c:pt>
                <c:pt idx="7">
                  <c:v>43800</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Sheet4!$B$5:$S$5</c:f>
              <c:numCache>
                <c:formatCode>0.0</c:formatCode>
                <c:ptCount val="18"/>
                <c:pt idx="0">
                  <c:v>10.822538059999999</c:v>
                </c:pt>
                <c:pt idx="1">
                  <c:v>17.777888709999999</c:v>
                </c:pt>
                <c:pt idx="2">
                  <c:v>18.327966029193167</c:v>
                </c:pt>
                <c:pt idx="3">
                  <c:v>9.5537568799999981</c:v>
                </c:pt>
                <c:pt idx="4">
                  <c:v>12.834657960000001</c:v>
                </c:pt>
                <c:pt idx="5">
                  <c:v>15.751946109999999</c:v>
                </c:pt>
                <c:pt idx="6">
                  <c:v>16.958059780000003</c:v>
                </c:pt>
                <c:pt idx="7">
                  <c:v>17.918545649999999</c:v>
                </c:pt>
                <c:pt idx="8">
                  <c:v>20.410250179999998</c:v>
                </c:pt>
                <c:pt idx="9">
                  <c:v>19.174493250000001</c:v>
                </c:pt>
                <c:pt idx="10">
                  <c:v>20.088530779999996</c:v>
                </c:pt>
                <c:pt idx="11">
                  <c:v>21.882741729999999</c:v>
                </c:pt>
                <c:pt idx="12">
                  <c:v>22.057947429999981</c:v>
                </c:pt>
                <c:pt idx="13">
                  <c:v>23.261466077491217</c:v>
                </c:pt>
                <c:pt idx="14">
                  <c:v>24.213665139434056</c:v>
                </c:pt>
                <c:pt idx="15">
                  <c:v>25.010688439307149</c:v>
                </c:pt>
                <c:pt idx="16">
                  <c:v>27.623063899334291</c:v>
                </c:pt>
                <c:pt idx="17">
                  <c:v>29.807064619999998</c:v>
                </c:pt>
              </c:numCache>
            </c:numRef>
          </c:val>
          <c:extLst>
            <c:ext xmlns:c16="http://schemas.microsoft.com/office/drawing/2014/chart" uri="{C3380CC4-5D6E-409C-BE32-E72D297353CC}">
              <c16:uniqueId val="{00000003-B219-4A68-BD41-15554C09036D}"/>
            </c:ext>
          </c:extLst>
        </c:ser>
        <c:dLbls>
          <c:showLegendKey val="0"/>
          <c:showVal val="0"/>
          <c:showCatName val="0"/>
          <c:showSerName val="0"/>
          <c:showPercent val="0"/>
          <c:showBubbleSize val="0"/>
        </c:dLbls>
        <c:axId val="604824896"/>
        <c:axId val="853870272"/>
      </c:areaChart>
      <c:dateAx>
        <c:axId val="604824896"/>
        <c:scaling>
          <c:orientation val="minMax"/>
        </c:scaling>
        <c:delete val="0"/>
        <c:axPos val="b"/>
        <c:numFmt formatCode="mmm\-yy" sourceLinked="1"/>
        <c:majorTickMark val="out"/>
        <c:minorTickMark val="none"/>
        <c:tickLblPos val="nextTo"/>
        <c:spPr>
          <a:noFill/>
          <a:ln w="6350" cap="flat" cmpd="sng" algn="ctr">
            <a:solidFill>
              <a:srgbClr val="A5A5A5"/>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3870272"/>
        <c:crosses val="autoZero"/>
        <c:auto val="1"/>
        <c:lblOffset val="100"/>
        <c:baseTimeUnit val="months"/>
        <c:majorUnit val="4"/>
        <c:majorTimeUnit val="months"/>
      </c:dateAx>
      <c:valAx>
        <c:axId val="85387027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Millions of US$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4824896"/>
        <c:crosses val="autoZero"/>
        <c:crossBetween val="midCat"/>
      </c:valAx>
      <c:spPr>
        <a:noFill/>
        <a:ln>
          <a:noFill/>
        </a:ln>
        <a:effectLst/>
      </c:spPr>
    </c:plotArea>
    <c:legend>
      <c:legendPos val="t"/>
      <c:layout>
        <c:manualLayout>
          <c:xMode val="edge"/>
          <c:yMode val="edge"/>
          <c:x val="0.12659973098515928"/>
          <c:y val="5.6764427625354781E-2"/>
          <c:w val="0.38329357974943085"/>
          <c:h val="0.2633269765120419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04183657833729E-2"/>
          <c:y val="4.9428568350980764E-2"/>
          <c:w val="0.56160287873620329"/>
          <c:h val="0.82721687832796553"/>
        </c:manualLayout>
      </c:layout>
      <c:barChart>
        <c:barDir val="col"/>
        <c:grouping val="stacked"/>
        <c:varyColors val="0"/>
        <c:ser>
          <c:idx val="1"/>
          <c:order val="1"/>
          <c:tx>
            <c:strRef>
              <c:f>Sheet2!$A$5</c:f>
              <c:strCache>
                <c:ptCount val="1"/>
                <c:pt idx="0">
                  <c:v>Exports of goods &amp; services</c:v>
                </c:pt>
              </c:strCache>
            </c:strRef>
          </c:tx>
          <c:spPr>
            <a:solidFill>
              <a:schemeClr val="accent2"/>
            </a:solidFill>
            <a:ln>
              <a:noFill/>
            </a:ln>
            <a:effectLst/>
          </c:spPr>
          <c:invertIfNegative val="0"/>
          <c:cat>
            <c:strRef>
              <c:f>Sheet2!$B$3:$E$3</c:f>
              <c:strCache>
                <c:ptCount val="4"/>
                <c:pt idx="0">
                  <c:v>2018e</c:v>
                </c:pt>
                <c:pt idx="1">
                  <c:v>2019e</c:v>
                </c:pt>
                <c:pt idx="2">
                  <c:v>2020e</c:v>
                </c:pt>
                <c:pt idx="3">
                  <c:v>2021f</c:v>
                </c:pt>
              </c:strCache>
            </c:strRef>
          </c:cat>
          <c:val>
            <c:numRef>
              <c:f>Sheet2!$B$5:$E$5</c:f>
              <c:numCache>
                <c:formatCode>General</c:formatCode>
                <c:ptCount val="4"/>
                <c:pt idx="0">
                  <c:v>23.7</c:v>
                </c:pt>
                <c:pt idx="1">
                  <c:v>22.6</c:v>
                </c:pt>
                <c:pt idx="2" formatCode="0.0">
                  <c:v>14.011839999999999</c:v>
                </c:pt>
                <c:pt idx="3" formatCode="0.0">
                  <c:v>21.013269999999999</c:v>
                </c:pt>
              </c:numCache>
            </c:numRef>
          </c:val>
          <c:extLst>
            <c:ext xmlns:c16="http://schemas.microsoft.com/office/drawing/2014/chart" uri="{C3380CC4-5D6E-409C-BE32-E72D297353CC}">
              <c16:uniqueId val="{00000000-3628-4224-9E18-DA539FAEB185}"/>
            </c:ext>
          </c:extLst>
        </c:ser>
        <c:ser>
          <c:idx val="2"/>
          <c:order val="2"/>
          <c:tx>
            <c:strRef>
              <c:f>Sheet2!$A$6</c:f>
              <c:strCache>
                <c:ptCount val="1"/>
                <c:pt idx="0">
                  <c:v>Imports of goods &amp; services</c:v>
                </c:pt>
              </c:strCache>
            </c:strRef>
          </c:tx>
          <c:spPr>
            <a:solidFill>
              <a:schemeClr val="accent3"/>
            </a:solidFill>
            <a:ln>
              <a:noFill/>
            </a:ln>
            <a:effectLst/>
          </c:spPr>
          <c:invertIfNegative val="0"/>
          <c:cat>
            <c:strRef>
              <c:f>Sheet2!$B$3:$E$3</c:f>
              <c:strCache>
                <c:ptCount val="4"/>
                <c:pt idx="0">
                  <c:v>2018e</c:v>
                </c:pt>
                <c:pt idx="1">
                  <c:v>2019e</c:v>
                </c:pt>
                <c:pt idx="2">
                  <c:v>2020e</c:v>
                </c:pt>
                <c:pt idx="3">
                  <c:v>2021f</c:v>
                </c:pt>
              </c:strCache>
            </c:strRef>
          </c:cat>
          <c:val>
            <c:numRef>
              <c:f>Sheet2!$B$6:$E$6</c:f>
              <c:numCache>
                <c:formatCode>General</c:formatCode>
                <c:ptCount val="4"/>
                <c:pt idx="0">
                  <c:v>-108.5</c:v>
                </c:pt>
                <c:pt idx="1">
                  <c:v>-105.6</c:v>
                </c:pt>
                <c:pt idx="2" formatCode="0.0">
                  <c:v>-106.3552</c:v>
                </c:pt>
                <c:pt idx="3" formatCode="0.0">
                  <c:v>-110.15316</c:v>
                </c:pt>
              </c:numCache>
            </c:numRef>
          </c:val>
          <c:extLst>
            <c:ext xmlns:c16="http://schemas.microsoft.com/office/drawing/2014/chart" uri="{C3380CC4-5D6E-409C-BE32-E72D297353CC}">
              <c16:uniqueId val="{00000001-3628-4224-9E18-DA539FAEB185}"/>
            </c:ext>
          </c:extLst>
        </c:ser>
        <c:ser>
          <c:idx val="3"/>
          <c:order val="3"/>
          <c:tx>
            <c:strRef>
              <c:f>Sheet2!$A$7</c:f>
              <c:strCache>
                <c:ptCount val="1"/>
                <c:pt idx="0">
                  <c:v>Remittances, private transfers</c:v>
                </c:pt>
              </c:strCache>
            </c:strRef>
          </c:tx>
          <c:spPr>
            <a:solidFill>
              <a:schemeClr val="accent4"/>
            </a:solidFill>
            <a:ln>
              <a:noFill/>
            </a:ln>
            <a:effectLst/>
          </c:spPr>
          <c:invertIfNegative val="0"/>
          <c:cat>
            <c:strRef>
              <c:f>Sheet2!$B$3:$E$3</c:f>
              <c:strCache>
                <c:ptCount val="4"/>
                <c:pt idx="0">
                  <c:v>2018e</c:v>
                </c:pt>
                <c:pt idx="1">
                  <c:v>2019e</c:v>
                </c:pt>
                <c:pt idx="2">
                  <c:v>2020e</c:v>
                </c:pt>
                <c:pt idx="3">
                  <c:v>2021f</c:v>
                </c:pt>
              </c:strCache>
            </c:strRef>
          </c:cat>
          <c:val>
            <c:numRef>
              <c:f>Sheet2!$B$7:$E$7</c:f>
              <c:numCache>
                <c:formatCode>General</c:formatCode>
                <c:ptCount val="4"/>
                <c:pt idx="0">
                  <c:v>31.4</c:v>
                </c:pt>
                <c:pt idx="1">
                  <c:v>31.9</c:v>
                </c:pt>
                <c:pt idx="2">
                  <c:v>30.8</c:v>
                </c:pt>
                <c:pt idx="3">
                  <c:v>31.3</c:v>
                </c:pt>
              </c:numCache>
            </c:numRef>
          </c:val>
          <c:extLst>
            <c:ext xmlns:c16="http://schemas.microsoft.com/office/drawing/2014/chart" uri="{C3380CC4-5D6E-409C-BE32-E72D297353CC}">
              <c16:uniqueId val="{00000002-3628-4224-9E18-DA539FAEB185}"/>
            </c:ext>
          </c:extLst>
        </c:ser>
        <c:ser>
          <c:idx val="4"/>
          <c:order val="4"/>
          <c:tx>
            <c:strRef>
              <c:f>Sheet2!$A$8</c:f>
              <c:strCache>
                <c:ptCount val="1"/>
                <c:pt idx="0">
                  <c:v>Official grants</c:v>
                </c:pt>
              </c:strCache>
            </c:strRef>
          </c:tx>
          <c:spPr>
            <a:solidFill>
              <a:schemeClr val="accent5"/>
            </a:solidFill>
            <a:ln>
              <a:noFill/>
            </a:ln>
            <a:effectLst/>
          </c:spPr>
          <c:invertIfNegative val="0"/>
          <c:cat>
            <c:strRef>
              <c:f>Sheet2!$B$3:$E$3</c:f>
              <c:strCache>
                <c:ptCount val="4"/>
                <c:pt idx="0">
                  <c:v>2018e</c:v>
                </c:pt>
                <c:pt idx="1">
                  <c:v>2019e</c:v>
                </c:pt>
                <c:pt idx="2">
                  <c:v>2020e</c:v>
                </c:pt>
                <c:pt idx="3">
                  <c:v>2021f</c:v>
                </c:pt>
              </c:strCache>
            </c:strRef>
          </c:cat>
          <c:val>
            <c:numRef>
              <c:f>Sheet2!$B$8:$E$8</c:f>
              <c:numCache>
                <c:formatCode>General</c:formatCode>
                <c:ptCount val="4"/>
                <c:pt idx="0">
                  <c:v>46.6</c:v>
                </c:pt>
                <c:pt idx="1">
                  <c:v>41.3</c:v>
                </c:pt>
                <c:pt idx="2">
                  <c:v>47.9</c:v>
                </c:pt>
                <c:pt idx="3">
                  <c:v>42.9</c:v>
                </c:pt>
              </c:numCache>
            </c:numRef>
          </c:val>
          <c:extLst>
            <c:ext xmlns:c16="http://schemas.microsoft.com/office/drawing/2014/chart" uri="{C3380CC4-5D6E-409C-BE32-E72D297353CC}">
              <c16:uniqueId val="{00000003-3628-4224-9E18-DA539FAEB185}"/>
            </c:ext>
          </c:extLst>
        </c:ser>
        <c:dLbls>
          <c:showLegendKey val="0"/>
          <c:showVal val="0"/>
          <c:showCatName val="0"/>
          <c:showSerName val="0"/>
          <c:showPercent val="0"/>
          <c:showBubbleSize val="0"/>
        </c:dLbls>
        <c:gapWidth val="75"/>
        <c:overlap val="100"/>
        <c:axId val="993874656"/>
        <c:axId val="1171277152"/>
      </c:barChart>
      <c:lineChart>
        <c:grouping val="standard"/>
        <c:varyColors val="0"/>
        <c:ser>
          <c:idx val="0"/>
          <c:order val="0"/>
          <c:tx>
            <c:strRef>
              <c:f>Sheet2!$A$4</c:f>
              <c:strCache>
                <c:ptCount val="1"/>
                <c:pt idx="0">
                  <c:v>Current account deficit</c:v>
                </c:pt>
              </c:strCache>
            </c:strRef>
          </c:tx>
          <c:spPr>
            <a:ln w="25400" cap="rnd">
              <a:solidFill>
                <a:srgbClr val="C00000"/>
              </a:solidFill>
              <a:round/>
            </a:ln>
            <a:effectLst/>
          </c:spPr>
          <c:marker>
            <c:symbol val="diamond"/>
            <c:size val="6"/>
            <c:spPr>
              <a:solidFill>
                <a:sysClr val="window" lastClr="FFFFFF"/>
              </a:solidFill>
              <a:ln w="9525">
                <a:solidFill>
                  <a:srgbClr val="ED7D31">
                    <a:lumMod val="50000"/>
                  </a:srgbClr>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Sheet2!$B$3:$E$3</c:f>
              <c:strCache>
                <c:ptCount val="4"/>
                <c:pt idx="0">
                  <c:v>2018e</c:v>
                </c:pt>
                <c:pt idx="1">
                  <c:v>2019e</c:v>
                </c:pt>
                <c:pt idx="2">
                  <c:v>2020e</c:v>
                </c:pt>
                <c:pt idx="3">
                  <c:v>2021f</c:v>
                </c:pt>
              </c:strCache>
            </c:strRef>
          </c:cat>
          <c:val>
            <c:numRef>
              <c:f>Sheet2!$B$4:$E$4</c:f>
              <c:numCache>
                <c:formatCode>General</c:formatCode>
                <c:ptCount val="4"/>
                <c:pt idx="0">
                  <c:v>-7.5</c:v>
                </c:pt>
                <c:pt idx="1">
                  <c:v>-10.5</c:v>
                </c:pt>
                <c:pt idx="2" formatCode="0.0">
                  <c:v>-12.373620000000001</c:v>
                </c:pt>
                <c:pt idx="3" formatCode="0.0">
                  <c:v>-13.05951</c:v>
                </c:pt>
              </c:numCache>
            </c:numRef>
          </c:val>
          <c:smooth val="0"/>
          <c:extLst>
            <c:ext xmlns:c16="http://schemas.microsoft.com/office/drawing/2014/chart" uri="{C3380CC4-5D6E-409C-BE32-E72D297353CC}">
              <c16:uniqueId val="{00000007-3628-4224-9E18-DA539FAEB185}"/>
            </c:ext>
          </c:extLst>
        </c:ser>
        <c:dLbls>
          <c:showLegendKey val="0"/>
          <c:showVal val="0"/>
          <c:showCatName val="0"/>
          <c:showSerName val="0"/>
          <c:showPercent val="0"/>
          <c:showBubbleSize val="0"/>
        </c:dLbls>
        <c:marker val="1"/>
        <c:smooth val="0"/>
        <c:axId val="993874656"/>
        <c:axId val="1171277152"/>
      </c:lineChart>
      <c:catAx>
        <c:axId val="993874656"/>
        <c:scaling>
          <c:orientation val="minMax"/>
        </c:scaling>
        <c:delete val="0"/>
        <c:axPos val="b"/>
        <c:numFmt formatCode="General" sourceLinked="1"/>
        <c:majorTickMark val="none"/>
        <c:minorTickMark val="none"/>
        <c:tickLblPos val="low"/>
        <c:spPr>
          <a:noFill/>
          <a:ln w="6350" cap="flat" cmpd="sng" algn="ctr">
            <a:solidFill>
              <a:srgbClr val="A5A5A5"/>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71277152"/>
        <c:crosses val="autoZero"/>
        <c:auto val="1"/>
        <c:lblAlgn val="ctr"/>
        <c:lblOffset val="100"/>
        <c:noMultiLvlLbl val="0"/>
      </c:catAx>
      <c:valAx>
        <c:axId val="1171277152"/>
        <c:scaling>
          <c:orientation val="minMax"/>
          <c:max val="120"/>
          <c:min val="-12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 of GDP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a:solidFill>
              <a:srgbClr val="A5A5A5"/>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93874656"/>
        <c:crosses val="autoZero"/>
        <c:crossBetween val="between"/>
        <c:majorUnit val="40"/>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 Change in Imports 2019-2020</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905965458021454"/>
          <c:y val="7.7538457925804508E-2"/>
          <c:w val="0.48956190661352517"/>
          <c:h val="0.86260159787718838"/>
        </c:manualLayout>
      </c:layout>
      <c:barChart>
        <c:barDir val="bar"/>
        <c:grouping val="clustered"/>
        <c:varyColors val="0"/>
        <c:ser>
          <c:idx val="0"/>
          <c:order val="0"/>
          <c:tx>
            <c:strRef>
              <c:f>Sheet2!$L$19</c:f>
              <c:strCache>
                <c:ptCount val="1"/>
                <c:pt idx="0">
                  <c:v>2019</c:v>
                </c:pt>
              </c:strCache>
            </c:strRef>
          </c:tx>
          <c:spPr>
            <a:solidFill>
              <a:schemeClr val="accent1"/>
            </a:solidFill>
            <a:ln>
              <a:noFill/>
            </a:ln>
            <a:effectLst/>
          </c:spPr>
          <c:invertIfNegative val="0"/>
          <c:cat>
            <c:strRef>
              <c:f>Sheet2!$K$20:$K$27</c:f>
              <c:strCache>
                <c:ptCount val="8"/>
                <c:pt idx="0">
                  <c:v> Electronics &amp; Electric Machines </c:v>
                </c:pt>
                <c:pt idx="1">
                  <c:v> Medical product  </c:v>
                </c:pt>
                <c:pt idx="2">
                  <c:v> Cars &amp; spare parts </c:v>
                </c:pt>
                <c:pt idx="3">
                  <c:v> Oil  </c:v>
                </c:pt>
                <c:pt idx="4">
                  <c:v> Construction </c:v>
                </c:pt>
                <c:pt idx="5">
                  <c:v> Clothes &amp; Footwear </c:v>
                </c:pt>
                <c:pt idx="6">
                  <c:v>Others</c:v>
                </c:pt>
                <c:pt idx="7">
                  <c:v> Food </c:v>
                </c:pt>
              </c:strCache>
            </c:strRef>
          </c:cat>
          <c:val>
            <c:numRef>
              <c:f>Sheet2!$L$20:$L$27</c:f>
              <c:numCache>
                <c:formatCode>0</c:formatCode>
                <c:ptCount val="8"/>
                <c:pt idx="0">
                  <c:v>2.4166077785683742</c:v>
                </c:pt>
                <c:pt idx="1">
                  <c:v>3.308016477601309</c:v>
                </c:pt>
                <c:pt idx="2">
                  <c:v>7.8913145002227765</c:v>
                </c:pt>
                <c:pt idx="3">
                  <c:v>6.8250367471212918</c:v>
                </c:pt>
                <c:pt idx="4">
                  <c:v>11.239279346788615</c:v>
                </c:pt>
                <c:pt idx="5">
                  <c:v>14.000969870706022</c:v>
                </c:pt>
                <c:pt idx="6">
                  <c:v>14.102142765829562</c:v>
                </c:pt>
                <c:pt idx="7">
                  <c:v>40.216632513162047</c:v>
                </c:pt>
              </c:numCache>
            </c:numRef>
          </c:val>
          <c:extLst>
            <c:ext xmlns:c16="http://schemas.microsoft.com/office/drawing/2014/chart" uri="{C3380CC4-5D6E-409C-BE32-E72D297353CC}">
              <c16:uniqueId val="{00000000-7AB2-4B5C-AE91-7AC7E7459D81}"/>
            </c:ext>
          </c:extLst>
        </c:ser>
        <c:ser>
          <c:idx val="1"/>
          <c:order val="1"/>
          <c:tx>
            <c:strRef>
              <c:f>Sheet2!$M$19</c:f>
              <c:strCache>
                <c:ptCount val="1"/>
                <c:pt idx="0">
                  <c:v>2020</c:v>
                </c:pt>
              </c:strCache>
            </c:strRef>
          </c:tx>
          <c:spPr>
            <a:solidFill>
              <a:schemeClr val="accent2"/>
            </a:solidFill>
            <a:ln>
              <a:noFill/>
            </a:ln>
            <a:effectLst/>
          </c:spPr>
          <c:invertIfNegative val="0"/>
          <c:cat>
            <c:strRef>
              <c:f>Sheet2!$K$20:$K$27</c:f>
              <c:strCache>
                <c:ptCount val="8"/>
                <c:pt idx="0">
                  <c:v> Electronics &amp; Electric Machines </c:v>
                </c:pt>
                <c:pt idx="1">
                  <c:v> Medical product  </c:v>
                </c:pt>
                <c:pt idx="2">
                  <c:v> Cars &amp; spare parts </c:v>
                </c:pt>
                <c:pt idx="3">
                  <c:v> Oil  </c:v>
                </c:pt>
                <c:pt idx="4">
                  <c:v> Construction </c:v>
                </c:pt>
                <c:pt idx="5">
                  <c:v> Clothes &amp; Footwear </c:v>
                </c:pt>
                <c:pt idx="6">
                  <c:v>Others</c:v>
                </c:pt>
                <c:pt idx="7">
                  <c:v> Food </c:v>
                </c:pt>
              </c:strCache>
            </c:strRef>
          </c:cat>
          <c:val>
            <c:numRef>
              <c:f>Sheet2!$M$20:$M$27</c:f>
              <c:numCache>
                <c:formatCode>0</c:formatCode>
                <c:ptCount val="8"/>
                <c:pt idx="0">
                  <c:v>2.5962920913637233</c:v>
                </c:pt>
                <c:pt idx="1">
                  <c:v>4.6718515672197922</c:v>
                </c:pt>
                <c:pt idx="2">
                  <c:v>8.628016784827377</c:v>
                </c:pt>
                <c:pt idx="3">
                  <c:v>9.1824669497954829</c:v>
                </c:pt>
                <c:pt idx="4">
                  <c:v>11.013823367244633</c:v>
                </c:pt>
                <c:pt idx="5">
                  <c:v>15.13103713999552</c:v>
                </c:pt>
                <c:pt idx="6">
                  <c:v>17.639023697222335</c:v>
                </c:pt>
                <c:pt idx="7">
                  <c:v>31.137488402331133</c:v>
                </c:pt>
              </c:numCache>
            </c:numRef>
          </c:val>
          <c:extLst>
            <c:ext xmlns:c16="http://schemas.microsoft.com/office/drawing/2014/chart" uri="{C3380CC4-5D6E-409C-BE32-E72D297353CC}">
              <c16:uniqueId val="{00000001-7AB2-4B5C-AE91-7AC7E7459D81}"/>
            </c:ext>
          </c:extLst>
        </c:ser>
        <c:dLbls>
          <c:showLegendKey val="0"/>
          <c:showVal val="0"/>
          <c:showCatName val="0"/>
          <c:showSerName val="0"/>
          <c:showPercent val="0"/>
          <c:showBubbleSize val="0"/>
        </c:dLbls>
        <c:gapWidth val="182"/>
        <c:axId val="939971584"/>
        <c:axId val="995349440"/>
      </c:barChart>
      <c:catAx>
        <c:axId val="93997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95349440"/>
        <c:crosses val="autoZero"/>
        <c:auto val="1"/>
        <c:lblAlgn val="ctr"/>
        <c:lblOffset val="100"/>
        <c:noMultiLvlLbl val="0"/>
      </c:catAx>
      <c:valAx>
        <c:axId val="9953494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39971584"/>
        <c:crosses val="autoZero"/>
        <c:crossBetween val="between"/>
      </c:valAx>
      <c:spPr>
        <a:noFill/>
        <a:ln>
          <a:noFill/>
        </a:ln>
        <a:effectLst/>
      </c:spPr>
    </c:plotArea>
    <c:legend>
      <c:legendPos val="b"/>
      <c:layout>
        <c:manualLayout>
          <c:xMode val="edge"/>
          <c:yMode val="edge"/>
          <c:x val="0.62447004309646481"/>
          <c:y val="0.66702178675034041"/>
          <c:w val="0.31461099769936163"/>
          <c:h val="6.4894233569667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b. Change in Exports: 2019-2020</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3693236975515"/>
          <c:y val="7.6799665765834024E-2"/>
          <c:w val="0.7076766260381836"/>
          <c:h val="0.84437999639358052"/>
        </c:manualLayout>
      </c:layout>
      <c:barChart>
        <c:barDir val="bar"/>
        <c:grouping val="clustered"/>
        <c:varyColors val="0"/>
        <c:ser>
          <c:idx val="0"/>
          <c:order val="0"/>
          <c:tx>
            <c:strRef>
              <c:f>Sheet2!$L$30</c:f>
              <c:strCache>
                <c:ptCount val="1"/>
                <c:pt idx="0">
                  <c:v>2019</c:v>
                </c:pt>
              </c:strCache>
            </c:strRef>
          </c:tx>
          <c:spPr>
            <a:solidFill>
              <a:schemeClr val="accent1"/>
            </a:solidFill>
            <a:ln>
              <a:noFill/>
            </a:ln>
            <a:effectLst/>
          </c:spPr>
          <c:invertIfNegative val="0"/>
          <c:cat>
            <c:strRef>
              <c:f>Sheet2!$K$31:$K$35</c:f>
              <c:strCache>
                <c:ptCount val="5"/>
                <c:pt idx="0">
                  <c:v> Forest Products </c:v>
                </c:pt>
                <c:pt idx="1">
                  <c:v> Other </c:v>
                </c:pt>
                <c:pt idx="2">
                  <c:v>  Animal Skins Products </c:v>
                </c:pt>
                <c:pt idx="3">
                  <c:v> Crops &amp; Vegitable Oil </c:v>
                </c:pt>
                <c:pt idx="4">
                  <c:v>  Livestock </c:v>
                </c:pt>
              </c:strCache>
            </c:strRef>
          </c:cat>
          <c:val>
            <c:numRef>
              <c:f>Sheet2!$L$31:$L$35</c:f>
              <c:numCache>
                <c:formatCode>0.0</c:formatCode>
                <c:ptCount val="5"/>
                <c:pt idx="0">
                  <c:v>17.414296690670326</c:v>
                </c:pt>
                <c:pt idx="1">
                  <c:v>0.80236092763268252</c:v>
                </c:pt>
                <c:pt idx="2">
                  <c:v>6.8241930908582589</c:v>
                </c:pt>
                <c:pt idx="3">
                  <c:v>13.70764807561938</c:v>
                </c:pt>
                <c:pt idx="4">
                  <c:v>61.251501215219363</c:v>
                </c:pt>
              </c:numCache>
            </c:numRef>
          </c:val>
          <c:extLst>
            <c:ext xmlns:c16="http://schemas.microsoft.com/office/drawing/2014/chart" uri="{C3380CC4-5D6E-409C-BE32-E72D297353CC}">
              <c16:uniqueId val="{00000000-A5E6-4792-BCA0-60D8A4EC65BC}"/>
            </c:ext>
          </c:extLst>
        </c:ser>
        <c:ser>
          <c:idx val="1"/>
          <c:order val="1"/>
          <c:tx>
            <c:strRef>
              <c:f>Sheet2!$M$30</c:f>
              <c:strCache>
                <c:ptCount val="1"/>
                <c:pt idx="0">
                  <c:v>2020</c:v>
                </c:pt>
              </c:strCache>
            </c:strRef>
          </c:tx>
          <c:spPr>
            <a:solidFill>
              <a:schemeClr val="accent2"/>
            </a:solidFill>
            <a:ln>
              <a:noFill/>
            </a:ln>
            <a:effectLst/>
          </c:spPr>
          <c:invertIfNegative val="0"/>
          <c:cat>
            <c:strRef>
              <c:f>Sheet2!$K$31:$K$35</c:f>
              <c:strCache>
                <c:ptCount val="5"/>
                <c:pt idx="0">
                  <c:v> Forest Products </c:v>
                </c:pt>
                <c:pt idx="1">
                  <c:v> Other </c:v>
                </c:pt>
                <c:pt idx="2">
                  <c:v>  Animal Skins Products </c:v>
                </c:pt>
                <c:pt idx="3">
                  <c:v> Crops &amp; Vegitable Oil </c:v>
                </c:pt>
                <c:pt idx="4">
                  <c:v>  Livestock </c:v>
                </c:pt>
              </c:strCache>
            </c:strRef>
          </c:cat>
          <c:val>
            <c:numRef>
              <c:f>Sheet2!$M$31:$M$35</c:f>
              <c:numCache>
                <c:formatCode>0.0</c:formatCode>
                <c:ptCount val="5"/>
                <c:pt idx="0">
                  <c:v>2.3363689042711466</c:v>
                </c:pt>
                <c:pt idx="1">
                  <c:v>3.0189259384528819</c:v>
                </c:pt>
                <c:pt idx="2">
                  <c:v>5.4768366963960116</c:v>
                </c:pt>
                <c:pt idx="3">
                  <c:v>16.164540537975327</c:v>
                </c:pt>
                <c:pt idx="4">
                  <c:v>73.003327922904631</c:v>
                </c:pt>
              </c:numCache>
            </c:numRef>
          </c:val>
          <c:extLst>
            <c:ext xmlns:c16="http://schemas.microsoft.com/office/drawing/2014/chart" uri="{C3380CC4-5D6E-409C-BE32-E72D297353CC}">
              <c16:uniqueId val="{00000001-A5E6-4792-BCA0-60D8A4EC65BC}"/>
            </c:ext>
          </c:extLst>
        </c:ser>
        <c:dLbls>
          <c:showLegendKey val="0"/>
          <c:showVal val="0"/>
          <c:showCatName val="0"/>
          <c:showSerName val="0"/>
          <c:showPercent val="0"/>
          <c:showBubbleSize val="0"/>
        </c:dLbls>
        <c:gapWidth val="182"/>
        <c:axId val="869151024"/>
        <c:axId val="1460818896"/>
      </c:barChart>
      <c:catAx>
        <c:axId val="86915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0818896"/>
        <c:crosses val="autoZero"/>
        <c:auto val="1"/>
        <c:lblAlgn val="ctr"/>
        <c:lblOffset val="100"/>
        <c:noMultiLvlLbl val="0"/>
      </c:catAx>
      <c:valAx>
        <c:axId val="146081889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9151024"/>
        <c:crosses val="autoZero"/>
        <c:crossBetween val="between"/>
      </c:valAx>
      <c:spPr>
        <a:noFill/>
        <a:ln>
          <a:noFill/>
        </a:ln>
        <a:effectLst/>
      </c:spPr>
    </c:plotArea>
    <c:legend>
      <c:legendPos val="b"/>
      <c:layout>
        <c:manualLayout>
          <c:xMode val="edge"/>
          <c:yMode val="edge"/>
          <c:x val="0.45361449681803484"/>
          <c:y val="0.64863016168780441"/>
          <c:w val="0.44288148355047019"/>
          <c:h val="5.26001345569468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97885101907388"/>
          <c:y val="1.530785214348207E-2"/>
          <c:w val="0.6843099576451861"/>
          <c:h val="0.9234109798775153"/>
        </c:manualLayout>
      </c:layout>
      <c:barChart>
        <c:barDir val="bar"/>
        <c:grouping val="clustered"/>
        <c:varyColors val="0"/>
        <c:ser>
          <c:idx val="1"/>
          <c:order val="0"/>
          <c:tx>
            <c:strRef>
              <c:f>Table!$J$46</c:f>
              <c:strCache>
                <c:ptCount val="1"/>
                <c:pt idx="0">
                  <c:v>vs 2020 revised budget</c:v>
                </c:pt>
              </c:strCache>
            </c:strRef>
          </c:tx>
          <c:spPr>
            <a:solidFill>
              <a:schemeClr val="accent2">
                <a:lumMod val="60000"/>
                <a:lumOff val="40000"/>
              </a:schemeClr>
            </a:solidFill>
            <a:ln>
              <a:noFill/>
            </a:ln>
            <a:effectLst/>
          </c:spPr>
          <c:invertIfNegative val="0"/>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C6-492B-8024-B11A288A9B9E}"/>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C6-492B-8024-B11A288A9B9E}"/>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Table!$H$47:$H$52</c:f>
              <c:strCache>
                <c:ptCount val="6"/>
                <c:pt idx="0">
                  <c:v>Grants</c:v>
                </c:pt>
                <c:pt idx="1">
                  <c:v>Non-tax revenue</c:v>
                </c:pt>
                <c:pt idx="2">
                  <c:v>Other taxes</c:v>
                </c:pt>
                <c:pt idx="3">
                  <c:v>Goods and services</c:v>
                </c:pt>
                <c:pt idx="4">
                  <c:v>Trade taxes</c:v>
                </c:pt>
                <c:pt idx="5">
                  <c:v>Income and profits</c:v>
                </c:pt>
              </c:strCache>
            </c:strRef>
          </c:cat>
          <c:val>
            <c:numRef>
              <c:f>Table!$J$47:$J$52</c:f>
              <c:numCache>
                <c:formatCode>0%</c:formatCode>
                <c:ptCount val="6"/>
                <c:pt idx="0">
                  <c:v>-0.28015353665099174</c:v>
                </c:pt>
                <c:pt idx="1">
                  <c:v>0.18575595316823623</c:v>
                </c:pt>
                <c:pt idx="2">
                  <c:v>0.92311541203139247</c:v>
                </c:pt>
                <c:pt idx="3">
                  <c:v>0.19618731176587145</c:v>
                </c:pt>
                <c:pt idx="4">
                  <c:v>0.21751684140250993</c:v>
                </c:pt>
                <c:pt idx="5">
                  <c:v>0.85174928112439074</c:v>
                </c:pt>
              </c:numCache>
            </c:numRef>
          </c:val>
          <c:extLst>
            <c:ext xmlns:c16="http://schemas.microsoft.com/office/drawing/2014/chart" uri="{C3380CC4-5D6E-409C-BE32-E72D297353CC}">
              <c16:uniqueId val="{00000002-AAC6-492B-8024-B11A288A9B9E}"/>
            </c:ext>
          </c:extLst>
        </c:ser>
        <c:ser>
          <c:idx val="0"/>
          <c:order val="1"/>
          <c:tx>
            <c:strRef>
              <c:f>Table!$I$46</c:f>
              <c:strCache>
                <c:ptCount val="1"/>
                <c:pt idx="0">
                  <c:v>vs 2019 outturn</c:v>
                </c:pt>
              </c:strCache>
            </c:strRef>
          </c:tx>
          <c:spPr>
            <a:solidFill>
              <a:schemeClr val="accent1"/>
            </a:solidFill>
            <a:ln>
              <a:noFill/>
            </a:ln>
            <a:effectLst/>
          </c:spPr>
          <c:invertIfNegative val="0"/>
          <c:dLbls>
            <c:dLbl>
              <c:idx val="0"/>
              <c:layout>
                <c:manualLayout>
                  <c:x val="-8.9743589743589897E-2"/>
                  <c:y val="-3.4722222222223539E-3"/>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54290329093478"/>
                      <c:h val="6.7812773403324575E-2"/>
                    </c:manualLayout>
                  </c15:layout>
                </c:ext>
                <c:ext xmlns:c16="http://schemas.microsoft.com/office/drawing/2014/chart" uri="{C3380CC4-5D6E-409C-BE32-E72D297353CC}">
                  <c16:uniqueId val="{00000000-6992-42EB-B06C-F77FB6E99ED6}"/>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Table!$H$47:$H$52</c:f>
              <c:strCache>
                <c:ptCount val="6"/>
                <c:pt idx="0">
                  <c:v>Grants</c:v>
                </c:pt>
                <c:pt idx="1">
                  <c:v>Non-tax revenue</c:v>
                </c:pt>
                <c:pt idx="2">
                  <c:v>Other taxes</c:v>
                </c:pt>
                <c:pt idx="3">
                  <c:v>Goods and services</c:v>
                </c:pt>
                <c:pt idx="4">
                  <c:v>Trade taxes</c:v>
                </c:pt>
                <c:pt idx="5">
                  <c:v>Income and profits</c:v>
                </c:pt>
              </c:strCache>
            </c:strRef>
          </c:cat>
          <c:val>
            <c:numRef>
              <c:f>Table!$I$47:$I$52</c:f>
              <c:numCache>
                <c:formatCode>0.0%</c:formatCode>
                <c:ptCount val="6"/>
                <c:pt idx="0" formatCode="0%">
                  <c:v>1.7336812112348232</c:v>
                </c:pt>
                <c:pt idx="1">
                  <c:v>-4.3162054350378121E-2</c:v>
                </c:pt>
                <c:pt idx="2">
                  <c:v>-4.6412669969687625E-3</c:v>
                </c:pt>
                <c:pt idx="3" formatCode="0%">
                  <c:v>-0.14689053342517122</c:v>
                </c:pt>
                <c:pt idx="4" formatCode="0%">
                  <c:v>-0.14924802674616855</c:v>
                </c:pt>
                <c:pt idx="5" formatCode="0%">
                  <c:v>0.3836398327274666</c:v>
                </c:pt>
              </c:numCache>
            </c:numRef>
          </c:val>
          <c:extLst>
            <c:ext xmlns:c16="http://schemas.microsoft.com/office/drawing/2014/chart" uri="{C3380CC4-5D6E-409C-BE32-E72D297353CC}">
              <c16:uniqueId val="{00000003-AAC6-492B-8024-B11A288A9B9E}"/>
            </c:ext>
          </c:extLst>
        </c:ser>
        <c:dLbls>
          <c:showLegendKey val="0"/>
          <c:showVal val="0"/>
          <c:showCatName val="0"/>
          <c:showSerName val="0"/>
          <c:showPercent val="0"/>
          <c:showBubbleSize val="0"/>
        </c:dLbls>
        <c:gapWidth val="100"/>
        <c:axId val="1770804783"/>
        <c:axId val="1763481599"/>
      </c:barChart>
      <c:catAx>
        <c:axId val="17708047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481599"/>
        <c:crosses val="autoZero"/>
        <c:auto val="1"/>
        <c:lblAlgn val="ctr"/>
        <c:lblOffset val="100"/>
        <c:noMultiLvlLbl val="0"/>
      </c:catAx>
      <c:valAx>
        <c:axId val="1763481599"/>
        <c:scaling>
          <c:orientation val="minMax"/>
          <c:max val="2"/>
          <c:min val="-0.5"/>
        </c:scaling>
        <c:delete val="1"/>
        <c:axPos val="b"/>
        <c:numFmt formatCode="0%" sourceLinked="1"/>
        <c:majorTickMark val="none"/>
        <c:minorTickMark val="none"/>
        <c:tickLblPos val="nextTo"/>
        <c:crossAx val="1770804783"/>
        <c:crosses val="autoZero"/>
        <c:crossBetween val="between"/>
        <c:majorUnit val="0.25"/>
      </c:valAx>
      <c:spPr>
        <a:noFill/>
        <a:ln>
          <a:noFill/>
        </a:ln>
        <a:effectLst/>
      </c:spPr>
    </c:plotArea>
    <c:legend>
      <c:legendPos val="r"/>
      <c:layout>
        <c:manualLayout>
          <c:xMode val="edge"/>
          <c:yMode val="edge"/>
          <c:x val="0.68932465172622659"/>
          <c:y val="0.21408245844269466"/>
          <c:w val="0.25575476142405279"/>
          <c:h val="0.3393323490813648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Real GDP Growth, %</a:t>
            </a:r>
          </a:p>
        </c:rich>
      </c:tx>
      <c:layout>
        <c:manualLayout>
          <c:xMode val="edge"/>
          <c:yMode val="edge"/>
          <c:x val="1.0152059642712175E-3"/>
          <c:y val="7.9919598657762735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780022673050817E-2"/>
          <c:y val="6.1099324609740248E-2"/>
          <c:w val="0.92309776172288183"/>
          <c:h val="0.8840535755815333"/>
        </c:manualLayout>
      </c:layout>
      <c:lineChart>
        <c:grouping val="standard"/>
        <c:varyColors val="0"/>
        <c:ser>
          <c:idx val="0"/>
          <c:order val="0"/>
          <c:tx>
            <c:strRef>
              <c:f>Sheet1!$C$2</c:f>
              <c:strCache>
                <c:ptCount val="1"/>
                <c:pt idx="0">
                  <c:v>Growth</c:v>
                </c:pt>
              </c:strCache>
            </c:strRef>
          </c:tx>
          <c:spPr>
            <a:ln w="28575" cap="rnd">
              <a:solidFill>
                <a:schemeClr val="accent1"/>
              </a:solidFill>
              <a:round/>
            </a:ln>
            <a:effectLst/>
          </c:spPr>
          <c:marker>
            <c:symbol val="none"/>
          </c:marker>
          <c:dPt>
            <c:idx val="8"/>
            <c:marker>
              <c:symbol val="none"/>
            </c:marker>
            <c:bubble3D val="0"/>
            <c:spPr>
              <a:ln w="28575" cap="rnd">
                <a:solidFill>
                  <a:schemeClr val="accent1"/>
                </a:solidFill>
                <a:prstDash val="sysDash"/>
                <a:round/>
              </a:ln>
              <a:effectLst/>
            </c:spPr>
            <c:extLst>
              <c:ext xmlns:c16="http://schemas.microsoft.com/office/drawing/2014/chart" uri="{C3380CC4-5D6E-409C-BE32-E72D297353CC}">
                <c16:uniqueId val="{00000001-E197-4A68-B982-2CD9F061FF01}"/>
              </c:ext>
            </c:extLst>
          </c:dPt>
          <c:dPt>
            <c:idx val="9"/>
            <c:marker>
              <c:symbol val="none"/>
            </c:marker>
            <c:bubble3D val="0"/>
            <c:spPr>
              <a:ln w="28575" cap="rnd">
                <a:solidFill>
                  <a:schemeClr val="accent1"/>
                </a:solidFill>
                <a:prstDash val="sysDash"/>
                <a:round/>
              </a:ln>
              <a:effectLst/>
            </c:spPr>
            <c:extLst>
              <c:ext xmlns:c16="http://schemas.microsoft.com/office/drawing/2014/chart" uri="{C3380CC4-5D6E-409C-BE32-E72D297353CC}">
                <c16:uniqueId val="{00000003-E197-4A68-B982-2CD9F061FF01}"/>
              </c:ext>
            </c:extLst>
          </c:dPt>
          <c:dLbls>
            <c:dLbl>
              <c:idx val="0"/>
              <c:delete val="1"/>
              <c:extLst>
                <c:ext xmlns:c15="http://schemas.microsoft.com/office/drawing/2012/chart" uri="{CE6537A1-D6FC-4f65-9D91-7224C49458BB}"/>
                <c:ext xmlns:c16="http://schemas.microsoft.com/office/drawing/2014/chart" uri="{C3380CC4-5D6E-409C-BE32-E72D297353CC}">
                  <c16:uniqueId val="{00000004-E197-4A68-B982-2CD9F061FF01}"/>
                </c:ext>
              </c:extLst>
            </c:dLbl>
            <c:dLbl>
              <c:idx val="1"/>
              <c:delete val="1"/>
              <c:extLst>
                <c:ext xmlns:c15="http://schemas.microsoft.com/office/drawing/2012/chart" uri="{CE6537A1-D6FC-4f65-9D91-7224C49458BB}"/>
                <c:ext xmlns:c16="http://schemas.microsoft.com/office/drawing/2014/chart" uri="{C3380CC4-5D6E-409C-BE32-E72D297353CC}">
                  <c16:uniqueId val="{00000005-E197-4A68-B982-2CD9F061FF01}"/>
                </c:ext>
              </c:extLst>
            </c:dLbl>
            <c:dLbl>
              <c:idx val="2"/>
              <c:delete val="1"/>
              <c:extLst>
                <c:ext xmlns:c15="http://schemas.microsoft.com/office/drawing/2012/chart" uri="{CE6537A1-D6FC-4f65-9D91-7224C49458BB}"/>
                <c:ext xmlns:c16="http://schemas.microsoft.com/office/drawing/2014/chart" uri="{C3380CC4-5D6E-409C-BE32-E72D297353CC}">
                  <c16:uniqueId val="{00000006-E197-4A68-B982-2CD9F061FF01}"/>
                </c:ext>
              </c:extLst>
            </c:dLbl>
            <c:dLbl>
              <c:idx val="3"/>
              <c:layout>
                <c:manualLayout>
                  <c:x val="-2.23706651882065E-2"/>
                  <c:y val="-1.1270252899594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97-4A68-B982-2CD9F061FF01}"/>
                </c:ext>
              </c:extLst>
            </c:dLbl>
            <c:dLbl>
              <c:idx val="4"/>
              <c:layout>
                <c:manualLayout>
                  <c:x val="-2.4234887287223703E-2"/>
                  <c:y val="1.6905379349391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7-4A68-B982-2CD9F061FF01}"/>
                </c:ext>
              </c:extLst>
            </c:dLbl>
            <c:dLbl>
              <c:idx val="5"/>
              <c:layout>
                <c:manualLayout>
                  <c:x val="-2.6099109386240837E-2"/>
                  <c:y val="-1.9722942574289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97-4A68-B982-2CD9F061FF01}"/>
                </c:ext>
              </c:extLst>
            </c:dLbl>
            <c:dLbl>
              <c:idx val="6"/>
              <c:layout>
                <c:manualLayout>
                  <c:x val="-2.232747193243383E-2"/>
                  <c:y val="-1.6905379349391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97-4A68-B982-2CD9F061FF01}"/>
                </c:ext>
              </c:extLst>
            </c:dLbl>
            <c:dLbl>
              <c:idx val="7"/>
              <c:layout>
                <c:manualLayout>
                  <c:x val="-2.7963331485258175E-2"/>
                  <c:y val="1.97229425742899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97-4A68-B982-2CD9F061FF01}"/>
                </c:ext>
              </c:extLst>
            </c:dLbl>
            <c:dLbl>
              <c:idx val="8"/>
              <c:layout>
                <c:manualLayout>
                  <c:x val="-5.5926662970516077E-3"/>
                  <c:y val="1.4087816124492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97-4A68-B982-2CD9F061FF01}"/>
                </c:ext>
              </c:extLst>
            </c:dLbl>
            <c:dLbl>
              <c:idx val="9"/>
              <c:layout>
                <c:manualLayout>
                  <c:x val="-1.0888147789480492E-2"/>
                  <c:y val="-8.1867426146199802E-3"/>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en-US" b="0"/>
                      <a:t>baseline</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197-4A68-B982-2CD9F061F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2013</c:v>
                </c:pt>
                <c:pt idx="1">
                  <c:v>2014</c:v>
                </c:pt>
                <c:pt idx="2">
                  <c:v>2015</c:v>
                </c:pt>
                <c:pt idx="3">
                  <c:v>2016</c:v>
                </c:pt>
                <c:pt idx="4">
                  <c:v>2017</c:v>
                </c:pt>
                <c:pt idx="5">
                  <c:v>2018</c:v>
                </c:pt>
                <c:pt idx="6">
                  <c:v>2019</c:v>
                </c:pt>
                <c:pt idx="7">
                  <c:v>2020</c:v>
                </c:pt>
                <c:pt idx="8">
                  <c:v>2021e</c:v>
                </c:pt>
                <c:pt idx="9">
                  <c:v>2022f</c:v>
                </c:pt>
              </c:strCache>
            </c:strRef>
          </c:cat>
          <c:val>
            <c:numRef>
              <c:f>Sheet1!$C$3:$C$12</c:f>
              <c:numCache>
                <c:formatCode>General</c:formatCode>
                <c:ptCount val="10"/>
                <c:pt idx="0">
                  <c:v>1.9</c:v>
                </c:pt>
                <c:pt idx="1">
                  <c:v>2.4</c:v>
                </c:pt>
                <c:pt idx="2">
                  <c:v>3.5</c:v>
                </c:pt>
                <c:pt idx="3">
                  <c:v>2.9</c:v>
                </c:pt>
                <c:pt idx="4">
                  <c:v>1.4</c:v>
                </c:pt>
                <c:pt idx="5">
                  <c:v>2.8</c:v>
                </c:pt>
                <c:pt idx="6">
                  <c:v>2.9</c:v>
                </c:pt>
                <c:pt idx="7">
                  <c:v>-0.4</c:v>
                </c:pt>
                <c:pt idx="8">
                  <c:v>2.4</c:v>
                </c:pt>
                <c:pt idx="9">
                  <c:v>2.9</c:v>
                </c:pt>
              </c:numCache>
            </c:numRef>
          </c:val>
          <c:smooth val="0"/>
          <c:extLst>
            <c:ext xmlns:c16="http://schemas.microsoft.com/office/drawing/2014/chart" uri="{C3380CC4-5D6E-409C-BE32-E72D297353CC}">
              <c16:uniqueId val="{0000000C-E197-4A68-B982-2CD9F061FF01}"/>
            </c:ext>
          </c:extLst>
        </c:ser>
        <c:ser>
          <c:idx val="1"/>
          <c:order val="1"/>
          <c:tx>
            <c:strRef>
              <c:f>Sheet1!$D$2</c:f>
              <c:strCache>
                <c:ptCount val="1"/>
                <c:pt idx="0">
                  <c:v>upside</c:v>
                </c:pt>
              </c:strCache>
            </c:strRef>
          </c:tx>
          <c:spPr>
            <a:ln w="28575" cap="rnd">
              <a:solidFill>
                <a:schemeClr val="accent6"/>
              </a:solidFill>
              <a:prstDash val="sysDash"/>
              <a:round/>
            </a:ln>
            <a:effectLst/>
          </c:spPr>
          <c:marker>
            <c:symbol val="none"/>
          </c:marker>
          <c:dLbls>
            <c:dLbl>
              <c:idx val="8"/>
              <c:layout>
                <c:manualLayout>
                  <c:x val="-5.1007589792116795E-2"/>
                  <c:y val="-2.8176066599270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97-4A68-B982-2CD9F061FF01}"/>
                </c:ext>
              </c:extLst>
            </c:dLbl>
            <c:dLbl>
              <c:idx val="9"/>
              <c:layout>
                <c:manualLayout>
                  <c:x val="-1.0017095966322052E-2"/>
                  <c:y val="-1.1662940866568921E-2"/>
                </c:manualLayout>
              </c:layout>
              <c:tx>
                <c:rich>
                  <a:bodyPr/>
                  <a:lstStyle/>
                  <a:p>
                    <a:r>
                      <a:rPr lang="en-US"/>
                      <a:t>upside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197-4A68-B982-2CD9F061F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2013</c:v>
                </c:pt>
                <c:pt idx="1">
                  <c:v>2014</c:v>
                </c:pt>
                <c:pt idx="2">
                  <c:v>2015</c:v>
                </c:pt>
                <c:pt idx="3">
                  <c:v>2016</c:v>
                </c:pt>
                <c:pt idx="4">
                  <c:v>2017</c:v>
                </c:pt>
                <c:pt idx="5">
                  <c:v>2018</c:v>
                </c:pt>
                <c:pt idx="6">
                  <c:v>2019</c:v>
                </c:pt>
                <c:pt idx="7">
                  <c:v>2020</c:v>
                </c:pt>
                <c:pt idx="8">
                  <c:v>2021e</c:v>
                </c:pt>
                <c:pt idx="9">
                  <c:v>2022f</c:v>
                </c:pt>
              </c:strCache>
            </c:strRef>
          </c:cat>
          <c:val>
            <c:numRef>
              <c:f>Sheet1!$D$3:$D$12</c:f>
              <c:numCache>
                <c:formatCode>General</c:formatCode>
                <c:ptCount val="10"/>
                <c:pt idx="7">
                  <c:v>-0.4</c:v>
                </c:pt>
                <c:pt idx="8" formatCode="_(* #,##0.0_);_(* \(#,##0.0\);_(* &quot;-&quot;??_);_(@_)">
                  <c:v>2.81046</c:v>
                </c:pt>
                <c:pt idx="9" formatCode="_(* #,##0.0_);_(* \(#,##0.0\);_(* &quot;-&quot;??_);_(@_)">
                  <c:v>3.1790600000000002</c:v>
                </c:pt>
              </c:numCache>
            </c:numRef>
          </c:val>
          <c:smooth val="0"/>
          <c:extLst>
            <c:ext xmlns:c16="http://schemas.microsoft.com/office/drawing/2014/chart" uri="{C3380CC4-5D6E-409C-BE32-E72D297353CC}">
              <c16:uniqueId val="{0000000F-E197-4A68-B982-2CD9F061FF01}"/>
            </c:ext>
          </c:extLst>
        </c:ser>
        <c:ser>
          <c:idx val="2"/>
          <c:order val="2"/>
          <c:tx>
            <c:strRef>
              <c:f>Sheet1!$E$2</c:f>
              <c:strCache>
                <c:ptCount val="1"/>
                <c:pt idx="0">
                  <c:v>downside</c:v>
                </c:pt>
              </c:strCache>
            </c:strRef>
          </c:tx>
          <c:spPr>
            <a:ln w="28575" cap="rnd">
              <a:solidFill>
                <a:schemeClr val="accent2"/>
              </a:solidFill>
              <a:prstDash val="sysDash"/>
              <a:round/>
            </a:ln>
            <a:effectLst/>
          </c:spPr>
          <c:marker>
            <c:symbol val="none"/>
          </c:marker>
          <c:dLbls>
            <c:dLbl>
              <c:idx val="8"/>
              <c:layout>
                <c:manualLayout>
                  <c:x val="-1.2178621054054857E-2"/>
                  <c:y val="1.1270252899594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97-4A68-B982-2CD9F061FF01}"/>
                </c:ext>
              </c:extLst>
            </c:dLbl>
            <c:dLbl>
              <c:idx val="9"/>
              <c:layout>
                <c:manualLayout>
                  <c:x val="-2.1614611477358695E-3"/>
                  <c:y val="-1.4619738212649469E-2"/>
                </c:manualLayout>
              </c:layout>
              <c:tx>
                <c:rich>
                  <a:bodyPr/>
                  <a:lstStyle/>
                  <a:p>
                    <a:r>
                      <a:rPr lang="en-US"/>
                      <a:t>downside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197-4A68-B982-2CD9F061F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2013</c:v>
                </c:pt>
                <c:pt idx="1">
                  <c:v>2014</c:v>
                </c:pt>
                <c:pt idx="2">
                  <c:v>2015</c:v>
                </c:pt>
                <c:pt idx="3">
                  <c:v>2016</c:v>
                </c:pt>
                <c:pt idx="4">
                  <c:v>2017</c:v>
                </c:pt>
                <c:pt idx="5">
                  <c:v>2018</c:v>
                </c:pt>
                <c:pt idx="6">
                  <c:v>2019</c:v>
                </c:pt>
                <c:pt idx="7">
                  <c:v>2020</c:v>
                </c:pt>
                <c:pt idx="8">
                  <c:v>2021e</c:v>
                </c:pt>
                <c:pt idx="9">
                  <c:v>2022f</c:v>
                </c:pt>
              </c:strCache>
            </c:strRef>
          </c:cat>
          <c:val>
            <c:numRef>
              <c:f>Sheet1!$E$3:$E$12</c:f>
              <c:numCache>
                <c:formatCode>General</c:formatCode>
                <c:ptCount val="10"/>
                <c:pt idx="7">
                  <c:v>-0.4</c:v>
                </c:pt>
                <c:pt idx="8" formatCode="_(* #,##0.0_);_(* \(#,##0.0\);_(* &quot;-&quot;??_);_(@_)">
                  <c:v>1.0951900000000001</c:v>
                </c:pt>
                <c:pt idx="9" formatCode="_(* #,##0.0_);_(* \(#,##0.0\);_(* &quot;-&quot;??_);_(@_)">
                  <c:v>1.59287</c:v>
                </c:pt>
              </c:numCache>
            </c:numRef>
          </c:val>
          <c:smooth val="0"/>
          <c:extLst>
            <c:ext xmlns:c16="http://schemas.microsoft.com/office/drawing/2014/chart" uri="{C3380CC4-5D6E-409C-BE32-E72D297353CC}">
              <c16:uniqueId val="{00000012-E197-4A68-B982-2CD9F061FF01}"/>
            </c:ext>
          </c:extLst>
        </c:ser>
        <c:dLbls>
          <c:showLegendKey val="0"/>
          <c:showVal val="0"/>
          <c:showCatName val="0"/>
          <c:showSerName val="0"/>
          <c:showPercent val="0"/>
          <c:showBubbleSize val="0"/>
        </c:dLbls>
        <c:smooth val="0"/>
        <c:axId val="280608688"/>
        <c:axId val="1378873280"/>
      </c:lineChart>
      <c:catAx>
        <c:axId val="280608688"/>
        <c:scaling>
          <c:orientation val="minMax"/>
        </c:scaling>
        <c:delete val="0"/>
        <c:axPos val="b"/>
        <c:numFmt formatCode="General" sourceLinked="1"/>
        <c:majorTickMark val="out"/>
        <c:minorTickMark val="none"/>
        <c:tickLblPos val="low"/>
        <c:spPr>
          <a:noFill/>
          <a:ln w="6350"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873280"/>
        <c:crosses val="autoZero"/>
        <c:auto val="1"/>
        <c:lblAlgn val="ctr"/>
        <c:lblOffset val="100"/>
        <c:noMultiLvlLbl val="0"/>
      </c:catAx>
      <c:valAx>
        <c:axId val="1378873280"/>
        <c:scaling>
          <c:orientation val="minMax"/>
          <c:min val="-0.5"/>
        </c:scaling>
        <c:delete val="0"/>
        <c:axPos val="l"/>
        <c:numFmt formatCode="#,##0.0" sourceLinked="0"/>
        <c:majorTickMark val="out"/>
        <c:minorTickMark val="none"/>
        <c:tickLblPos val="nextTo"/>
        <c:spPr>
          <a:noFill/>
          <a:ln w="6350">
            <a:solidFill>
              <a:schemeClr val="accent3">
                <a:alpha val="96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60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856517935258"/>
          <c:y val="0.11805555555555555"/>
          <c:w val="0.84151288781210043"/>
          <c:h val="0.5628576115485564"/>
        </c:manualLayout>
      </c:layout>
      <c:barChart>
        <c:barDir val="col"/>
        <c:grouping val="stacked"/>
        <c:varyColors val="0"/>
        <c:ser>
          <c:idx val="0"/>
          <c:order val="0"/>
          <c:tx>
            <c:strRef>
              <c:f>Table!$A$41</c:f>
              <c:strCache>
                <c:ptCount val="1"/>
                <c:pt idx="0">
                  <c:v>Tax revenue</c:v>
                </c:pt>
              </c:strCache>
            </c:strRef>
          </c:tx>
          <c:spPr>
            <a:solidFill>
              <a:schemeClr val="accent1"/>
            </a:solidFill>
            <a:ln>
              <a:noFill/>
            </a:ln>
            <a:effectLst/>
          </c:spPr>
          <c:invertIfNegative val="0"/>
          <c:cat>
            <c:multiLvlStrRef>
              <c:f>Table!$B$1:$F$2</c:f>
              <c:multiLvlStrCache>
                <c:ptCount val="5"/>
                <c:lvl>
                  <c:pt idx="0">
                    <c:v>Actual</c:v>
                  </c:pt>
                  <c:pt idx="1">
                    <c:v>Actual</c:v>
                  </c:pt>
                  <c:pt idx="2">
                    <c:v>Orig. budget</c:v>
                  </c:pt>
                  <c:pt idx="3">
                    <c:v>Rev. budget</c:v>
                  </c:pt>
                  <c:pt idx="4">
                    <c:v>Actual</c:v>
                  </c:pt>
                </c:lvl>
                <c:lvl>
                  <c:pt idx="0">
                    <c:v>2018</c:v>
                  </c:pt>
                  <c:pt idx="1">
                    <c:v>2019</c:v>
                  </c:pt>
                  <c:pt idx="2">
                    <c:v>2020</c:v>
                  </c:pt>
                </c:lvl>
              </c:multiLvlStrCache>
            </c:multiLvlStrRef>
          </c:cat>
          <c:val>
            <c:numRef>
              <c:f>Table!$B$41:$F$41</c:f>
              <c:numCache>
                <c:formatCode>0.0</c:formatCode>
                <c:ptCount val="5"/>
                <c:pt idx="0">
                  <c:v>138.94558790324444</c:v>
                </c:pt>
                <c:pt idx="1">
                  <c:v>154.74468495241112</c:v>
                </c:pt>
                <c:pt idx="2">
                  <c:v>155.5</c:v>
                </c:pt>
                <c:pt idx="3">
                  <c:v>107.0480701</c:v>
                </c:pt>
                <c:pt idx="4">
                  <c:v>145.04113873795004</c:v>
                </c:pt>
              </c:numCache>
            </c:numRef>
          </c:val>
          <c:extLst>
            <c:ext xmlns:c16="http://schemas.microsoft.com/office/drawing/2014/chart" uri="{C3380CC4-5D6E-409C-BE32-E72D297353CC}">
              <c16:uniqueId val="{00000000-501A-4B83-9F1F-F74C10657594}"/>
            </c:ext>
          </c:extLst>
        </c:ser>
        <c:ser>
          <c:idx val="1"/>
          <c:order val="1"/>
          <c:tx>
            <c:strRef>
              <c:f>Table!$A$42</c:f>
              <c:strCache>
                <c:ptCount val="1"/>
                <c:pt idx="0">
                  <c:v>Non-tax revenue</c:v>
                </c:pt>
              </c:strCache>
            </c:strRef>
          </c:tx>
          <c:spPr>
            <a:solidFill>
              <a:schemeClr val="accent2"/>
            </a:solidFill>
            <a:ln>
              <a:noFill/>
            </a:ln>
            <a:effectLst/>
          </c:spPr>
          <c:invertIfNegative val="0"/>
          <c:cat>
            <c:multiLvlStrRef>
              <c:f>Table!$B$1:$F$2</c:f>
              <c:multiLvlStrCache>
                <c:ptCount val="5"/>
                <c:lvl>
                  <c:pt idx="0">
                    <c:v>Actual</c:v>
                  </c:pt>
                  <c:pt idx="1">
                    <c:v>Actual</c:v>
                  </c:pt>
                  <c:pt idx="2">
                    <c:v>Orig. budget</c:v>
                  </c:pt>
                  <c:pt idx="3">
                    <c:v>Rev. budget</c:v>
                  </c:pt>
                  <c:pt idx="4">
                    <c:v>Actual</c:v>
                  </c:pt>
                </c:lvl>
                <c:lvl>
                  <c:pt idx="0">
                    <c:v>2018</c:v>
                  </c:pt>
                  <c:pt idx="1">
                    <c:v>2019</c:v>
                  </c:pt>
                  <c:pt idx="2">
                    <c:v>2020</c:v>
                  </c:pt>
                </c:lvl>
              </c:multiLvlStrCache>
            </c:multiLvlStrRef>
          </c:cat>
          <c:val>
            <c:numRef>
              <c:f>Table!$B$42:$F$42</c:f>
              <c:numCache>
                <c:formatCode>0.0</c:formatCode>
                <c:ptCount val="5"/>
                <c:pt idx="0">
                  <c:v>44.473234695555554</c:v>
                </c:pt>
                <c:pt idx="1">
                  <c:v>74.939155670000005</c:v>
                </c:pt>
                <c:pt idx="2">
                  <c:v>78.900000000000006</c:v>
                </c:pt>
                <c:pt idx="3">
                  <c:v>60.471657399999998</c:v>
                </c:pt>
                <c:pt idx="4">
                  <c:v>71.704627760000022</c:v>
                </c:pt>
              </c:numCache>
            </c:numRef>
          </c:val>
          <c:extLst>
            <c:ext xmlns:c16="http://schemas.microsoft.com/office/drawing/2014/chart" uri="{C3380CC4-5D6E-409C-BE32-E72D297353CC}">
              <c16:uniqueId val="{00000001-501A-4B83-9F1F-F74C10657594}"/>
            </c:ext>
          </c:extLst>
        </c:ser>
        <c:ser>
          <c:idx val="2"/>
          <c:order val="2"/>
          <c:tx>
            <c:strRef>
              <c:f>Table!$A$43</c:f>
              <c:strCache>
                <c:ptCount val="1"/>
                <c:pt idx="0">
                  <c:v>Budget support grants</c:v>
                </c:pt>
              </c:strCache>
            </c:strRef>
          </c:tx>
          <c:spPr>
            <a:solidFill>
              <a:schemeClr val="accent6">
                <a:lumMod val="75000"/>
              </a:schemeClr>
            </a:solidFill>
            <a:ln>
              <a:noFill/>
            </a:ln>
            <a:effectLst/>
          </c:spPr>
          <c:invertIfNegative val="0"/>
          <c:cat>
            <c:multiLvlStrRef>
              <c:f>Table!$B$1:$F$2</c:f>
              <c:multiLvlStrCache>
                <c:ptCount val="5"/>
                <c:lvl>
                  <c:pt idx="0">
                    <c:v>Actual</c:v>
                  </c:pt>
                  <c:pt idx="1">
                    <c:v>Actual</c:v>
                  </c:pt>
                  <c:pt idx="2">
                    <c:v>Orig. budget</c:v>
                  </c:pt>
                  <c:pt idx="3">
                    <c:v>Rev. budget</c:v>
                  </c:pt>
                  <c:pt idx="4">
                    <c:v>Actual</c:v>
                  </c:pt>
                </c:lvl>
                <c:lvl>
                  <c:pt idx="0">
                    <c:v>2018</c:v>
                  </c:pt>
                  <c:pt idx="1">
                    <c:v>2019</c:v>
                  </c:pt>
                  <c:pt idx="2">
                    <c:v>2020</c:v>
                  </c:pt>
                </c:lvl>
              </c:multiLvlStrCache>
            </c:multiLvlStrRef>
          </c:cat>
          <c:val>
            <c:numRef>
              <c:f>Table!$B$43:$F$43</c:f>
              <c:numCache>
                <c:formatCode>0.0</c:formatCode>
                <c:ptCount val="5"/>
                <c:pt idx="0">
                  <c:v>42.799794890000001</c:v>
                </c:pt>
                <c:pt idx="1">
                  <c:v>65.49580856</c:v>
                </c:pt>
                <c:pt idx="2">
                  <c:v>63.000000000000007</c:v>
                </c:pt>
                <c:pt idx="3">
                  <c:v>167.3</c:v>
                </c:pt>
                <c:pt idx="4">
                  <c:v>123.05143723000002</c:v>
                </c:pt>
              </c:numCache>
            </c:numRef>
          </c:val>
          <c:extLst>
            <c:ext xmlns:c16="http://schemas.microsoft.com/office/drawing/2014/chart" uri="{C3380CC4-5D6E-409C-BE32-E72D297353CC}">
              <c16:uniqueId val="{00000002-501A-4B83-9F1F-F74C10657594}"/>
            </c:ext>
          </c:extLst>
        </c:ser>
        <c:ser>
          <c:idx val="3"/>
          <c:order val="3"/>
          <c:tx>
            <c:strRef>
              <c:f>Table!$A$44</c:f>
              <c:strCache>
                <c:ptCount val="1"/>
                <c:pt idx="0">
                  <c:v>Project grants</c:v>
                </c:pt>
              </c:strCache>
            </c:strRef>
          </c:tx>
          <c:spPr>
            <a:solidFill>
              <a:schemeClr val="accent4"/>
            </a:solidFill>
            <a:ln>
              <a:noFill/>
            </a:ln>
            <a:effectLst/>
          </c:spPr>
          <c:invertIfNegative val="0"/>
          <c:cat>
            <c:multiLvlStrRef>
              <c:f>Table!$B$1:$F$2</c:f>
              <c:multiLvlStrCache>
                <c:ptCount val="5"/>
                <c:lvl>
                  <c:pt idx="0">
                    <c:v>Actual</c:v>
                  </c:pt>
                  <c:pt idx="1">
                    <c:v>Actual</c:v>
                  </c:pt>
                  <c:pt idx="2">
                    <c:v>Orig. budget</c:v>
                  </c:pt>
                  <c:pt idx="3">
                    <c:v>Rev. budget</c:v>
                  </c:pt>
                  <c:pt idx="4">
                    <c:v>Actual</c:v>
                  </c:pt>
                </c:lvl>
                <c:lvl>
                  <c:pt idx="0">
                    <c:v>2018</c:v>
                  </c:pt>
                  <c:pt idx="1">
                    <c:v>2019</c:v>
                  </c:pt>
                  <c:pt idx="2">
                    <c:v>2020</c:v>
                  </c:pt>
                </c:lvl>
              </c:multiLvlStrCache>
            </c:multiLvlStrRef>
          </c:cat>
          <c:val>
            <c:numRef>
              <c:f>Table!$B$44:$F$44</c:f>
              <c:numCache>
                <c:formatCode>0.0</c:formatCode>
                <c:ptCount val="5"/>
                <c:pt idx="0">
                  <c:v>50.029361000000009</c:v>
                </c:pt>
                <c:pt idx="1">
                  <c:v>42.621335909999999</c:v>
                </c:pt>
                <c:pt idx="2">
                  <c:v>168.75090267691814</c:v>
                </c:pt>
                <c:pt idx="3">
                  <c:v>243.28450863945216</c:v>
                </c:pt>
                <c:pt idx="4">
                  <c:v>172.50636921999995</c:v>
                </c:pt>
              </c:numCache>
            </c:numRef>
          </c:val>
          <c:extLst>
            <c:ext xmlns:c16="http://schemas.microsoft.com/office/drawing/2014/chart" uri="{C3380CC4-5D6E-409C-BE32-E72D297353CC}">
              <c16:uniqueId val="{00000003-501A-4B83-9F1F-F74C10657594}"/>
            </c:ext>
          </c:extLst>
        </c:ser>
        <c:dLbls>
          <c:showLegendKey val="0"/>
          <c:showVal val="0"/>
          <c:showCatName val="0"/>
          <c:showSerName val="0"/>
          <c:showPercent val="0"/>
          <c:showBubbleSize val="0"/>
        </c:dLbls>
        <c:gapWidth val="75"/>
        <c:overlap val="100"/>
        <c:axId val="1859724192"/>
        <c:axId val="1149907632"/>
      </c:barChart>
      <c:catAx>
        <c:axId val="18597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9907632"/>
        <c:crosses val="autoZero"/>
        <c:auto val="1"/>
        <c:lblAlgn val="ctr"/>
        <c:lblOffset val="100"/>
        <c:noMultiLvlLbl val="0"/>
      </c:catAx>
      <c:valAx>
        <c:axId val="1149907632"/>
        <c:scaling>
          <c:orientation val="minMax"/>
          <c:max val="600"/>
        </c:scaling>
        <c:delete val="0"/>
        <c:axPos val="l"/>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US$ millions</a:t>
                </a:r>
              </a:p>
            </c:rich>
          </c:tx>
          <c:layout>
            <c:manualLayout>
              <c:xMode val="edge"/>
              <c:yMode val="edge"/>
              <c:x val="0"/>
              <c:y val="4.4668635170603821E-3"/>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59724192"/>
        <c:crosses val="autoZero"/>
        <c:crossBetween val="between"/>
      </c:valAx>
      <c:spPr>
        <a:noFill/>
        <a:ln>
          <a:noFill/>
        </a:ln>
        <a:effectLst/>
      </c:spPr>
    </c:plotArea>
    <c:legend>
      <c:legendPos val="r"/>
      <c:layout>
        <c:manualLayout>
          <c:xMode val="edge"/>
          <c:yMode val="edge"/>
          <c:x val="0.11058954169190389"/>
          <c:y val="0.10916885389326335"/>
          <c:w val="0.39402247795948575"/>
          <c:h val="0.2461488407699037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 Economic class categories, Percent of GDP</a:t>
            </a:r>
          </a:p>
        </c:rich>
      </c:tx>
      <c:layout>
        <c:manualLayout>
          <c:xMode val="edge"/>
          <c:yMode val="edge"/>
          <c:x val="0.15481367092044529"/>
          <c:y val="1.708174262308120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817800552708688E-2"/>
          <c:y val="0.12046093657870817"/>
          <c:w val="0.97393548028718635"/>
          <c:h val="0.59682521365628649"/>
        </c:manualLayout>
      </c:layout>
      <c:areaChart>
        <c:grouping val="stacked"/>
        <c:varyColors val="0"/>
        <c:ser>
          <c:idx val="0"/>
          <c:order val="0"/>
          <c:tx>
            <c:strRef>
              <c:f>'FGS Expenditure-econ class'!$L$85</c:f>
              <c:strCache>
                <c:ptCount val="1"/>
                <c:pt idx="0">
                  <c:v>Compensation of employees</c:v>
                </c:pt>
              </c:strCache>
            </c:strRef>
          </c:tx>
          <c:spPr>
            <a:solidFill>
              <a:schemeClr val="accent1"/>
            </a:solidFill>
            <a:ln>
              <a:noFill/>
            </a:ln>
            <a:effectLst/>
          </c:spPr>
          <c:dPt>
            <c:idx val="5"/>
            <c:bubble3D val="0"/>
            <c:spPr>
              <a:solidFill>
                <a:schemeClr val="accent1"/>
              </a:solidFill>
              <a:ln>
                <a:noFill/>
              </a:ln>
              <a:effectLst/>
            </c:spPr>
            <c:extLst>
              <c:ext xmlns:c16="http://schemas.microsoft.com/office/drawing/2014/chart" uri="{C3380CC4-5D6E-409C-BE32-E72D297353CC}">
                <c16:uniqueId val="{00000001-A0C5-4915-8124-7505C106B67E}"/>
              </c:ext>
            </c:extLst>
          </c:dPt>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class'!$O$85:$U$85</c:f>
              <c:numCache>
                <c:formatCode>_(* #,##0.0_);_(* \(#,##0.0\);_(* "-"??_);_(@_)</c:formatCode>
                <c:ptCount val="7"/>
                <c:pt idx="0">
                  <c:v>1.9480183831169908</c:v>
                </c:pt>
                <c:pt idx="1">
                  <c:v>1.3682613890531437</c:v>
                </c:pt>
                <c:pt idx="2">
                  <c:v>1.8887763650840519</c:v>
                </c:pt>
                <c:pt idx="3">
                  <c:v>2.8582072358683028</c:v>
                </c:pt>
                <c:pt idx="4">
                  <c:v>3.0307149498139836</c:v>
                </c:pt>
                <c:pt idx="5">
                  <c:v>3.2939841450817311</c:v>
                </c:pt>
                <c:pt idx="6">
                  <c:v>4.5631942098492466</c:v>
                </c:pt>
              </c:numCache>
            </c:numRef>
          </c:val>
          <c:extLst>
            <c:ext xmlns:c16="http://schemas.microsoft.com/office/drawing/2014/chart" uri="{C3380CC4-5D6E-409C-BE32-E72D297353CC}">
              <c16:uniqueId val="{00000002-A0C5-4915-8124-7505C106B67E}"/>
            </c:ext>
          </c:extLst>
        </c:ser>
        <c:ser>
          <c:idx val="1"/>
          <c:order val="1"/>
          <c:tx>
            <c:strRef>
              <c:f>'FGS Expenditure-econ class'!$L$86</c:f>
              <c:strCache>
                <c:ptCount val="1"/>
                <c:pt idx="0">
                  <c:v>Goods &amp; services</c:v>
                </c:pt>
              </c:strCache>
            </c:strRef>
          </c:tx>
          <c:spPr>
            <a:solidFill>
              <a:schemeClr val="accent2"/>
            </a:solidFill>
            <a:ln>
              <a:noFill/>
            </a:ln>
            <a:effectLst/>
          </c:spPr>
          <c:dPt>
            <c:idx val="5"/>
            <c:bubble3D val="0"/>
            <c:spPr>
              <a:solidFill>
                <a:schemeClr val="accent2"/>
              </a:solidFill>
              <a:ln>
                <a:noFill/>
              </a:ln>
              <a:effectLst/>
            </c:spPr>
            <c:extLst>
              <c:ext xmlns:c16="http://schemas.microsoft.com/office/drawing/2014/chart" uri="{C3380CC4-5D6E-409C-BE32-E72D297353CC}">
                <c16:uniqueId val="{00000004-A0C5-4915-8124-7505C106B67E}"/>
              </c:ext>
            </c:extLst>
          </c:dPt>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class'!$O$86:$U$86</c:f>
              <c:numCache>
                <c:formatCode>_(* #,##0.0_);_(* \(#,##0.0\);_(* "-"??_);_(@_)</c:formatCode>
                <c:ptCount val="7"/>
                <c:pt idx="0">
                  <c:v>1.4543340764293908</c:v>
                </c:pt>
                <c:pt idx="1">
                  <c:v>1.481848892947716</c:v>
                </c:pt>
                <c:pt idx="2">
                  <c:v>1.6720315363039147</c:v>
                </c:pt>
                <c:pt idx="3">
                  <c:v>1.8198027135803472</c:v>
                </c:pt>
                <c:pt idx="4">
                  <c:v>1.7070271845388809</c:v>
                </c:pt>
                <c:pt idx="5">
                  <c:v>1.875757284241117</c:v>
                </c:pt>
                <c:pt idx="6">
                  <c:v>1.6136073204467056</c:v>
                </c:pt>
              </c:numCache>
            </c:numRef>
          </c:val>
          <c:extLst>
            <c:ext xmlns:c16="http://schemas.microsoft.com/office/drawing/2014/chart" uri="{C3380CC4-5D6E-409C-BE32-E72D297353CC}">
              <c16:uniqueId val="{00000005-A0C5-4915-8124-7505C106B67E}"/>
            </c:ext>
          </c:extLst>
        </c:ser>
        <c:ser>
          <c:idx val="2"/>
          <c:order val="2"/>
          <c:tx>
            <c:strRef>
              <c:f>'FGS Expenditure-econ class'!$L$87</c:f>
              <c:strCache>
                <c:ptCount val="1"/>
                <c:pt idx="0">
                  <c:v>Grants</c:v>
                </c:pt>
              </c:strCache>
            </c:strRef>
          </c:tx>
          <c:spPr>
            <a:solidFill>
              <a:schemeClr val="accent3"/>
            </a:solidFill>
            <a:ln>
              <a:noFill/>
            </a:ln>
            <a:effectLst/>
          </c:spPr>
          <c:dPt>
            <c:idx val="5"/>
            <c:bubble3D val="0"/>
            <c:spPr>
              <a:solidFill>
                <a:schemeClr val="accent3"/>
              </a:solidFill>
              <a:ln>
                <a:noFill/>
              </a:ln>
              <a:effectLst/>
            </c:spPr>
            <c:extLst>
              <c:ext xmlns:c16="http://schemas.microsoft.com/office/drawing/2014/chart" uri="{C3380CC4-5D6E-409C-BE32-E72D297353CC}">
                <c16:uniqueId val="{00000007-A0C5-4915-8124-7505C106B67E}"/>
              </c:ext>
            </c:extLst>
          </c:dPt>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class'!$O$87:$U$87</c:f>
              <c:numCache>
                <c:formatCode>_(* #,##0.0_);_(* \(#,##0.0\);_(* "-"??_);_(@_)</c:formatCode>
                <c:ptCount val="7"/>
                <c:pt idx="0">
                  <c:v>0.25451272283329429</c:v>
                </c:pt>
                <c:pt idx="1">
                  <c:v>0.34181226373373436</c:v>
                </c:pt>
                <c:pt idx="2">
                  <c:v>0.224286817367434</c:v>
                </c:pt>
                <c:pt idx="3">
                  <c:v>0.49672062955783214</c:v>
                </c:pt>
                <c:pt idx="4">
                  <c:v>0.65323700698580922</c:v>
                </c:pt>
                <c:pt idx="5">
                  <c:v>0.91084792562537209</c:v>
                </c:pt>
                <c:pt idx="6">
                  <c:v>1.8122249222110551</c:v>
                </c:pt>
              </c:numCache>
            </c:numRef>
          </c:val>
          <c:extLst>
            <c:ext xmlns:c16="http://schemas.microsoft.com/office/drawing/2014/chart" uri="{C3380CC4-5D6E-409C-BE32-E72D297353CC}">
              <c16:uniqueId val="{00000008-A0C5-4915-8124-7505C106B67E}"/>
            </c:ext>
          </c:extLst>
        </c:ser>
        <c:ser>
          <c:idx val="5"/>
          <c:order val="5"/>
          <c:tx>
            <c:strRef>
              <c:f>'FGS Expenditure-econ class'!$L$90</c:f>
              <c:strCache>
                <c:ptCount val="1"/>
                <c:pt idx="0">
                  <c:v>Capital</c:v>
                </c:pt>
              </c:strCache>
            </c:strRef>
          </c:tx>
          <c:spPr>
            <a:solidFill>
              <a:schemeClr val="accent4"/>
            </a:solidFill>
            <a:ln>
              <a:noFill/>
            </a:ln>
            <a:effectLst/>
          </c:spPr>
          <c:dPt>
            <c:idx val="5"/>
            <c:bubble3D val="0"/>
            <c:spPr>
              <a:solidFill>
                <a:schemeClr val="accent4"/>
              </a:solidFill>
              <a:ln>
                <a:noFill/>
              </a:ln>
              <a:effectLst/>
            </c:spPr>
            <c:extLst>
              <c:ext xmlns:c16="http://schemas.microsoft.com/office/drawing/2014/chart" uri="{C3380CC4-5D6E-409C-BE32-E72D297353CC}">
                <c16:uniqueId val="{0000000A-A0C5-4915-8124-7505C106B67E}"/>
              </c:ext>
            </c:extLst>
          </c:dPt>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class'!$O$90:$U$90</c:f>
              <c:numCache>
                <c:formatCode>_(* #,##0.0_);_(* \(#,##0.0\);_(* "-"??_);_(@_)</c:formatCode>
                <c:ptCount val="7"/>
                <c:pt idx="0">
                  <c:v>4.088903214746387E-3</c:v>
                </c:pt>
                <c:pt idx="1">
                  <c:v>5.6649859623370109E-2</c:v>
                </c:pt>
                <c:pt idx="2">
                  <c:v>0.14145671042492292</c:v>
                </c:pt>
                <c:pt idx="3">
                  <c:v>0.14080482938620537</c:v>
                </c:pt>
                <c:pt idx="4">
                  <c:v>0.20907513966339072</c:v>
                </c:pt>
                <c:pt idx="5">
                  <c:v>0.29940900354351396</c:v>
                </c:pt>
                <c:pt idx="6">
                  <c:v>0.3728983925628141</c:v>
                </c:pt>
              </c:numCache>
            </c:numRef>
          </c:val>
          <c:extLst>
            <c:ext xmlns:c16="http://schemas.microsoft.com/office/drawing/2014/chart" uri="{C3380CC4-5D6E-409C-BE32-E72D297353CC}">
              <c16:uniqueId val="{0000000B-A0C5-4915-8124-7505C106B67E}"/>
            </c:ext>
          </c:extLst>
        </c:ser>
        <c:ser>
          <c:idx val="6"/>
          <c:order val="6"/>
          <c:tx>
            <c:strRef>
              <c:f>'FGS Expenditure-econ class'!$L$91</c:f>
              <c:strCache>
                <c:ptCount val="1"/>
                <c:pt idx="0">
                  <c:v>Social Benefits</c:v>
                </c:pt>
              </c:strCache>
            </c:strRef>
          </c:tx>
          <c:spPr>
            <a:solidFill>
              <a:schemeClr val="accent1">
                <a:lumMod val="60000"/>
              </a:schemeClr>
            </a:solidFill>
            <a:ln>
              <a:noFill/>
            </a:ln>
            <a:effectLst/>
          </c:spPr>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class'!$O$91:$U$91</c:f>
              <c:numCache>
                <c:formatCode>General</c:formatCode>
                <c:ptCount val="7"/>
                <c:pt idx="6" formatCode="_(* #,##0.0_);_(* \(#,##0.0\);_(* &quot;-&quot;??_);_(@_)">
                  <c:v>1.2489477788944723</c:v>
                </c:pt>
              </c:numCache>
            </c:numRef>
          </c:val>
          <c:extLst>
            <c:ext xmlns:c16="http://schemas.microsoft.com/office/drawing/2014/chart" uri="{C3380CC4-5D6E-409C-BE32-E72D297353CC}">
              <c16:uniqueId val="{0000000C-A0C5-4915-8124-7505C106B67E}"/>
            </c:ext>
          </c:extLst>
        </c:ser>
        <c:ser>
          <c:idx val="8"/>
          <c:order val="8"/>
          <c:tx>
            <c:strRef>
              <c:f>'FGS Expenditure-econ class'!$L$93</c:f>
              <c:strCache>
                <c:ptCount val="1"/>
                <c:pt idx="0">
                  <c:v>Interest</c:v>
                </c:pt>
              </c:strCache>
            </c:strRef>
          </c:tx>
          <c:spPr>
            <a:solidFill>
              <a:schemeClr val="accent6"/>
            </a:solidFill>
            <a:ln>
              <a:noFill/>
            </a:ln>
            <a:effectLst/>
          </c:spPr>
          <c:cat>
            <c:strRef>
              <c:f>'FGS Expenditure-econ class'!$O$61:$U$61</c:f>
              <c:strCache>
                <c:ptCount val="7"/>
                <c:pt idx="0">
                  <c:v>2014</c:v>
                </c:pt>
                <c:pt idx="1">
                  <c:v>2015</c:v>
                </c:pt>
                <c:pt idx="2">
                  <c:v>2016</c:v>
                </c:pt>
                <c:pt idx="3">
                  <c:v>2017</c:v>
                </c:pt>
                <c:pt idx="4">
                  <c:v>2018</c:v>
                </c:pt>
                <c:pt idx="5">
                  <c:v>2019</c:v>
                </c:pt>
                <c:pt idx="6">
                  <c:v>2020</c:v>
                </c:pt>
              </c:strCache>
            </c:strRef>
          </c:cat>
          <c:val>
            <c:numRef>
              <c:f>'FGS Expenditure-econ class'!$O$93:$U$93</c:f>
              <c:numCache>
                <c:formatCode>General</c:formatCode>
                <c:ptCount val="7"/>
                <c:pt idx="6" formatCode="_(* #,##0.0_);_(* \(#,##0.0\);_(* &quot;-&quot;??_);_(@_)">
                  <c:v>0.29034867055276381</c:v>
                </c:pt>
              </c:numCache>
            </c:numRef>
          </c:val>
          <c:extLst>
            <c:ext xmlns:c16="http://schemas.microsoft.com/office/drawing/2014/chart" uri="{C3380CC4-5D6E-409C-BE32-E72D297353CC}">
              <c16:uniqueId val="{0000000D-A0C5-4915-8124-7505C106B67E}"/>
            </c:ext>
          </c:extLst>
        </c:ser>
        <c:dLbls>
          <c:showLegendKey val="0"/>
          <c:showVal val="0"/>
          <c:showCatName val="0"/>
          <c:showSerName val="0"/>
          <c:showPercent val="0"/>
          <c:showBubbleSize val="0"/>
        </c:dLbls>
        <c:axId val="1726227039"/>
        <c:axId val="1735489007"/>
        <c:extLst>
          <c:ext xmlns:c15="http://schemas.microsoft.com/office/drawing/2012/chart" uri="{02D57815-91ED-43cb-92C2-25804820EDAC}">
            <c15:filteredAreaSeries>
              <c15:ser>
                <c:idx val="3"/>
                <c:order val="3"/>
                <c:tx>
                  <c:strRef>
                    <c:extLst>
                      <c:ext uri="{02D57815-91ED-43cb-92C2-25804820EDAC}">
                        <c15:formulaRef>
                          <c15:sqref>'FGS Expenditure-econ class'!$L$88</c15:sqref>
                        </c15:formulaRef>
                      </c:ext>
                    </c:extLst>
                    <c:strCache>
                      <c:ptCount val="1"/>
                      <c:pt idx="0">
                        <c:v>Contingency</c:v>
                      </c:pt>
                    </c:strCache>
                  </c:strRef>
                </c:tx>
                <c:spPr>
                  <a:solidFill>
                    <a:schemeClr val="accent4"/>
                  </a:solidFill>
                  <a:ln>
                    <a:noFill/>
                  </a:ln>
                  <a:effectLst/>
                </c:spPr>
                <c:cat>
                  <c:strRef>
                    <c:extLst>
                      <c:ext uri="{02D57815-91ED-43cb-92C2-25804820EDAC}">
                        <c15:formulaRef>
                          <c15:sqref>'FGS Expenditure-econ class'!$O$61:$U$61</c15:sqref>
                        </c15:formulaRef>
                      </c:ext>
                    </c:extLst>
                    <c:strCache>
                      <c:ptCount val="7"/>
                      <c:pt idx="0">
                        <c:v>2014</c:v>
                      </c:pt>
                      <c:pt idx="1">
                        <c:v>2015</c:v>
                      </c:pt>
                      <c:pt idx="2">
                        <c:v>2016</c:v>
                      </c:pt>
                      <c:pt idx="3">
                        <c:v>2017</c:v>
                      </c:pt>
                      <c:pt idx="4">
                        <c:v>2018</c:v>
                      </c:pt>
                      <c:pt idx="5">
                        <c:v>2019</c:v>
                      </c:pt>
                      <c:pt idx="6">
                        <c:v>2020</c:v>
                      </c:pt>
                    </c:strCache>
                  </c:strRef>
                </c:cat>
                <c:val>
                  <c:numRef>
                    <c:extLst>
                      <c:ext uri="{02D57815-91ED-43cb-92C2-25804820EDAC}">
                        <c15:formulaRef>
                          <c15:sqref>'FGS Expenditure-econ class'!$O$88:$U$88</c15:sqref>
                        </c15:formulaRef>
                      </c:ext>
                    </c:extLst>
                    <c:numCache>
                      <c:formatCode>_(* #,##0.0_);_(* \(#,##0.0\);_(* "-"??_);_(@_)</c:formatCode>
                      <c:ptCount val="7"/>
                      <c:pt idx="0">
                        <c:v>9.5269666187170629E-2</c:v>
                      </c:pt>
                      <c:pt idx="1">
                        <c:v>6.4116799328182122E-2</c:v>
                      </c:pt>
                      <c:pt idx="2">
                        <c:v>4.9041494775637622E-2</c:v>
                      </c:pt>
                      <c:pt idx="3">
                        <c:v>8.8936294998179705E-2</c:v>
                      </c:pt>
                      <c:pt idx="4">
                        <c:v>8.6993474267720222E-2</c:v>
                      </c:pt>
                      <c:pt idx="5">
                        <c:v>8.3390053658223811E-3</c:v>
                      </c:pt>
                      <c:pt idx="6">
                        <c:v>0</c:v>
                      </c:pt>
                    </c:numCache>
                  </c:numRef>
                </c:val>
                <c:extLst>
                  <c:ext xmlns:c16="http://schemas.microsoft.com/office/drawing/2014/chart" uri="{C3380CC4-5D6E-409C-BE32-E72D297353CC}">
                    <c16:uniqueId val="{0000000E-A0C5-4915-8124-7505C106B67E}"/>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'FGS Expenditure-econ class'!$L$89</c15:sqref>
                        </c15:formulaRef>
                      </c:ext>
                    </c:extLst>
                    <c:strCache>
                      <c:ptCount val="1"/>
                      <c:pt idx="0">
                        <c:v>Repayment of arrears &amp; advances</c:v>
                      </c:pt>
                    </c:strCache>
                  </c:strRef>
                </c:tx>
                <c:spPr>
                  <a:solidFill>
                    <a:schemeClr val="accent5"/>
                  </a:solidFill>
                  <a:ln>
                    <a:noFill/>
                  </a:ln>
                  <a:effectLst/>
                </c:spPr>
                <c:cat>
                  <c:strRef>
                    <c:extLst xmlns:c15="http://schemas.microsoft.com/office/drawing/2012/chart">
                      <c:ext xmlns:c15="http://schemas.microsoft.com/office/drawing/2012/chart" uri="{02D57815-91ED-43cb-92C2-25804820EDAC}">
                        <c15:formulaRef>
                          <c15:sqref>'FGS Expenditure-econ class'!$O$61:$U$61</c15:sqref>
                        </c15:formulaRef>
                      </c:ext>
                    </c:extLst>
                    <c:strCache>
                      <c:ptCount val="7"/>
                      <c:pt idx="0">
                        <c:v>2014</c:v>
                      </c:pt>
                      <c:pt idx="1">
                        <c:v>2015</c:v>
                      </c:pt>
                      <c:pt idx="2">
                        <c:v>2016</c:v>
                      </c:pt>
                      <c:pt idx="3">
                        <c:v>2017</c:v>
                      </c:pt>
                      <c:pt idx="4">
                        <c:v>2018</c:v>
                      </c:pt>
                      <c:pt idx="5">
                        <c:v>2019</c:v>
                      </c:pt>
                      <c:pt idx="6">
                        <c:v>2020</c:v>
                      </c:pt>
                    </c:strCache>
                  </c:strRef>
                </c:cat>
                <c:val>
                  <c:numRef>
                    <c:extLst xmlns:c15="http://schemas.microsoft.com/office/drawing/2012/chart">
                      <c:ext xmlns:c15="http://schemas.microsoft.com/office/drawing/2012/chart" uri="{02D57815-91ED-43cb-92C2-25804820EDAC}">
                        <c15:formulaRef>
                          <c15:sqref>'FGS Expenditure-econ class'!$O$89:$U$89</c15:sqref>
                        </c15:formulaRef>
                      </c:ext>
                    </c:extLst>
                    <c:numCache>
                      <c:formatCode>_(* #,##0.0_);_(* \(#,##0.0\);_(* "-"??_);_(@_)</c:formatCode>
                      <c:ptCount val="7"/>
                      <c:pt idx="0">
                        <c:v>5.5506044318280025E-2</c:v>
                      </c:pt>
                      <c:pt idx="1">
                        <c:v>3.1910209835135324E-2</c:v>
                      </c:pt>
                      <c:pt idx="2">
                        <c:v>9.7416082385797881E-2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F-A0C5-4915-8124-7505C106B67E}"/>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'FGS Expenditure-econ class'!$L$92</c15:sqref>
                        </c15:formulaRef>
                      </c:ext>
                    </c:extLst>
                    <c:strCache>
                      <c:ptCount val="1"/>
                      <c:pt idx="0">
                        <c:v>Subsidies </c:v>
                      </c:pt>
                    </c:strCache>
                  </c:strRef>
                </c:tx>
                <c:spPr>
                  <a:solidFill>
                    <a:schemeClr val="accent2">
                      <a:lumMod val="60000"/>
                    </a:schemeClr>
                  </a:solidFill>
                  <a:ln>
                    <a:noFill/>
                  </a:ln>
                  <a:effectLst/>
                </c:spPr>
                <c:cat>
                  <c:strRef>
                    <c:extLst xmlns:c15="http://schemas.microsoft.com/office/drawing/2012/chart">
                      <c:ext xmlns:c15="http://schemas.microsoft.com/office/drawing/2012/chart" uri="{02D57815-91ED-43cb-92C2-25804820EDAC}">
                        <c15:formulaRef>
                          <c15:sqref>'FGS Expenditure-econ class'!$O$61:$U$61</c15:sqref>
                        </c15:formulaRef>
                      </c:ext>
                    </c:extLst>
                    <c:strCache>
                      <c:ptCount val="7"/>
                      <c:pt idx="0">
                        <c:v>2014</c:v>
                      </c:pt>
                      <c:pt idx="1">
                        <c:v>2015</c:v>
                      </c:pt>
                      <c:pt idx="2">
                        <c:v>2016</c:v>
                      </c:pt>
                      <c:pt idx="3">
                        <c:v>2017</c:v>
                      </c:pt>
                      <c:pt idx="4">
                        <c:v>2018</c:v>
                      </c:pt>
                      <c:pt idx="5">
                        <c:v>2019</c:v>
                      </c:pt>
                      <c:pt idx="6">
                        <c:v>2020</c:v>
                      </c:pt>
                    </c:strCache>
                  </c:strRef>
                </c:cat>
                <c:val>
                  <c:numRef>
                    <c:extLst xmlns:c15="http://schemas.microsoft.com/office/drawing/2012/chart">
                      <c:ext xmlns:c15="http://schemas.microsoft.com/office/drawing/2012/chart" uri="{02D57815-91ED-43cb-92C2-25804820EDAC}">
                        <c15:formulaRef>
                          <c15:sqref>'FGS Expenditure-econ class'!$O$92:$U$92</c15:sqref>
                        </c15:formulaRef>
                      </c:ext>
                    </c:extLst>
                    <c:numCache>
                      <c:formatCode>General</c:formatCode>
                      <c:ptCount val="7"/>
                      <c:pt idx="6" formatCode="_(* #,##0.0_);_(* \(#,##0.0\);_(* &quot;-&quot;??_);_(@_)">
                        <c:v>4.3455563417085424E-2</c:v>
                      </c:pt>
                    </c:numCache>
                  </c:numRef>
                </c:val>
                <c:extLst xmlns:c15="http://schemas.microsoft.com/office/drawing/2012/chart">
                  <c:ext xmlns:c16="http://schemas.microsoft.com/office/drawing/2014/chart" uri="{C3380CC4-5D6E-409C-BE32-E72D297353CC}">
                    <c16:uniqueId val="{00000010-A0C5-4915-8124-7505C106B67E}"/>
                  </c:ext>
                </c:extLst>
              </c15:ser>
            </c15:filteredAreaSeries>
          </c:ext>
        </c:extLst>
      </c:areaChart>
      <c:catAx>
        <c:axId val="1726227039"/>
        <c:scaling>
          <c:orientation val="minMax"/>
        </c:scaling>
        <c:delete val="0"/>
        <c:axPos val="b"/>
        <c:numFmt formatCode="General" sourceLinked="1"/>
        <c:majorTickMark val="out"/>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5489007"/>
        <c:crosses val="autoZero"/>
        <c:auto val="1"/>
        <c:lblAlgn val="ctr"/>
        <c:lblOffset val="100"/>
        <c:noMultiLvlLbl val="0"/>
      </c:catAx>
      <c:valAx>
        <c:axId val="1735489007"/>
        <c:scaling>
          <c:orientation val="minMax"/>
          <c:max val="10"/>
        </c:scaling>
        <c:delete val="0"/>
        <c:axPos val="l"/>
        <c:numFmt formatCode="_(* #,##0.0_);_(* \(#,##0.0\);_(* &quot;-&quot;??_);_(@_)" sourceLinked="1"/>
        <c:majorTickMark val="out"/>
        <c:minorTickMark val="none"/>
        <c:tickLblPos val="nextTo"/>
        <c:spPr>
          <a:noFill/>
          <a:ln>
            <a:solidFill>
              <a:schemeClr val="accent3"/>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6227039"/>
        <c:crosses val="autoZero"/>
        <c:crossBetween val="midCat"/>
        <c:majorUnit val="2"/>
      </c:valAx>
      <c:spPr>
        <a:noFill/>
        <a:ln>
          <a:noFill/>
        </a:ln>
        <a:effectLst/>
      </c:spPr>
    </c:plotArea>
    <c:legend>
      <c:legendPos val="b"/>
      <c:layout>
        <c:manualLayout>
          <c:xMode val="edge"/>
          <c:yMode val="edge"/>
          <c:x val="7.9718639695900095E-2"/>
          <c:y val="0.82409752639440959"/>
          <c:w val="0.88792254955199568"/>
          <c:h val="0.175902520804899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b. FGS sector spending, percent of GDP</a:t>
            </a:r>
          </a:p>
        </c:rich>
      </c:tx>
      <c:layout>
        <c:manualLayout>
          <c:xMode val="edge"/>
          <c:yMode val="edge"/>
          <c:x val="0.19900082215904571"/>
          <c:y val="1.911589008363201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26543722326509"/>
          <c:y val="0.11678992678373705"/>
          <c:w val="0.86438180448176805"/>
          <c:h val="0.66269916229152848"/>
        </c:manualLayout>
      </c:layout>
      <c:areaChart>
        <c:grouping val="stacked"/>
        <c:varyColors val="0"/>
        <c:ser>
          <c:idx val="0"/>
          <c:order val="0"/>
          <c:tx>
            <c:strRef>
              <c:f>'Sectors-overall'!$A$14</c:f>
              <c:strCache>
                <c:ptCount val="1"/>
                <c:pt idx="0">
                  <c:v>Security</c:v>
                </c:pt>
              </c:strCache>
            </c:strRef>
          </c:tx>
          <c:spPr>
            <a:solidFill>
              <a:schemeClr val="accent1"/>
            </a:solidFill>
            <a:ln>
              <a:noFill/>
            </a:ln>
            <a:effectLst/>
          </c:spPr>
          <c:cat>
            <c:numRef>
              <c:f>'Sectors-overall'!$D$1:$H$1</c:f>
              <c:numCache>
                <c:formatCode>General</c:formatCode>
                <c:ptCount val="5"/>
                <c:pt idx="0">
                  <c:v>2016</c:v>
                </c:pt>
                <c:pt idx="1">
                  <c:v>2017</c:v>
                </c:pt>
                <c:pt idx="2">
                  <c:v>2018</c:v>
                </c:pt>
                <c:pt idx="3">
                  <c:v>2019</c:v>
                </c:pt>
                <c:pt idx="4">
                  <c:v>2020</c:v>
                </c:pt>
              </c:numCache>
            </c:numRef>
          </c:cat>
          <c:val>
            <c:numRef>
              <c:f>'Sectors-overall'!$D$14:$H$14</c:f>
              <c:numCache>
                <c:formatCode>_(* #,##0.0_);_(* \(#,##0.0\);_(* "-"??_);_(@_)</c:formatCode>
                <c:ptCount val="5"/>
                <c:pt idx="0">
                  <c:v>1.1396072163494169</c:v>
                </c:pt>
                <c:pt idx="1">
                  <c:v>1.9883992923656502</c:v>
                </c:pt>
                <c:pt idx="2">
                  <c:v>2.2068812723276343</c:v>
                </c:pt>
                <c:pt idx="3">
                  <c:v>2.1637981456051314</c:v>
                </c:pt>
                <c:pt idx="4">
                  <c:v>2.9200988311557792</c:v>
                </c:pt>
              </c:numCache>
            </c:numRef>
          </c:val>
          <c:extLst>
            <c:ext xmlns:c16="http://schemas.microsoft.com/office/drawing/2014/chart" uri="{C3380CC4-5D6E-409C-BE32-E72D297353CC}">
              <c16:uniqueId val="{00000000-E87B-409B-A8E4-D513ACDE2C22}"/>
            </c:ext>
          </c:extLst>
        </c:ser>
        <c:ser>
          <c:idx val="1"/>
          <c:order val="1"/>
          <c:tx>
            <c:strRef>
              <c:f>'Sectors-overall'!$A$15</c:f>
              <c:strCache>
                <c:ptCount val="1"/>
                <c:pt idx="0">
                  <c:v>Administration</c:v>
                </c:pt>
              </c:strCache>
            </c:strRef>
          </c:tx>
          <c:spPr>
            <a:solidFill>
              <a:schemeClr val="accent2"/>
            </a:solidFill>
            <a:ln>
              <a:noFill/>
            </a:ln>
            <a:effectLst/>
          </c:spPr>
          <c:cat>
            <c:numRef>
              <c:f>'Sectors-overall'!$D$1:$H$1</c:f>
              <c:numCache>
                <c:formatCode>General</c:formatCode>
                <c:ptCount val="5"/>
                <c:pt idx="0">
                  <c:v>2016</c:v>
                </c:pt>
                <c:pt idx="1">
                  <c:v>2017</c:v>
                </c:pt>
                <c:pt idx="2">
                  <c:v>2018</c:v>
                </c:pt>
                <c:pt idx="3">
                  <c:v>2019</c:v>
                </c:pt>
                <c:pt idx="4">
                  <c:v>2020</c:v>
                </c:pt>
              </c:numCache>
            </c:numRef>
          </c:cat>
          <c:val>
            <c:numRef>
              <c:f>'Sectors-overall'!$D$15:$H$15</c:f>
              <c:numCache>
                <c:formatCode>_(* #,##0.0_);_(* \(#,##0.0\);_(* "-"??_);_(@_)</c:formatCode>
                <c:ptCount val="5"/>
                <c:pt idx="0">
                  <c:v>2.3130143214719392</c:v>
                </c:pt>
                <c:pt idx="1">
                  <c:v>2.3250277155523325</c:v>
                </c:pt>
                <c:pt idx="2">
                  <c:v>2.122005021121681</c:v>
                </c:pt>
                <c:pt idx="3">
                  <c:v>2.3832639026262554</c:v>
                </c:pt>
                <c:pt idx="4">
                  <c:v>2.9296754386376596</c:v>
                </c:pt>
              </c:numCache>
            </c:numRef>
          </c:val>
          <c:extLst>
            <c:ext xmlns:c16="http://schemas.microsoft.com/office/drawing/2014/chart" uri="{C3380CC4-5D6E-409C-BE32-E72D297353CC}">
              <c16:uniqueId val="{00000001-E87B-409B-A8E4-D513ACDE2C22}"/>
            </c:ext>
          </c:extLst>
        </c:ser>
        <c:ser>
          <c:idx val="2"/>
          <c:order val="2"/>
          <c:tx>
            <c:strRef>
              <c:f>'Sectors-overall'!$A$16</c:f>
              <c:strCache>
                <c:ptCount val="1"/>
                <c:pt idx="0">
                  <c:v>Economic </c:v>
                </c:pt>
              </c:strCache>
            </c:strRef>
          </c:tx>
          <c:spPr>
            <a:solidFill>
              <a:schemeClr val="accent4"/>
            </a:solidFill>
            <a:ln>
              <a:noFill/>
            </a:ln>
            <a:effectLst/>
          </c:spPr>
          <c:cat>
            <c:numRef>
              <c:f>'Sectors-overall'!$D$1:$H$1</c:f>
              <c:numCache>
                <c:formatCode>General</c:formatCode>
                <c:ptCount val="5"/>
                <c:pt idx="0">
                  <c:v>2016</c:v>
                </c:pt>
                <c:pt idx="1">
                  <c:v>2017</c:v>
                </c:pt>
                <c:pt idx="2">
                  <c:v>2018</c:v>
                </c:pt>
                <c:pt idx="3">
                  <c:v>2019</c:v>
                </c:pt>
                <c:pt idx="4">
                  <c:v>2020</c:v>
                </c:pt>
              </c:numCache>
            </c:numRef>
          </c:cat>
          <c:val>
            <c:numRef>
              <c:f>'Sectors-overall'!$D$16:$H$16</c:f>
              <c:numCache>
                <c:formatCode>_(* #,##0.0_);_(* \(#,##0.0\);_(* "-"??_);_(@_)</c:formatCode>
                <c:ptCount val="5"/>
                <c:pt idx="0">
                  <c:v>0.301159690785474</c:v>
                </c:pt>
                <c:pt idx="1">
                  <c:v>0.4261716363176864</c:v>
                </c:pt>
                <c:pt idx="2">
                  <c:v>0.45371153019074256</c:v>
                </c:pt>
                <c:pt idx="3">
                  <c:v>0.52452272457591242</c:v>
                </c:pt>
                <c:pt idx="4">
                  <c:v>0.6433504984924624</c:v>
                </c:pt>
              </c:numCache>
            </c:numRef>
          </c:val>
          <c:extLst>
            <c:ext xmlns:c16="http://schemas.microsoft.com/office/drawing/2014/chart" uri="{C3380CC4-5D6E-409C-BE32-E72D297353CC}">
              <c16:uniqueId val="{00000002-E87B-409B-A8E4-D513ACDE2C22}"/>
            </c:ext>
          </c:extLst>
        </c:ser>
        <c:ser>
          <c:idx val="3"/>
          <c:order val="3"/>
          <c:tx>
            <c:strRef>
              <c:f>'Sectors-overall'!$A$17</c:f>
              <c:strCache>
                <c:ptCount val="1"/>
                <c:pt idx="0">
                  <c:v>Social </c:v>
                </c:pt>
              </c:strCache>
            </c:strRef>
          </c:tx>
          <c:spPr>
            <a:solidFill>
              <a:schemeClr val="accent6"/>
            </a:solidFill>
            <a:ln>
              <a:noFill/>
            </a:ln>
            <a:effectLst/>
          </c:spPr>
          <c:cat>
            <c:numRef>
              <c:f>'Sectors-overall'!$D$1:$H$1</c:f>
              <c:numCache>
                <c:formatCode>General</c:formatCode>
                <c:ptCount val="5"/>
                <c:pt idx="0">
                  <c:v>2016</c:v>
                </c:pt>
                <c:pt idx="1">
                  <c:v>2017</c:v>
                </c:pt>
                <c:pt idx="2">
                  <c:v>2018</c:v>
                </c:pt>
                <c:pt idx="3">
                  <c:v>2019</c:v>
                </c:pt>
                <c:pt idx="4">
                  <c:v>2020</c:v>
                </c:pt>
              </c:numCache>
            </c:numRef>
          </c:cat>
          <c:val>
            <c:numRef>
              <c:f>'Sectors-overall'!$D$17:$H$17</c:f>
              <c:numCache>
                <c:formatCode>_(* #,##0.0_);_(* \(#,##0.0\);_(* "-"??_);_(@_)</c:formatCode>
                <c:ptCount val="5"/>
                <c:pt idx="0">
                  <c:v>9.8137180283911746E-2</c:v>
                </c:pt>
                <c:pt idx="1">
                  <c:v>0.16816003686648837</c:v>
                </c:pt>
                <c:pt idx="2">
                  <c:v>0.25121292464391609</c:v>
                </c:pt>
                <c:pt idx="3">
                  <c:v>0.3882599185240298</c:v>
                </c:pt>
                <c:pt idx="4">
                  <c:v>1.6393271674371854</c:v>
                </c:pt>
              </c:numCache>
            </c:numRef>
          </c:val>
          <c:extLst>
            <c:ext xmlns:c16="http://schemas.microsoft.com/office/drawing/2014/chart" uri="{C3380CC4-5D6E-409C-BE32-E72D297353CC}">
              <c16:uniqueId val="{00000003-E87B-409B-A8E4-D513ACDE2C22}"/>
            </c:ext>
          </c:extLst>
        </c:ser>
        <c:ser>
          <c:idx val="4"/>
          <c:order val="4"/>
          <c:tx>
            <c:strRef>
              <c:f>'Sectors-overall'!$A$18</c:f>
              <c:strCache>
                <c:ptCount val="1"/>
                <c:pt idx="0">
                  <c:v>Grants</c:v>
                </c:pt>
              </c:strCache>
            </c:strRef>
          </c:tx>
          <c:spPr>
            <a:solidFill>
              <a:schemeClr val="accent3"/>
            </a:solidFill>
            <a:ln>
              <a:noFill/>
            </a:ln>
            <a:effectLst/>
          </c:spPr>
          <c:cat>
            <c:numRef>
              <c:f>'Sectors-overall'!$D$1:$H$1</c:f>
              <c:numCache>
                <c:formatCode>General</c:formatCode>
                <c:ptCount val="5"/>
                <c:pt idx="0">
                  <c:v>2016</c:v>
                </c:pt>
                <c:pt idx="1">
                  <c:v>2017</c:v>
                </c:pt>
                <c:pt idx="2">
                  <c:v>2018</c:v>
                </c:pt>
                <c:pt idx="3">
                  <c:v>2019</c:v>
                </c:pt>
                <c:pt idx="4">
                  <c:v>2020</c:v>
                </c:pt>
              </c:numCache>
            </c:numRef>
          </c:cat>
          <c:val>
            <c:numRef>
              <c:f>'Sectors-overall'!$D$18:$H$18</c:f>
              <c:numCache>
                <c:formatCode>_(* #,##0.0_);_(* \(#,##0.0\);_(* "-"??_);_(@_)</c:formatCode>
                <c:ptCount val="5"/>
                <c:pt idx="0">
                  <c:v>0.22242900454931855</c:v>
                </c:pt>
                <c:pt idx="1">
                  <c:v>0.49672062955783214</c:v>
                </c:pt>
                <c:pt idx="2">
                  <c:v>0.65323700698580922</c:v>
                </c:pt>
                <c:pt idx="3">
                  <c:v>0.9079137928818839</c:v>
                </c:pt>
                <c:pt idx="4">
                  <c:v>1.8122249222110556</c:v>
                </c:pt>
              </c:numCache>
            </c:numRef>
          </c:val>
          <c:extLst>
            <c:ext xmlns:c16="http://schemas.microsoft.com/office/drawing/2014/chart" uri="{C3380CC4-5D6E-409C-BE32-E72D297353CC}">
              <c16:uniqueId val="{00000004-E87B-409B-A8E4-D513ACDE2C22}"/>
            </c:ext>
          </c:extLst>
        </c:ser>
        <c:dLbls>
          <c:showLegendKey val="0"/>
          <c:showVal val="0"/>
          <c:showCatName val="0"/>
          <c:showSerName val="0"/>
          <c:showPercent val="0"/>
          <c:showBubbleSize val="0"/>
        </c:dLbls>
        <c:axId val="1495314927"/>
        <c:axId val="1684476047"/>
      </c:areaChart>
      <c:catAx>
        <c:axId val="1495314927"/>
        <c:scaling>
          <c:orientation val="minMax"/>
        </c:scaling>
        <c:delete val="0"/>
        <c:axPos val="b"/>
        <c:numFmt formatCode="General" sourceLinked="1"/>
        <c:majorTickMark val="none"/>
        <c:minorTickMark val="none"/>
        <c:tickLblPos val="nextTo"/>
        <c:spPr>
          <a:noFill/>
          <a:ln w="6350" cap="flat" cmpd="sng" algn="ctr">
            <a:solidFill>
              <a:schemeClr val="accent3"/>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4476047"/>
        <c:crosses val="autoZero"/>
        <c:auto val="1"/>
        <c:lblAlgn val="ctr"/>
        <c:lblOffset val="100"/>
        <c:noMultiLvlLbl val="0"/>
      </c:catAx>
      <c:valAx>
        <c:axId val="1684476047"/>
        <c:scaling>
          <c:orientation val="minMax"/>
          <c:max val="10"/>
        </c:scaling>
        <c:delete val="0"/>
        <c:axPos val="l"/>
        <c:numFmt formatCode="_(* #,##0.0_);_(* \(#,##0.0\);_(* &quot;-&quot;??_);_(@_)" sourceLinked="1"/>
        <c:majorTickMark val="none"/>
        <c:minorTickMark val="none"/>
        <c:tickLblPos val="nextTo"/>
        <c:spPr>
          <a:noFill/>
          <a:ln w="6350">
            <a:solidFill>
              <a:schemeClr val="accent3"/>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5314927"/>
        <c:crosses val="autoZero"/>
        <c:crossBetween val="midCat"/>
        <c:majorUnit val="2"/>
      </c:valAx>
      <c:spPr>
        <a:noFill/>
        <a:ln>
          <a:noFill/>
        </a:ln>
        <a:effectLst/>
      </c:spPr>
    </c:plotArea>
    <c:legend>
      <c:legendPos val="b"/>
      <c:layout>
        <c:manualLayout>
          <c:xMode val="edge"/>
          <c:yMode val="edge"/>
          <c:x val="2.277675356225986E-2"/>
          <c:y val="0.90586520583500751"/>
          <c:w val="0.93544823308464997"/>
          <c:h val="7.59041226740164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 Total revenue across FMSs, US$ millions</a:t>
            </a:r>
          </a:p>
        </c:rich>
      </c:tx>
      <c:layout>
        <c:manualLayout>
          <c:xMode val="edge"/>
          <c:yMode val="edge"/>
          <c:x val="0.2024976555860169"/>
          <c:y val="1.534011078803828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124752876822866E-2"/>
          <c:y val="9.8826593435079879E-2"/>
          <c:w val="0.8979203696734992"/>
          <c:h val="0.5855339263147662"/>
        </c:manualLayout>
      </c:layout>
      <c:barChart>
        <c:barDir val="col"/>
        <c:grouping val="stacked"/>
        <c:varyColors val="0"/>
        <c:ser>
          <c:idx val="0"/>
          <c:order val="0"/>
          <c:tx>
            <c:strRef>
              <c:f>Sheet1!$A$11</c:f>
              <c:strCache>
                <c:ptCount val="1"/>
                <c:pt idx="0">
                  <c:v>Tax revenue</c:v>
                </c:pt>
              </c:strCache>
            </c:strRef>
          </c:tx>
          <c:spPr>
            <a:solidFill>
              <a:schemeClr val="accent1"/>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Sheet1!$B$11:$P$11</c:f>
              <c:numCache>
                <c:formatCode>_(* #,##0.0_);_(* \(#,##0.0\);_(* "-"??_);_(@_)</c:formatCode>
                <c:ptCount val="15"/>
                <c:pt idx="0">
                  <c:v>42.401161000000002</c:v>
                </c:pt>
                <c:pt idx="1">
                  <c:v>47.887298000000008</c:v>
                </c:pt>
                <c:pt idx="2">
                  <c:v>55.056157760641803</c:v>
                </c:pt>
                <c:pt idx="3">
                  <c:v>10.51456767</c:v>
                </c:pt>
                <c:pt idx="4">
                  <c:v>20.87627341</c:v>
                </c:pt>
                <c:pt idx="5" formatCode="0.0">
                  <c:v>16.303971690000001</c:v>
                </c:pt>
                <c:pt idx="6" formatCode="0.0">
                  <c:v>2.7102873499999998</c:v>
                </c:pt>
                <c:pt idx="7" formatCode="0.0">
                  <c:v>1.894771</c:v>
                </c:pt>
                <c:pt idx="8" formatCode="0.0">
                  <c:v>2.3675335300000002</c:v>
                </c:pt>
                <c:pt idx="9" formatCode="0.0">
                  <c:v>0.63016556000000001</c:v>
                </c:pt>
                <c:pt idx="10" formatCode="0.0">
                  <c:v>1.2376627499999999</c:v>
                </c:pt>
                <c:pt idx="11" formatCode="0.0">
                  <c:v>3.30240299</c:v>
                </c:pt>
                <c:pt idx="12" formatCode="0.0">
                  <c:v>0.67356334000000007</c:v>
                </c:pt>
                <c:pt idx="13" formatCode="0.0">
                  <c:v>0.80107870000000003</c:v>
                </c:pt>
                <c:pt idx="14" formatCode="0.0">
                  <c:v>0.22189999999999999</c:v>
                </c:pt>
              </c:numCache>
            </c:numRef>
          </c:val>
          <c:extLst>
            <c:ext xmlns:c16="http://schemas.microsoft.com/office/drawing/2014/chart" uri="{C3380CC4-5D6E-409C-BE32-E72D297353CC}">
              <c16:uniqueId val="{00000000-6271-423A-8F4C-6D28E279CE4F}"/>
            </c:ext>
          </c:extLst>
        </c:ser>
        <c:ser>
          <c:idx val="1"/>
          <c:order val="1"/>
          <c:tx>
            <c:strRef>
              <c:f>Sheet1!$A$12</c:f>
              <c:strCache>
                <c:ptCount val="1"/>
                <c:pt idx="0">
                  <c:v>Other revenue</c:v>
                </c:pt>
              </c:strCache>
            </c:strRef>
          </c:tx>
          <c:spPr>
            <a:solidFill>
              <a:schemeClr val="accent2"/>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Sheet1!$B$12:$P$12</c:f>
              <c:numCache>
                <c:formatCode>_(* #,##0.0_);_(* \(#,##0.0\);_(* "-"??_);_(@_)</c:formatCode>
                <c:ptCount val="15"/>
                <c:pt idx="0">
                  <c:v>14.520522999999999</c:v>
                </c:pt>
                <c:pt idx="1">
                  <c:v>14.546264000000001</c:v>
                </c:pt>
                <c:pt idx="2">
                  <c:v>12.0083567932445</c:v>
                </c:pt>
                <c:pt idx="3">
                  <c:v>0.52218799999999999</c:v>
                </c:pt>
                <c:pt idx="4">
                  <c:v>0.452322</c:v>
                </c:pt>
                <c:pt idx="5">
                  <c:v>1.2777191499999998</c:v>
                </c:pt>
                <c:pt idx="6">
                  <c:v>1.278E-2</c:v>
                </c:pt>
                <c:pt idx="7">
                  <c:v>0</c:v>
                </c:pt>
                <c:pt idx="8">
                  <c:v>3.6164849999999998E-2</c:v>
                </c:pt>
                <c:pt idx="9">
                  <c:v>0</c:v>
                </c:pt>
                <c:pt idx="10">
                  <c:v>0</c:v>
                </c:pt>
                <c:pt idx="11">
                  <c:v>5.6077000000000002E-2</c:v>
                </c:pt>
                <c:pt idx="12">
                  <c:v>0</c:v>
                </c:pt>
                <c:pt idx="13">
                  <c:v>0</c:v>
                </c:pt>
                <c:pt idx="14">
                  <c:v>0</c:v>
                </c:pt>
              </c:numCache>
            </c:numRef>
          </c:val>
          <c:extLst>
            <c:ext xmlns:c16="http://schemas.microsoft.com/office/drawing/2014/chart" uri="{C3380CC4-5D6E-409C-BE32-E72D297353CC}">
              <c16:uniqueId val="{00000001-6271-423A-8F4C-6D28E279CE4F}"/>
            </c:ext>
          </c:extLst>
        </c:ser>
        <c:ser>
          <c:idx val="2"/>
          <c:order val="2"/>
          <c:tx>
            <c:strRef>
              <c:f>Sheet1!$A$13</c:f>
              <c:strCache>
                <c:ptCount val="1"/>
                <c:pt idx="0">
                  <c:v>Grants</c:v>
                </c:pt>
              </c:strCache>
            </c:strRef>
          </c:tx>
          <c:spPr>
            <a:solidFill>
              <a:schemeClr val="accent3"/>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Sheet1!$B$13:$P$13</c:f>
              <c:numCache>
                <c:formatCode>_(* #,##0.0_);_(* \(#,##0.0\);_(* "-"??_);_(@_)</c:formatCode>
                <c:ptCount val="15"/>
                <c:pt idx="0">
                  <c:v>11.378638</c:v>
                </c:pt>
                <c:pt idx="1">
                  <c:v>1.9984999999999999</c:v>
                </c:pt>
                <c:pt idx="2">
                  <c:v>9.7289999999999992</c:v>
                </c:pt>
                <c:pt idx="3">
                  <c:v>6.4689490799999998</c:v>
                </c:pt>
                <c:pt idx="4">
                  <c:v>17.102869429999998</c:v>
                </c:pt>
                <c:pt idx="5">
                  <c:v>13.382926060000001</c:v>
                </c:pt>
                <c:pt idx="6">
                  <c:v>3.2185350000000001</c:v>
                </c:pt>
                <c:pt idx="7">
                  <c:v>7.5163020000000005</c:v>
                </c:pt>
                <c:pt idx="8">
                  <c:v>12.711236099999999</c:v>
                </c:pt>
                <c:pt idx="9">
                  <c:v>1.3184636700000001</c:v>
                </c:pt>
                <c:pt idx="10">
                  <c:v>2.1069192999999999</c:v>
                </c:pt>
                <c:pt idx="11">
                  <c:v>12.029883419999997</c:v>
                </c:pt>
                <c:pt idx="12">
                  <c:v>2.6154762800000002</c:v>
                </c:pt>
                <c:pt idx="13">
                  <c:v>5.1837463399999999</c:v>
                </c:pt>
                <c:pt idx="14">
                  <c:v>9.8575538300000005</c:v>
                </c:pt>
              </c:numCache>
            </c:numRef>
          </c:val>
          <c:extLst>
            <c:ext xmlns:c16="http://schemas.microsoft.com/office/drawing/2014/chart" uri="{C3380CC4-5D6E-409C-BE32-E72D297353CC}">
              <c16:uniqueId val="{00000002-6271-423A-8F4C-6D28E279CE4F}"/>
            </c:ext>
          </c:extLst>
        </c:ser>
        <c:dLbls>
          <c:showLegendKey val="0"/>
          <c:showVal val="0"/>
          <c:showCatName val="0"/>
          <c:showSerName val="0"/>
          <c:showPercent val="0"/>
          <c:showBubbleSize val="0"/>
        </c:dLbls>
        <c:gapWidth val="150"/>
        <c:overlap val="100"/>
        <c:axId val="1037284336"/>
        <c:axId val="1065484624"/>
      </c:barChart>
      <c:catAx>
        <c:axId val="1037284336"/>
        <c:scaling>
          <c:orientation val="minMax"/>
        </c:scaling>
        <c:delete val="0"/>
        <c:axPos val="b"/>
        <c:numFmt formatCode="General" sourceLinked="1"/>
        <c:majorTickMark val="none"/>
        <c:minorTickMark val="none"/>
        <c:tickLblPos val="nextTo"/>
        <c:spPr>
          <a:noFill/>
          <a:ln w="6350" cap="flat" cmpd="sng" algn="ctr">
            <a:solidFill>
              <a:srgbClr val="A5A5A5"/>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065484624"/>
        <c:crosses val="autoZero"/>
        <c:auto val="1"/>
        <c:lblAlgn val="ctr"/>
        <c:lblOffset val="100"/>
        <c:noMultiLvlLbl val="0"/>
      </c:catAx>
      <c:valAx>
        <c:axId val="1065484624"/>
        <c:scaling>
          <c:orientation val="minMax"/>
          <c:max val="80"/>
        </c:scaling>
        <c:delete val="0"/>
        <c:axPos val="l"/>
        <c:numFmt formatCode="#,##0" sourceLinked="0"/>
        <c:majorTickMark val="out"/>
        <c:minorTickMark val="none"/>
        <c:tickLblPos val="nextTo"/>
        <c:spPr>
          <a:noFill/>
          <a:ln w="6350">
            <a:solidFill>
              <a:srgbClr val="A5A5A5">
                <a:alpha val="95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7284336"/>
        <c:crosses val="autoZero"/>
        <c:crossBetween val="between"/>
        <c:majorUnit val="20"/>
      </c:valAx>
      <c:spPr>
        <a:noFill/>
        <a:ln>
          <a:noFill/>
        </a:ln>
        <a:effectLst/>
      </c:spPr>
    </c:plotArea>
    <c:legend>
      <c:legendPos val="b"/>
      <c:layout>
        <c:manualLayout>
          <c:xMode val="edge"/>
          <c:yMode val="edge"/>
          <c:x val="6.408892017250345E-2"/>
          <c:y val="0.89063137941090698"/>
          <c:w val="0.87039142272404935"/>
          <c:h val="8.4459961372752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b. Expenditure across FMSs, percent share</a:t>
            </a:r>
          </a:p>
        </c:rich>
      </c:tx>
      <c:layout>
        <c:manualLayout>
          <c:xMode val="edge"/>
          <c:yMode val="edge"/>
          <c:x val="0.1779794357388495"/>
          <c:y val="1.310028103927175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536825547445106E-2"/>
          <c:y val="0.10465960273484332"/>
          <c:w val="0.89792039542635438"/>
          <c:h val="0.54400497391529767"/>
        </c:manualLayout>
      </c:layout>
      <c:barChart>
        <c:barDir val="col"/>
        <c:grouping val="percentStacked"/>
        <c:varyColors val="0"/>
        <c:ser>
          <c:idx val="0"/>
          <c:order val="0"/>
          <c:tx>
            <c:strRef>
              <c:f>Sheet1!$A$24</c:f>
              <c:strCache>
                <c:ptCount val="1"/>
                <c:pt idx="0">
                  <c:v>Wages &amp; Salaries</c:v>
                </c:pt>
              </c:strCache>
            </c:strRef>
          </c:tx>
          <c:spPr>
            <a:solidFill>
              <a:schemeClr val="accent1"/>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Sheet1!$B$24:$P$24</c:f>
              <c:numCache>
                <c:formatCode>_(* #,##0.0_);_(* \(#,##0.0\);_(* "-"??_);_(@_)</c:formatCode>
                <c:ptCount val="15"/>
                <c:pt idx="0">
                  <c:v>19.10521</c:v>
                </c:pt>
                <c:pt idx="1">
                  <c:v>28.052253</c:v>
                </c:pt>
                <c:pt idx="2">
                  <c:v>37.115668049999996</c:v>
                </c:pt>
                <c:pt idx="3">
                  <c:v>11.998226170000001</c:v>
                </c:pt>
                <c:pt idx="4" formatCode="0.0">
                  <c:v>30.19784293</c:v>
                </c:pt>
                <c:pt idx="5">
                  <c:v>19.232972889999999</c:v>
                </c:pt>
                <c:pt idx="6">
                  <c:v>5.5533575099999997</c:v>
                </c:pt>
                <c:pt idx="7">
                  <c:v>6.3170510000000002</c:v>
                </c:pt>
                <c:pt idx="8">
                  <c:v>10.839644740000001</c:v>
                </c:pt>
                <c:pt idx="9">
                  <c:v>1.66383785</c:v>
                </c:pt>
                <c:pt idx="10" formatCode="0.0">
                  <c:v>2.9244249999999998</c:v>
                </c:pt>
                <c:pt idx="11">
                  <c:v>6.0984456299999996</c:v>
                </c:pt>
                <c:pt idx="12">
                  <c:v>1.768723</c:v>
                </c:pt>
                <c:pt idx="13" formatCode="0.0">
                  <c:v>3.6109100000000001</c:v>
                </c:pt>
                <c:pt idx="14">
                  <c:v>6.2031028499999996</c:v>
                </c:pt>
              </c:numCache>
            </c:numRef>
          </c:val>
          <c:extLst>
            <c:ext xmlns:c16="http://schemas.microsoft.com/office/drawing/2014/chart" uri="{C3380CC4-5D6E-409C-BE32-E72D297353CC}">
              <c16:uniqueId val="{00000000-9D42-41A4-830F-5700CA2C8C78}"/>
            </c:ext>
          </c:extLst>
        </c:ser>
        <c:ser>
          <c:idx val="1"/>
          <c:order val="1"/>
          <c:tx>
            <c:strRef>
              <c:f>Sheet1!$A$25</c:f>
              <c:strCache>
                <c:ptCount val="1"/>
                <c:pt idx="0">
                  <c:v>Use of Goods &amp; Services</c:v>
                </c:pt>
              </c:strCache>
            </c:strRef>
          </c:tx>
          <c:spPr>
            <a:solidFill>
              <a:schemeClr val="accent2"/>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Sheet1!$B$25:$P$25</c:f>
              <c:numCache>
                <c:formatCode>_(* #,##0.0_);_(* \(#,##0.0\);_(* "-"??_);_(@_)</c:formatCode>
                <c:ptCount val="15"/>
                <c:pt idx="0">
                  <c:v>14.567878</c:v>
                </c:pt>
                <c:pt idx="1">
                  <c:v>21.476927999999997</c:v>
                </c:pt>
                <c:pt idx="2">
                  <c:v>22.09566324420895</c:v>
                </c:pt>
                <c:pt idx="3">
                  <c:v>3.1513022400000001</c:v>
                </c:pt>
                <c:pt idx="4" formatCode="0.0">
                  <c:v>7.4656934499999998</c:v>
                </c:pt>
                <c:pt idx="5">
                  <c:v>8.0860141800000012</c:v>
                </c:pt>
                <c:pt idx="6">
                  <c:v>0.38462503000000003</c:v>
                </c:pt>
                <c:pt idx="7">
                  <c:v>1.285371</c:v>
                </c:pt>
                <c:pt idx="8">
                  <c:v>2.2659631600000001</c:v>
                </c:pt>
                <c:pt idx="9">
                  <c:v>0.21184900000000001</c:v>
                </c:pt>
                <c:pt idx="10" formatCode="0.0">
                  <c:v>0.17161789999999999</c:v>
                </c:pt>
                <c:pt idx="11">
                  <c:v>4.3257375199999997</c:v>
                </c:pt>
                <c:pt idx="12">
                  <c:v>0.42423300000000003</c:v>
                </c:pt>
                <c:pt idx="13" formatCode="0.0">
                  <c:v>1.0062805799999999</c:v>
                </c:pt>
                <c:pt idx="14">
                  <c:v>1.4104289999999999</c:v>
                </c:pt>
              </c:numCache>
            </c:numRef>
          </c:val>
          <c:extLst>
            <c:ext xmlns:c16="http://schemas.microsoft.com/office/drawing/2014/chart" uri="{C3380CC4-5D6E-409C-BE32-E72D297353CC}">
              <c16:uniqueId val="{00000001-9D42-41A4-830F-5700CA2C8C78}"/>
            </c:ext>
          </c:extLst>
        </c:ser>
        <c:ser>
          <c:idx val="2"/>
          <c:order val="2"/>
          <c:tx>
            <c:strRef>
              <c:f>Sheet1!$A$26</c:f>
              <c:strCache>
                <c:ptCount val="1"/>
                <c:pt idx="0">
                  <c:v>Grants</c:v>
                </c:pt>
              </c:strCache>
            </c:strRef>
          </c:tx>
          <c:spPr>
            <a:solidFill>
              <a:schemeClr val="accent3"/>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Sheet1!$B$26:$P$26</c:f>
              <c:numCache>
                <c:formatCode>_(* #,##0.0_);_(* \(#,##0.0\);_(* "-"??_);_(@_)</c:formatCode>
                <c:ptCount val="15"/>
                <c:pt idx="0">
                  <c:v>24.639716</c:v>
                </c:pt>
                <c:pt idx="1">
                  <c:v>9.3762559999999997</c:v>
                </c:pt>
                <c:pt idx="2">
                  <c:v>1.9786079999999999</c:v>
                </c:pt>
                <c:pt idx="3">
                  <c:v>7.1157270000000009E-2</c:v>
                </c:pt>
                <c:pt idx="4">
                  <c:v>0.18297100000000002</c:v>
                </c:pt>
                <c:pt idx="5">
                  <c:v>0.10478899999999999</c:v>
                </c:pt>
                <c:pt idx="6">
                  <c:v>0</c:v>
                </c:pt>
                <c:pt idx="7">
                  <c:v>4.5773000000000001E-2</c:v>
                </c:pt>
                <c:pt idx="8">
                  <c:v>0.10199999999999999</c:v>
                </c:pt>
                <c:pt idx="9">
                  <c:v>0.247257</c:v>
                </c:pt>
                <c:pt idx="10" formatCode="0.0">
                  <c:v>4.9384999999999998E-2</c:v>
                </c:pt>
                <c:pt idx="11">
                  <c:v>0.23754339999999999</c:v>
                </c:pt>
                <c:pt idx="12">
                  <c:v>0.19028900000000001</c:v>
                </c:pt>
                <c:pt idx="13" formatCode="0.0">
                  <c:v>0.49150337999999999</c:v>
                </c:pt>
                <c:pt idx="14">
                  <c:v>1.77562</c:v>
                </c:pt>
              </c:numCache>
            </c:numRef>
          </c:val>
          <c:extLst>
            <c:ext xmlns:c16="http://schemas.microsoft.com/office/drawing/2014/chart" uri="{C3380CC4-5D6E-409C-BE32-E72D297353CC}">
              <c16:uniqueId val="{00000002-9D42-41A4-830F-5700CA2C8C78}"/>
            </c:ext>
          </c:extLst>
        </c:ser>
        <c:ser>
          <c:idx val="3"/>
          <c:order val="3"/>
          <c:tx>
            <c:strRef>
              <c:f>Sheet1!$A$27</c:f>
              <c:strCache>
                <c:ptCount val="1"/>
                <c:pt idx="0">
                  <c:v>Other expenses</c:v>
                </c:pt>
              </c:strCache>
            </c:strRef>
          </c:tx>
          <c:spPr>
            <a:solidFill>
              <a:schemeClr val="accent4"/>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Sheet1!$B$27:$P$27</c:f>
              <c:numCache>
                <c:formatCode>_(* #,##0.0_);_(* \(#,##0.0\);_(* "-"??_);_(@_)</c:formatCode>
                <c:ptCount val="15"/>
                <c:pt idx="0">
                  <c:v>7.027698</c:v>
                </c:pt>
                <c:pt idx="1">
                  <c:v>0</c:v>
                </c:pt>
                <c:pt idx="2">
                  <c:v>9.0948130700000007</c:v>
                </c:pt>
                <c:pt idx="3">
                  <c:v>1.01053997</c:v>
                </c:pt>
                <c:pt idx="4">
                  <c:v>0.74825997</c:v>
                </c:pt>
                <c:pt idx="5">
                  <c:v>2.2438998799999998</c:v>
                </c:pt>
                <c:pt idx="8">
                  <c:v>1.4439708199999999</c:v>
                </c:pt>
                <c:pt idx="9">
                  <c:v>1.3854999999999999E-2</c:v>
                </c:pt>
                <c:pt idx="10" formatCode="0.0">
                  <c:v>0</c:v>
                </c:pt>
                <c:pt idx="11">
                  <c:v>1.3160115699999999</c:v>
                </c:pt>
                <c:pt idx="12" formatCode="_(* #,##0.00_);_(* \(#,##0.00\);_(* &quot;-&quot;??_);_(@_)">
                  <c:v>0</c:v>
                </c:pt>
                <c:pt idx="13" formatCode="0.0">
                  <c:v>0</c:v>
                </c:pt>
                <c:pt idx="14">
                  <c:v>0.61882956</c:v>
                </c:pt>
              </c:numCache>
            </c:numRef>
          </c:val>
          <c:extLst>
            <c:ext xmlns:c16="http://schemas.microsoft.com/office/drawing/2014/chart" uri="{C3380CC4-5D6E-409C-BE32-E72D297353CC}">
              <c16:uniqueId val="{00000003-9D42-41A4-830F-5700CA2C8C78}"/>
            </c:ext>
          </c:extLst>
        </c:ser>
        <c:ser>
          <c:idx val="4"/>
          <c:order val="4"/>
          <c:tx>
            <c:strRef>
              <c:f>Sheet1!$A$28</c:f>
              <c:strCache>
                <c:ptCount val="1"/>
                <c:pt idx="0">
                  <c:v>Social benefits</c:v>
                </c:pt>
              </c:strCache>
            </c:strRef>
          </c:tx>
          <c:spPr>
            <a:solidFill>
              <a:schemeClr val="accent5"/>
            </a:solidFill>
            <a:ln>
              <a:noFill/>
            </a:ln>
            <a:effectLst/>
          </c:spPr>
          <c:invertIfNegative val="0"/>
          <c:cat>
            <c:multiLvlStrRef>
              <c:f>Sheet1!$B$1:$P$2</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PSS</c:v>
                  </c:pt>
                  <c:pt idx="3">
                    <c:v>JSS</c:v>
                  </c:pt>
                  <c:pt idx="6">
                    <c:v>SWS</c:v>
                  </c:pt>
                  <c:pt idx="9">
                    <c:v>GSS</c:v>
                  </c:pt>
                  <c:pt idx="12">
                    <c:v>HSS</c:v>
                  </c:pt>
                </c:lvl>
              </c:multiLvlStrCache>
            </c:multiLvlStrRef>
          </c:cat>
          <c:val>
            <c:numRef>
              <c:f>Sheet1!$B$28:$P$28</c:f>
              <c:numCache>
                <c:formatCode>_(* #,##0.0_);_(* \(#,##0.0\);_(* "-"??_);_(@_)</c:formatCode>
                <c:ptCount val="15"/>
                <c:pt idx="0">
                  <c:v>1.220933</c:v>
                </c:pt>
                <c:pt idx="1">
                  <c:v>0.84367499999999995</c:v>
                </c:pt>
                <c:pt idx="2">
                  <c:v>1.1105670000000001</c:v>
                </c:pt>
                <c:pt idx="3">
                  <c:v>0.23428299999999999</c:v>
                </c:pt>
                <c:pt idx="4" formatCode="0.0">
                  <c:v>0.32382699999999998</c:v>
                </c:pt>
                <c:pt idx="5">
                  <c:v>0.36973581999999999</c:v>
                </c:pt>
                <c:pt idx="8">
                  <c:v>0</c:v>
                </c:pt>
                <c:pt idx="11">
                  <c:v>4.0525899999999997E-2</c:v>
                </c:pt>
              </c:numCache>
            </c:numRef>
          </c:val>
          <c:extLst>
            <c:ext xmlns:c16="http://schemas.microsoft.com/office/drawing/2014/chart" uri="{C3380CC4-5D6E-409C-BE32-E72D297353CC}">
              <c16:uniqueId val="{00000004-9D42-41A4-830F-5700CA2C8C78}"/>
            </c:ext>
          </c:extLst>
        </c:ser>
        <c:dLbls>
          <c:showLegendKey val="0"/>
          <c:showVal val="0"/>
          <c:showCatName val="0"/>
          <c:showSerName val="0"/>
          <c:showPercent val="0"/>
          <c:showBubbleSize val="0"/>
        </c:dLbls>
        <c:gapWidth val="150"/>
        <c:overlap val="100"/>
        <c:axId val="1037284336"/>
        <c:axId val="1065484624"/>
        <c:extLst/>
      </c:barChart>
      <c:catAx>
        <c:axId val="1037284336"/>
        <c:scaling>
          <c:orientation val="minMax"/>
        </c:scaling>
        <c:delete val="0"/>
        <c:axPos val="b"/>
        <c:numFmt formatCode="General" sourceLinked="1"/>
        <c:majorTickMark val="none"/>
        <c:minorTickMark val="none"/>
        <c:tickLblPos val="nextTo"/>
        <c:spPr>
          <a:noFill/>
          <a:ln w="635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65484624"/>
        <c:crosses val="autoZero"/>
        <c:auto val="1"/>
        <c:lblAlgn val="ctr"/>
        <c:lblOffset val="100"/>
        <c:noMultiLvlLbl val="0"/>
      </c:catAx>
      <c:valAx>
        <c:axId val="1065484624"/>
        <c:scaling>
          <c:orientation val="minMax"/>
        </c:scaling>
        <c:delete val="0"/>
        <c:axPos val="l"/>
        <c:numFmt formatCode="0%" sourceLinked="1"/>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7284336"/>
        <c:crosses val="autoZero"/>
        <c:crossBetween val="between"/>
        <c:majorUnit val="0.2"/>
      </c:valAx>
      <c:spPr>
        <a:noFill/>
        <a:ln>
          <a:noFill/>
        </a:ln>
        <a:effectLst/>
      </c:spPr>
    </c:plotArea>
    <c:legend>
      <c:legendPos val="b"/>
      <c:layout>
        <c:manualLayout>
          <c:xMode val="edge"/>
          <c:yMode val="edge"/>
          <c:x val="3.3584164048459465E-2"/>
          <c:y val="0.8638391170137566"/>
          <c:w val="0.92890138732658423"/>
          <c:h val="0.116253532522921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 FGS Revenue Drivers, Percent of GDP</a:t>
            </a:r>
          </a:p>
        </c:rich>
      </c:tx>
      <c:layout>
        <c:manualLayout>
          <c:xMode val="edge"/>
          <c:yMode val="edge"/>
          <c:x val="0.17532472977619012"/>
          <c:y val="2.4503798088703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484189956326406E-2"/>
          <c:y val="0.11414238509877569"/>
          <c:w val="0.6634097255414958"/>
          <c:h val="0.78870124081831117"/>
        </c:manualLayout>
      </c:layout>
      <c:barChart>
        <c:barDir val="col"/>
        <c:grouping val="stacked"/>
        <c:varyColors val="0"/>
        <c:ser>
          <c:idx val="0"/>
          <c:order val="0"/>
          <c:tx>
            <c:strRef>
              <c:f>Analysis!$A$38</c:f>
              <c:strCache>
                <c:ptCount val="1"/>
                <c:pt idx="0">
                  <c:v>Tax revenue</c:v>
                </c:pt>
              </c:strCache>
            </c:strRef>
          </c:tx>
          <c:spPr>
            <a:solidFill>
              <a:srgbClr val="5B9BD5"/>
            </a:solidFill>
            <a:ln>
              <a:noFill/>
            </a:ln>
            <a:effectLst/>
          </c:spPr>
          <c:invertIfNegative val="0"/>
          <c:cat>
            <c:strRef>
              <c:f>Analysis!$B$16:$G$16</c:f>
              <c:strCache>
                <c:ptCount val="2"/>
                <c:pt idx="0">
                  <c:v>2020 Actual</c:v>
                </c:pt>
                <c:pt idx="1">
                  <c:v>2021 Budget</c:v>
                </c:pt>
              </c:strCache>
            </c:strRef>
          </c:cat>
          <c:val>
            <c:numRef>
              <c:f>Analysis!$B$38:$G$38</c:f>
              <c:numCache>
                <c:formatCode>#,##0.0</c:formatCode>
                <c:ptCount val="2"/>
                <c:pt idx="0">
                  <c:v>2.8046918138282519</c:v>
                </c:pt>
                <c:pt idx="1">
                  <c:v>3.3854897718736101</c:v>
                </c:pt>
              </c:numCache>
            </c:numRef>
          </c:val>
          <c:extLst xmlns:c15="http://schemas.microsoft.com/office/drawing/2012/chart">
            <c:ext xmlns:c16="http://schemas.microsoft.com/office/drawing/2014/chart" uri="{C3380CC4-5D6E-409C-BE32-E72D297353CC}">
              <c16:uniqueId val="{00000000-0F3C-4127-BC04-A88FDD5ED1A3}"/>
            </c:ext>
          </c:extLst>
        </c:ser>
        <c:ser>
          <c:idx val="1"/>
          <c:order val="1"/>
          <c:tx>
            <c:strRef>
              <c:f>Analysis!$A$39</c:f>
              <c:strCache>
                <c:ptCount val="1"/>
                <c:pt idx="0">
                  <c:v>Non-tax Revenue</c:v>
                </c:pt>
              </c:strCache>
            </c:strRef>
          </c:tx>
          <c:spPr>
            <a:solidFill>
              <a:schemeClr val="accent2"/>
            </a:solidFill>
            <a:ln>
              <a:noFill/>
            </a:ln>
            <a:effectLst/>
          </c:spPr>
          <c:invertIfNegative val="0"/>
          <c:cat>
            <c:strRef>
              <c:f>Analysis!$B$16:$G$16</c:f>
              <c:strCache>
                <c:ptCount val="2"/>
                <c:pt idx="0">
                  <c:v>2020 Actual</c:v>
                </c:pt>
                <c:pt idx="1">
                  <c:v>2021 Budget</c:v>
                </c:pt>
              </c:strCache>
            </c:strRef>
          </c:cat>
          <c:val>
            <c:numRef>
              <c:f>Analysis!$B$39:$G$39</c:f>
              <c:numCache>
                <c:formatCode>#,##0.0</c:formatCode>
                <c:ptCount val="2"/>
                <c:pt idx="0">
                  <c:v>1.4412990504522616</c:v>
                </c:pt>
                <c:pt idx="1">
                  <c:v>1.6074369504214974</c:v>
                </c:pt>
              </c:numCache>
            </c:numRef>
          </c:val>
          <c:extLst xmlns:c15="http://schemas.microsoft.com/office/drawing/2012/chart">
            <c:ext xmlns:c16="http://schemas.microsoft.com/office/drawing/2014/chart" uri="{C3380CC4-5D6E-409C-BE32-E72D297353CC}">
              <c16:uniqueId val="{00000001-0F3C-4127-BC04-A88FDD5ED1A3}"/>
            </c:ext>
          </c:extLst>
        </c:ser>
        <c:ser>
          <c:idx val="2"/>
          <c:order val="2"/>
          <c:tx>
            <c:strRef>
              <c:f>Analysis!$A$40</c:f>
              <c:strCache>
                <c:ptCount val="1"/>
                <c:pt idx="0">
                  <c:v>Grants-budget support</c:v>
                </c:pt>
              </c:strCache>
            </c:strRef>
          </c:tx>
          <c:spPr>
            <a:solidFill>
              <a:schemeClr val="accent3"/>
            </a:solidFill>
            <a:ln>
              <a:noFill/>
            </a:ln>
            <a:effectLst/>
          </c:spPr>
          <c:invertIfNegative val="0"/>
          <c:cat>
            <c:strRef>
              <c:f>Analysis!$B$16:$G$16</c:f>
              <c:strCache>
                <c:ptCount val="2"/>
                <c:pt idx="0">
                  <c:v>2020 Actual</c:v>
                </c:pt>
                <c:pt idx="1">
                  <c:v>2021 Budget</c:v>
                </c:pt>
              </c:strCache>
            </c:strRef>
          </c:cat>
          <c:val>
            <c:numRef>
              <c:f>Analysis!$B$40:$G$40</c:f>
              <c:numCache>
                <c:formatCode>#,##0.0</c:formatCode>
                <c:ptCount val="2"/>
                <c:pt idx="0">
                  <c:v>2.4743718592964825</c:v>
                </c:pt>
                <c:pt idx="1">
                  <c:v>2.406576857624227</c:v>
                </c:pt>
              </c:numCache>
            </c:numRef>
          </c:val>
          <c:extLst xmlns:c15="http://schemas.microsoft.com/office/drawing/2012/chart">
            <c:ext xmlns:c16="http://schemas.microsoft.com/office/drawing/2014/chart" uri="{C3380CC4-5D6E-409C-BE32-E72D297353CC}">
              <c16:uniqueId val="{00000002-0F3C-4127-BC04-A88FDD5ED1A3}"/>
            </c:ext>
          </c:extLst>
        </c:ser>
        <c:ser>
          <c:idx val="3"/>
          <c:order val="3"/>
          <c:tx>
            <c:strRef>
              <c:f>Analysis!$A$41</c:f>
              <c:strCache>
                <c:ptCount val="1"/>
                <c:pt idx="0">
                  <c:v>Grants-projects</c:v>
                </c:pt>
              </c:strCache>
            </c:strRef>
          </c:tx>
          <c:spPr>
            <a:solidFill>
              <a:schemeClr val="accent4"/>
            </a:solidFill>
            <a:ln>
              <a:noFill/>
            </a:ln>
            <a:effectLst/>
          </c:spPr>
          <c:invertIfNegative val="0"/>
          <c:cat>
            <c:strRef>
              <c:f>Analysis!$B$16:$G$16</c:f>
              <c:strCache>
                <c:ptCount val="2"/>
                <c:pt idx="0">
                  <c:v>2020 Actual</c:v>
                </c:pt>
                <c:pt idx="1">
                  <c:v>2021 Budget</c:v>
                </c:pt>
              </c:strCache>
            </c:strRef>
          </c:cat>
          <c:val>
            <c:numRef>
              <c:f>Analysis!$B$41:$G$41</c:f>
              <c:numCache>
                <c:formatCode>#,##0.0</c:formatCode>
                <c:ptCount val="2"/>
                <c:pt idx="0">
                  <c:v>3.4673366834170856</c:v>
                </c:pt>
                <c:pt idx="1">
                  <c:v>5.1982060124683311</c:v>
                </c:pt>
              </c:numCache>
            </c:numRef>
          </c:val>
          <c:extLst xmlns:c15="http://schemas.microsoft.com/office/drawing/2012/chart">
            <c:ext xmlns:c16="http://schemas.microsoft.com/office/drawing/2014/chart" uri="{C3380CC4-5D6E-409C-BE32-E72D297353CC}">
              <c16:uniqueId val="{00000003-0F3C-4127-BC04-A88FDD5ED1A3}"/>
            </c:ext>
          </c:extLst>
        </c:ser>
        <c:dLbls>
          <c:showLegendKey val="0"/>
          <c:showVal val="0"/>
          <c:showCatName val="0"/>
          <c:showSerName val="0"/>
          <c:showPercent val="0"/>
          <c:showBubbleSize val="0"/>
        </c:dLbls>
        <c:gapWidth val="150"/>
        <c:overlap val="100"/>
        <c:axId val="1538447567"/>
        <c:axId val="1534307071"/>
        <c:extLst/>
      </c:barChart>
      <c:catAx>
        <c:axId val="153844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4307071"/>
        <c:crosses val="autoZero"/>
        <c:auto val="1"/>
        <c:lblAlgn val="ctr"/>
        <c:lblOffset val="100"/>
        <c:noMultiLvlLbl val="0"/>
      </c:catAx>
      <c:valAx>
        <c:axId val="153430707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8447567"/>
        <c:crosses val="autoZero"/>
        <c:crossBetween val="between"/>
      </c:valAx>
      <c:spPr>
        <a:noFill/>
        <a:ln>
          <a:noFill/>
        </a:ln>
        <a:effectLst/>
      </c:spPr>
    </c:plotArea>
    <c:legend>
      <c:legendPos val="r"/>
      <c:layout>
        <c:manualLayout>
          <c:xMode val="edge"/>
          <c:yMode val="edge"/>
          <c:x val="0.64069465757674859"/>
          <c:y val="0.33871503626369176"/>
          <c:w val="0.33268462847894809"/>
          <c:h val="0.53262574596700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b. 2021 Expenditure</a:t>
            </a:r>
            <a:r>
              <a:rPr lang="en-US" sz="900" baseline="0"/>
              <a:t> estimates, Shares</a:t>
            </a:r>
            <a:endParaRPr lang="en-US" sz="900"/>
          </a:p>
        </c:rich>
      </c:tx>
      <c:layout>
        <c:manualLayout>
          <c:xMode val="edge"/>
          <c:yMode val="edge"/>
          <c:x val="0.21705729166666668"/>
          <c:y val="1.50753768844221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44195303401646"/>
          <c:y val="0.19781673276241929"/>
          <c:w val="0.70697502216196484"/>
          <c:h val="0.77922064486464737"/>
        </c:manualLayout>
      </c:layout>
      <c:pieChart>
        <c:varyColors val="1"/>
        <c:ser>
          <c:idx val="0"/>
          <c:order val="0"/>
          <c:tx>
            <c:strRef>
              <c:f>Expenditure!$G$1</c:f>
              <c:strCache>
                <c:ptCount val="1"/>
                <c:pt idx="0">
                  <c:v>2021 Budget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D6-4EE9-A3A2-BD2BD30438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D6-4EE9-A3A2-BD2BD30438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D6-4EE9-A3A2-BD2BD30438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D6-4EE9-A3A2-BD2BD30438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D6-4EE9-A3A2-BD2BD30438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D6-4EE9-A3A2-BD2BD30438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D6-4EE9-A3A2-BD2BD30438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3D6-4EE9-A3A2-BD2BD30438F1}"/>
              </c:ext>
            </c:extLst>
          </c:dPt>
          <c:dLbls>
            <c:dLbl>
              <c:idx val="0"/>
              <c:layout>
                <c:manualLayout>
                  <c:x val="-0.2251655629139073"/>
                  <c:y val="0.1011947046765139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3509933774834438"/>
                      <c:h val="0.17274939172749393"/>
                    </c:manualLayout>
                  </c15:layout>
                </c:ext>
                <c:ext xmlns:c16="http://schemas.microsoft.com/office/drawing/2014/chart" uri="{C3380CC4-5D6E-409C-BE32-E72D297353CC}">
                  <c16:uniqueId val="{00000001-C3D6-4EE9-A3A2-BD2BD30438F1}"/>
                </c:ext>
              </c:extLst>
            </c:dLbl>
            <c:dLbl>
              <c:idx val="1"/>
              <c:layout>
                <c:manualLayout>
                  <c:x val="6.729658792650918E-2"/>
                  <c:y val="-8.097248893662703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445933496723504"/>
                      <c:h val="0.16446880069639536"/>
                    </c:manualLayout>
                  </c15:layout>
                </c:ext>
                <c:ext xmlns:c16="http://schemas.microsoft.com/office/drawing/2014/chart" uri="{C3380CC4-5D6E-409C-BE32-E72D297353CC}">
                  <c16:uniqueId val="{00000003-C3D6-4EE9-A3A2-BD2BD30438F1}"/>
                </c:ext>
              </c:extLst>
            </c:dLbl>
            <c:dLbl>
              <c:idx val="2"/>
              <c:layout>
                <c:manualLayout>
                  <c:x val="0.18302934860415176"/>
                  <c:y val="-5.08233334301846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D6-4EE9-A3A2-BD2BD30438F1}"/>
                </c:ext>
              </c:extLst>
            </c:dLbl>
            <c:dLbl>
              <c:idx val="3"/>
              <c:layout>
                <c:manualLayout>
                  <c:x val="0.16826302341346405"/>
                  <c:y val="8.9453033699254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D6-4EE9-A3A2-BD2BD30438F1}"/>
                </c:ext>
              </c:extLst>
            </c:dLbl>
            <c:dLbl>
              <c:idx val="4"/>
              <c:layout>
                <c:manualLayout>
                  <c:x val="9.6001807721054738E-2"/>
                  <c:y val="0.168861045653964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D6-4EE9-A3A2-BD2BD30438F1}"/>
                </c:ext>
              </c:extLst>
            </c:dLbl>
            <c:dLbl>
              <c:idx val="5"/>
              <c:layout>
                <c:manualLayout>
                  <c:x val="-0.29991065686325635"/>
                  <c:y val="9.69139988888249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3D6-4EE9-A3A2-BD2BD30438F1}"/>
                </c:ext>
              </c:extLst>
            </c:dLbl>
            <c:dLbl>
              <c:idx val="6"/>
              <c:layout>
                <c:manualLayout>
                  <c:x val="-0.19265856668578685"/>
                  <c:y val="1.38165028641492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3D6-4EE9-A3A2-BD2BD30438F1}"/>
                </c:ext>
              </c:extLst>
            </c:dLbl>
            <c:dLbl>
              <c:idx val="7"/>
              <c:layout>
                <c:manualLayout>
                  <c:x val="0.33359853455818028"/>
                  <c:y val="8.943576148458828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452521249413361"/>
                      <c:h val="0.19964468009338029"/>
                    </c:manualLayout>
                  </c15:layout>
                </c:ext>
                <c:ext xmlns:c16="http://schemas.microsoft.com/office/drawing/2014/chart" uri="{C3380CC4-5D6E-409C-BE32-E72D297353CC}">
                  <c16:uniqueId val="{0000000F-C3D6-4EE9-A3A2-BD2BD30438F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Expenditure!$A$2:$A$9</c:f>
              <c:strCache>
                <c:ptCount val="8"/>
                <c:pt idx="0">
                  <c:v>Compensation of employees</c:v>
                </c:pt>
                <c:pt idx="1">
                  <c:v>Goods &amp; services</c:v>
                </c:pt>
                <c:pt idx="2">
                  <c:v>Transfers (incl. projects)</c:v>
                </c:pt>
                <c:pt idx="3">
                  <c:v>Capital</c:v>
                </c:pt>
                <c:pt idx="4">
                  <c:v>Social Benefits</c:v>
                </c:pt>
                <c:pt idx="5">
                  <c:v>Subsidies </c:v>
                </c:pt>
                <c:pt idx="6">
                  <c:v>Interest</c:v>
                </c:pt>
                <c:pt idx="7">
                  <c:v>Other expenses</c:v>
                </c:pt>
              </c:strCache>
            </c:strRef>
          </c:cat>
          <c:val>
            <c:numRef>
              <c:f>Expenditure!$G$2:$G$9</c:f>
              <c:numCache>
                <c:formatCode>_-* #,##0.0_-;\-* #,##0.0_-;_-* "-"??_-;_-@_-</c:formatCode>
                <c:ptCount val="8"/>
                <c:pt idx="0">
                  <c:v>252.77385899999999</c:v>
                </c:pt>
                <c:pt idx="1">
                  <c:v>183.13581410911019</c:v>
                </c:pt>
                <c:pt idx="2">
                  <c:v>70.457473872999998</c:v>
                </c:pt>
                <c:pt idx="3">
                  <c:v>83.025641739999998</c:v>
                </c:pt>
                <c:pt idx="4">
                  <c:v>60.191865999999997</c:v>
                </c:pt>
                <c:pt idx="5">
                  <c:v>11.9</c:v>
                </c:pt>
                <c:pt idx="6">
                  <c:v>2.5</c:v>
                </c:pt>
                <c:pt idx="7">
                  <c:v>2.5</c:v>
                </c:pt>
              </c:numCache>
            </c:numRef>
          </c:val>
          <c:extLst>
            <c:ext xmlns:c16="http://schemas.microsoft.com/office/drawing/2014/chart" uri="{C3380CC4-5D6E-409C-BE32-E72D297353CC}">
              <c16:uniqueId val="{00000010-C3D6-4EE9-A3A2-BD2BD30438F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Millions of US$</a:t>
            </a:r>
          </a:p>
        </c:rich>
      </c:tx>
      <c:layout>
        <c:manualLayout>
          <c:xMode val="edge"/>
          <c:yMode val="edge"/>
          <c:x val="7.2952387077005734E-3"/>
          <c:y val="6.1757383154869127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837895231937932E-2"/>
          <c:y val="0.10225376712229736"/>
          <c:w val="0.78422416450886223"/>
          <c:h val="0.80252211404165741"/>
        </c:manualLayout>
      </c:layout>
      <c:barChart>
        <c:barDir val="col"/>
        <c:grouping val="stacked"/>
        <c:varyColors val="0"/>
        <c:ser>
          <c:idx val="0"/>
          <c:order val="0"/>
          <c:tx>
            <c:strRef>
              <c:f>'FGS Sector Spending'!$J$42</c:f>
              <c:strCache>
                <c:ptCount val="1"/>
                <c:pt idx="0">
                  <c:v>Administration (own), +21%</c:v>
                </c:pt>
              </c:strCache>
            </c:strRef>
          </c:tx>
          <c:spPr>
            <a:solidFill>
              <a:schemeClr val="accent5"/>
            </a:solidFill>
            <a:ln>
              <a:noFill/>
            </a:ln>
            <a:effectLst/>
          </c:spPr>
          <c:invertIfNegative val="0"/>
          <c:cat>
            <c:strRef>
              <c:f>'FGS Sector Spending'!$K$41:$N$41</c:f>
              <c:strCache>
                <c:ptCount val="3"/>
                <c:pt idx="0">
                  <c:v>2019</c:v>
                </c:pt>
                <c:pt idx="1">
                  <c:v>2020</c:v>
                </c:pt>
                <c:pt idx="2">
                  <c:v>2021 Budget</c:v>
                </c:pt>
              </c:strCache>
              <c:extLst/>
            </c:strRef>
          </c:cat>
          <c:val>
            <c:numRef>
              <c:f>'FGS Sector Spending'!$K$42:$N$42</c:f>
              <c:numCache>
                <c:formatCode>_(* #,##0_);_(* \(#,##0\);_(* "-"??_);_(@_)</c:formatCode>
                <c:ptCount val="3"/>
                <c:pt idx="0">
                  <c:v>104263213.08985822</c:v>
                </c:pt>
                <c:pt idx="1">
                  <c:v>111007874.85000001</c:v>
                </c:pt>
                <c:pt idx="2">
                  <c:v>133953925.75000012</c:v>
                </c:pt>
              </c:numCache>
              <c:extLst/>
            </c:numRef>
          </c:val>
          <c:extLst>
            <c:ext xmlns:c16="http://schemas.microsoft.com/office/drawing/2014/chart" uri="{C3380CC4-5D6E-409C-BE32-E72D297353CC}">
              <c16:uniqueId val="{00000000-7C27-4C72-8B89-725850E1FC53}"/>
            </c:ext>
          </c:extLst>
        </c:ser>
        <c:ser>
          <c:idx val="1"/>
          <c:order val="1"/>
          <c:tx>
            <c:strRef>
              <c:f>'FGS Sector Spending'!$J$43</c:f>
              <c:strCache>
                <c:ptCount val="1"/>
                <c:pt idx="0">
                  <c:v>Administration (transfers), -35%</c:v>
                </c:pt>
              </c:strCache>
            </c:strRef>
          </c:tx>
          <c:spPr>
            <a:pattFill prst="dkUpDiag">
              <a:fgClr>
                <a:schemeClr val="accent5"/>
              </a:fgClr>
              <a:bgClr>
                <a:schemeClr val="bg1"/>
              </a:bgClr>
            </a:pattFill>
            <a:ln>
              <a:noFill/>
            </a:ln>
            <a:effectLst/>
          </c:spPr>
          <c:invertIfNegative val="0"/>
          <c:cat>
            <c:strRef>
              <c:f>'FGS Sector Spending'!$K$41:$N$41</c:f>
              <c:strCache>
                <c:ptCount val="3"/>
                <c:pt idx="0">
                  <c:v>2019</c:v>
                </c:pt>
                <c:pt idx="1">
                  <c:v>2020</c:v>
                </c:pt>
                <c:pt idx="2">
                  <c:v>2021 Budget</c:v>
                </c:pt>
              </c:strCache>
              <c:extLst/>
            </c:strRef>
          </c:cat>
          <c:val>
            <c:numRef>
              <c:f>'FGS Sector Spending'!$K$43:$N$43</c:f>
              <c:numCache>
                <c:formatCode>_(* #,##0_);_(* \(#,##0\);_(* "-"??_);_(@_)</c:formatCode>
                <c:ptCount val="3"/>
                <c:pt idx="0">
                  <c:v>43358381</c:v>
                </c:pt>
                <c:pt idx="1">
                  <c:v>66241370.979999997</c:v>
                </c:pt>
                <c:pt idx="2">
                  <c:v>43191917.399999999</c:v>
                </c:pt>
              </c:numCache>
              <c:extLst/>
            </c:numRef>
          </c:val>
          <c:extLst xmlns:c15="http://schemas.microsoft.com/office/drawing/2012/chart">
            <c:ext xmlns:c16="http://schemas.microsoft.com/office/drawing/2014/chart" uri="{C3380CC4-5D6E-409C-BE32-E72D297353CC}">
              <c16:uniqueId val="{00000001-7C27-4C72-8B89-725850E1FC53}"/>
            </c:ext>
          </c:extLst>
        </c:ser>
        <c:ser>
          <c:idx val="2"/>
          <c:order val="2"/>
          <c:tx>
            <c:strRef>
              <c:f>'FGS Sector Spending'!$J$44</c:f>
              <c:strCache>
                <c:ptCount val="1"/>
                <c:pt idx="0">
                  <c:v>Admininstration (projects), +165%</c:v>
                </c:pt>
              </c:strCache>
            </c:strRef>
          </c:tx>
          <c:spPr>
            <a:pattFill prst="pct25">
              <a:fgClr>
                <a:schemeClr val="accent5"/>
              </a:fgClr>
              <a:bgClr>
                <a:schemeClr val="bg1"/>
              </a:bgClr>
            </a:pattFill>
            <a:ln>
              <a:noFill/>
            </a:ln>
            <a:effectLst/>
          </c:spPr>
          <c:invertIfNegative val="0"/>
          <c:cat>
            <c:strRef>
              <c:f>'FGS Sector Spending'!$K$41:$N$41</c:f>
              <c:strCache>
                <c:ptCount val="3"/>
                <c:pt idx="0">
                  <c:v>2019</c:v>
                </c:pt>
                <c:pt idx="1">
                  <c:v>2020</c:v>
                </c:pt>
                <c:pt idx="2">
                  <c:v>2021 Budget</c:v>
                </c:pt>
              </c:strCache>
              <c:extLst/>
            </c:strRef>
          </c:cat>
          <c:val>
            <c:numRef>
              <c:f>'FGS Sector Spending'!$K$44:$N$44</c:f>
              <c:numCache>
                <c:formatCode>_(* #,##0_);_(* \(#,##0\);_(* "-"??_);_(@_)</c:formatCode>
                <c:ptCount val="3"/>
                <c:pt idx="0">
                  <c:v>15549867.652199998</c:v>
                </c:pt>
                <c:pt idx="1">
                  <c:v>58183860.900000013</c:v>
                </c:pt>
                <c:pt idx="2">
                  <c:v>154058418.71129206</c:v>
                </c:pt>
              </c:numCache>
              <c:extLst/>
            </c:numRef>
          </c:val>
          <c:extLst>
            <c:ext xmlns:c16="http://schemas.microsoft.com/office/drawing/2014/chart" uri="{C3380CC4-5D6E-409C-BE32-E72D297353CC}">
              <c16:uniqueId val="{00000002-7C27-4C72-8B89-725850E1FC53}"/>
            </c:ext>
          </c:extLst>
        </c:ser>
        <c:ser>
          <c:idx val="3"/>
          <c:order val="3"/>
          <c:tx>
            <c:strRef>
              <c:f>'FGS Sector Spending'!$J$45</c:f>
              <c:strCache>
                <c:ptCount val="1"/>
                <c:pt idx="0">
                  <c:v>Security, +13%</c:v>
                </c:pt>
              </c:strCache>
            </c:strRef>
          </c:tx>
          <c:spPr>
            <a:solidFill>
              <a:schemeClr val="accent2"/>
            </a:solidFill>
            <a:ln>
              <a:noFill/>
            </a:ln>
            <a:effectLst/>
          </c:spPr>
          <c:invertIfNegative val="0"/>
          <c:cat>
            <c:strRef>
              <c:f>'FGS Sector Spending'!$K$41:$N$41</c:f>
              <c:strCache>
                <c:ptCount val="3"/>
                <c:pt idx="0">
                  <c:v>2019</c:v>
                </c:pt>
                <c:pt idx="1">
                  <c:v>2020</c:v>
                </c:pt>
                <c:pt idx="2">
                  <c:v>2021 Budget</c:v>
                </c:pt>
              </c:strCache>
              <c:extLst/>
            </c:strRef>
          </c:cat>
          <c:val>
            <c:numRef>
              <c:f>'FGS Sector Spending'!$K$45:$N$45</c:f>
              <c:numCache>
                <c:formatCode>_(* #,##0_);_(* \(#,##0\);_(* "-"??_);_(@_)</c:formatCode>
                <c:ptCount val="3"/>
                <c:pt idx="0">
                  <c:v>107287414.86</c:v>
                </c:pt>
                <c:pt idx="1">
                  <c:v>145274916.85000002</c:v>
                </c:pt>
                <c:pt idx="2">
                  <c:v>163859558</c:v>
                </c:pt>
              </c:numCache>
              <c:extLst/>
            </c:numRef>
          </c:val>
          <c:extLst>
            <c:ext xmlns:c16="http://schemas.microsoft.com/office/drawing/2014/chart" uri="{C3380CC4-5D6E-409C-BE32-E72D297353CC}">
              <c16:uniqueId val="{00000003-7C27-4C72-8B89-725850E1FC53}"/>
            </c:ext>
          </c:extLst>
        </c:ser>
        <c:ser>
          <c:idx val="4"/>
          <c:order val="4"/>
          <c:tx>
            <c:strRef>
              <c:f>'FGS Sector Spending'!$J$46</c:f>
              <c:strCache>
                <c:ptCount val="1"/>
                <c:pt idx="0">
                  <c:v>Economic, +95%</c:v>
                </c:pt>
              </c:strCache>
            </c:strRef>
          </c:tx>
          <c:spPr>
            <a:solidFill>
              <a:schemeClr val="accent4"/>
            </a:solidFill>
            <a:ln>
              <a:noFill/>
            </a:ln>
            <a:effectLst/>
          </c:spPr>
          <c:invertIfNegative val="0"/>
          <c:cat>
            <c:strRef>
              <c:f>'FGS Sector Spending'!$K$41:$N$41</c:f>
              <c:strCache>
                <c:ptCount val="3"/>
                <c:pt idx="0">
                  <c:v>2019</c:v>
                </c:pt>
                <c:pt idx="1">
                  <c:v>2020</c:v>
                </c:pt>
                <c:pt idx="2">
                  <c:v>2021 Budget</c:v>
                </c:pt>
              </c:strCache>
              <c:extLst/>
            </c:strRef>
          </c:cat>
          <c:val>
            <c:numRef>
              <c:f>'FGS Sector Spending'!$K$46:$N$46</c:f>
              <c:numCache>
                <c:formatCode>_(* #,##0_);_(* \(#,##0\);_(* "-"??_);_(@_)</c:formatCode>
                <c:ptCount val="3"/>
                <c:pt idx="0">
                  <c:v>26007364.536000002</c:v>
                </c:pt>
                <c:pt idx="1">
                  <c:v>32006687.300000004</c:v>
                </c:pt>
                <c:pt idx="2">
                  <c:v>62413512.3003636</c:v>
                </c:pt>
              </c:numCache>
              <c:extLst/>
            </c:numRef>
          </c:val>
          <c:extLst>
            <c:ext xmlns:c16="http://schemas.microsoft.com/office/drawing/2014/chart" uri="{C3380CC4-5D6E-409C-BE32-E72D297353CC}">
              <c16:uniqueId val="{00000004-7C27-4C72-8B89-725850E1FC53}"/>
            </c:ext>
          </c:extLst>
        </c:ser>
        <c:ser>
          <c:idx val="5"/>
          <c:order val="5"/>
          <c:tx>
            <c:strRef>
              <c:f>'FGS Sector Spending'!$J$47</c:f>
              <c:strCache>
                <c:ptCount val="1"/>
                <c:pt idx="0">
                  <c:v>Social, +34%</c:v>
                </c:pt>
              </c:strCache>
            </c:strRef>
          </c:tx>
          <c:spPr>
            <a:solidFill>
              <a:schemeClr val="accent6"/>
            </a:solidFill>
            <a:ln>
              <a:noFill/>
            </a:ln>
            <a:effectLst/>
          </c:spPr>
          <c:invertIfNegative val="0"/>
          <c:cat>
            <c:strRef>
              <c:f>'FGS Sector Spending'!$K$41:$N$41</c:f>
              <c:strCache>
                <c:ptCount val="3"/>
                <c:pt idx="0">
                  <c:v>2019</c:v>
                </c:pt>
                <c:pt idx="1">
                  <c:v>2020</c:v>
                </c:pt>
                <c:pt idx="2">
                  <c:v>2021 Budget</c:v>
                </c:pt>
              </c:strCache>
              <c:extLst/>
            </c:strRef>
          </c:cat>
          <c:val>
            <c:numRef>
              <c:f>'FGS Sector Spending'!$K$47:$N$47</c:f>
              <c:numCache>
                <c:formatCode>_(* #,##0_);_(* \(#,##0\);_(* "-"??_);_(@_)</c:formatCode>
                <c:ptCount val="3"/>
                <c:pt idx="0">
                  <c:v>19251057.699999999</c:v>
                </c:pt>
                <c:pt idx="1">
                  <c:v>81556526.579999968</c:v>
                </c:pt>
                <c:pt idx="2">
                  <c:v>109007322.56045455</c:v>
                </c:pt>
              </c:numCache>
              <c:extLst/>
            </c:numRef>
          </c:val>
          <c:extLst>
            <c:ext xmlns:c16="http://schemas.microsoft.com/office/drawing/2014/chart" uri="{C3380CC4-5D6E-409C-BE32-E72D297353CC}">
              <c16:uniqueId val="{00000005-7C27-4C72-8B89-725850E1FC53}"/>
            </c:ext>
          </c:extLst>
        </c:ser>
        <c:dLbls>
          <c:showLegendKey val="0"/>
          <c:showVal val="0"/>
          <c:showCatName val="0"/>
          <c:showSerName val="0"/>
          <c:showPercent val="0"/>
          <c:showBubbleSize val="0"/>
        </c:dLbls>
        <c:gapWidth val="150"/>
        <c:overlap val="100"/>
        <c:axId val="1541447087"/>
        <c:axId val="1464123983"/>
        <c:extLst/>
      </c:barChart>
      <c:catAx>
        <c:axId val="154144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4123983"/>
        <c:crosses val="autoZero"/>
        <c:auto val="1"/>
        <c:lblAlgn val="ctr"/>
        <c:lblOffset val="100"/>
        <c:noMultiLvlLbl val="0"/>
      </c:catAx>
      <c:valAx>
        <c:axId val="1464123983"/>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41447087"/>
        <c:crosses val="autoZero"/>
        <c:crossBetween val="between"/>
        <c:dispUnits>
          <c:builtInUnit val="millions"/>
        </c:dispUnits>
      </c:valAx>
      <c:spPr>
        <a:noFill/>
        <a:ln>
          <a:noFill/>
        </a:ln>
        <a:effectLst/>
      </c:spPr>
    </c:plotArea>
    <c:legend>
      <c:legendPos val="r"/>
      <c:layout>
        <c:manualLayout>
          <c:xMode val="edge"/>
          <c:yMode val="edge"/>
          <c:x val="0.77959829847115869"/>
          <c:y val="0.16687766214313185"/>
          <c:w val="0.19335862803361445"/>
          <c:h val="0.748336567183600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Real GDP growth</a:t>
            </a:r>
          </a:p>
        </c:rich>
      </c:tx>
      <c:layout>
        <c:manualLayout>
          <c:xMode val="edge"/>
          <c:yMode val="edge"/>
          <c:x val="0.37563842079263715"/>
          <c:y val="1.75203708800399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928976114715104E-2"/>
          <c:y val="9.740153586054337E-2"/>
          <c:w val="0.89392901156172677"/>
          <c:h val="0.71220376605200519"/>
        </c:manualLayout>
      </c:layout>
      <c:lineChart>
        <c:grouping val="standard"/>
        <c:varyColors val="0"/>
        <c:ser>
          <c:idx val="0"/>
          <c:order val="0"/>
          <c:tx>
            <c:strRef>
              <c:f>'SOM-growth charts'!$B$42</c:f>
              <c:strCache>
                <c:ptCount val="1"/>
                <c:pt idx="0">
                  <c:v>Baseline </c:v>
                </c:pt>
              </c:strCache>
            </c:strRef>
          </c:tx>
          <c:spPr>
            <a:ln w="22225" cap="rnd">
              <a:solidFill>
                <a:schemeClr val="accent5"/>
              </a:solidFill>
              <a:prstDash val="solid"/>
              <a:round/>
            </a:ln>
            <a:effectLst/>
          </c:spPr>
          <c:marker>
            <c:symbol val="none"/>
          </c:marker>
          <c:dLbls>
            <c:dLbl>
              <c:idx val="2"/>
              <c:layout>
                <c:manualLayout>
                  <c:x val="-5.7154526007122355E-2"/>
                  <c:y val="2.2380894242488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6-4448-ADE6-3BA3FB196F7A}"/>
                </c:ext>
              </c:extLst>
            </c:dLbl>
            <c:dLbl>
              <c:idx val="3"/>
              <c:layout>
                <c:manualLayout>
                  <c:x val="-2.8107894035577771E-2"/>
                  <c:y val="2.6280556320059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6-4448-ADE6-3BA3FB196F7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'SOM-growth charts'!$C$41:$H$41</c:f>
              <c:strCache>
                <c:ptCount val="6"/>
                <c:pt idx="0">
                  <c:v>2018</c:v>
                </c:pt>
                <c:pt idx="1">
                  <c:v>2019e</c:v>
                </c:pt>
                <c:pt idx="2">
                  <c:v>2020</c:v>
                </c:pt>
                <c:pt idx="3">
                  <c:v>2021f</c:v>
                </c:pt>
                <c:pt idx="4">
                  <c:v>2022f</c:v>
                </c:pt>
                <c:pt idx="5">
                  <c:v>2023f</c:v>
                </c:pt>
              </c:strCache>
            </c:strRef>
          </c:cat>
          <c:val>
            <c:numRef>
              <c:f>'SOM-growth charts'!$C$42:$H$42</c:f>
              <c:numCache>
                <c:formatCode>0.0</c:formatCode>
                <c:ptCount val="6"/>
                <c:pt idx="0" formatCode="General">
                  <c:v>2.8</c:v>
                </c:pt>
                <c:pt idx="1">
                  <c:v>2.9</c:v>
                </c:pt>
                <c:pt idx="2">
                  <c:v>-0.39062000000000002</c:v>
                </c:pt>
                <c:pt idx="3">
                  <c:v>2.3939599999999999</c:v>
                </c:pt>
                <c:pt idx="4">
                  <c:v>2.9044699999999999</c:v>
                </c:pt>
                <c:pt idx="5">
                  <c:v>3.18757</c:v>
                </c:pt>
              </c:numCache>
            </c:numRef>
          </c:val>
          <c:smooth val="0"/>
          <c:extLst>
            <c:ext xmlns:c16="http://schemas.microsoft.com/office/drawing/2014/chart" uri="{C3380CC4-5D6E-409C-BE32-E72D297353CC}">
              <c16:uniqueId val="{00000004-9BF6-4448-ADE6-3BA3FB196F7A}"/>
            </c:ext>
          </c:extLst>
        </c:ser>
        <c:ser>
          <c:idx val="1"/>
          <c:order val="1"/>
          <c:tx>
            <c:strRef>
              <c:f>'SOM-growth charts'!$B$43</c:f>
              <c:strCache>
                <c:ptCount val="1"/>
                <c:pt idx="0">
                  <c:v>upside</c:v>
                </c:pt>
              </c:strCache>
            </c:strRef>
          </c:tx>
          <c:spPr>
            <a:ln w="28575" cap="rnd">
              <a:solidFill>
                <a:schemeClr val="accent6"/>
              </a:solidFill>
              <a:prstDash val="sysDot"/>
              <a:round/>
            </a:ln>
            <a:effectLst/>
          </c:spPr>
          <c:marker>
            <c:symbol val="diamond"/>
            <c:size val="5"/>
            <c:spPr>
              <a:noFill/>
              <a:ln w="9525">
                <a:noFill/>
              </a:ln>
              <a:effectLst/>
            </c:spPr>
          </c:marker>
          <c:dPt>
            <c:idx val="0"/>
            <c:marker>
              <c:symbol val="diamond"/>
              <c:size val="5"/>
              <c:spPr>
                <a:noFill/>
                <a:ln w="9525">
                  <a:noFill/>
                </a:ln>
                <a:effectLst/>
              </c:spPr>
            </c:marker>
            <c:bubble3D val="0"/>
            <c:extLst>
              <c:ext xmlns:c16="http://schemas.microsoft.com/office/drawing/2014/chart" uri="{C3380CC4-5D6E-409C-BE32-E72D297353CC}">
                <c16:uniqueId val="{00000005-9BF6-4448-ADE6-3BA3FB196F7A}"/>
              </c:ext>
            </c:extLst>
          </c:dPt>
          <c:dPt>
            <c:idx val="1"/>
            <c:marker>
              <c:symbol val="diamond"/>
              <c:size val="5"/>
              <c:spPr>
                <a:noFill/>
                <a:ln w="9525">
                  <a:noFill/>
                </a:ln>
                <a:effectLst/>
              </c:spPr>
            </c:marker>
            <c:bubble3D val="0"/>
            <c:spPr>
              <a:ln w="28575" cap="rnd">
                <a:solidFill>
                  <a:schemeClr val="accent6"/>
                </a:solidFill>
                <a:round/>
              </a:ln>
              <a:effectLst/>
            </c:spPr>
            <c:extLst>
              <c:ext xmlns:c16="http://schemas.microsoft.com/office/drawing/2014/chart" uri="{C3380CC4-5D6E-409C-BE32-E72D297353CC}">
                <c16:uniqueId val="{00000007-9BF6-4448-ADE6-3BA3FB196F7A}"/>
              </c:ext>
            </c:extLst>
          </c:dPt>
          <c:dLbls>
            <c:dLbl>
              <c:idx val="3"/>
              <c:layout>
                <c:manualLayout>
                  <c:x val="-6.1909042745359501E-2"/>
                  <c:y val="-2.2917886712178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F6-4448-ADE6-3BA3FB196F7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'SOM-growth charts'!$C$41:$H$41</c:f>
              <c:strCache>
                <c:ptCount val="6"/>
                <c:pt idx="0">
                  <c:v>2018</c:v>
                </c:pt>
                <c:pt idx="1">
                  <c:v>2019e</c:v>
                </c:pt>
                <c:pt idx="2">
                  <c:v>2020</c:v>
                </c:pt>
                <c:pt idx="3">
                  <c:v>2021f</c:v>
                </c:pt>
                <c:pt idx="4">
                  <c:v>2022f</c:v>
                </c:pt>
                <c:pt idx="5">
                  <c:v>2023f</c:v>
                </c:pt>
              </c:strCache>
            </c:strRef>
          </c:cat>
          <c:val>
            <c:numRef>
              <c:f>'SOM-growth charts'!$C$43:$H$43</c:f>
              <c:numCache>
                <c:formatCode>General</c:formatCode>
                <c:ptCount val="6"/>
                <c:pt idx="2" formatCode="0.0">
                  <c:v>-0.39062000000000002</c:v>
                </c:pt>
                <c:pt idx="3" formatCode="0.0">
                  <c:v>2.81046</c:v>
                </c:pt>
                <c:pt idx="4" formatCode="0.0">
                  <c:v>3.1790600000000002</c:v>
                </c:pt>
                <c:pt idx="5" formatCode="0.0">
                  <c:v>3.5460199999999999</c:v>
                </c:pt>
              </c:numCache>
            </c:numRef>
          </c:val>
          <c:smooth val="0"/>
          <c:extLst>
            <c:ext xmlns:c16="http://schemas.microsoft.com/office/drawing/2014/chart" uri="{C3380CC4-5D6E-409C-BE32-E72D297353CC}">
              <c16:uniqueId val="{0000000B-9BF6-4448-ADE6-3BA3FB196F7A}"/>
            </c:ext>
          </c:extLst>
        </c:ser>
        <c:ser>
          <c:idx val="2"/>
          <c:order val="2"/>
          <c:tx>
            <c:strRef>
              <c:f>'SOM-growth charts'!$B$44</c:f>
              <c:strCache>
                <c:ptCount val="1"/>
                <c:pt idx="0">
                  <c:v>downside</c:v>
                </c:pt>
              </c:strCache>
            </c:strRef>
          </c:tx>
          <c:spPr>
            <a:ln w="28575" cap="rnd">
              <a:solidFill>
                <a:srgbClr val="FF0000"/>
              </a:solidFill>
              <a:prstDash val="sysDot"/>
              <a:round/>
            </a:ln>
            <a:effectLst/>
          </c:spPr>
          <c:marker>
            <c:symbol val="none"/>
          </c:marker>
          <c:dLbls>
            <c:dLbl>
              <c:idx val="3"/>
              <c:layout>
                <c:manualLayout>
                  <c:x val="-2.8107894035577771E-2"/>
                  <c:y val="1.3620708802468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F6-4448-ADE6-3BA3FB196F7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'SOM-growth charts'!$C$41:$H$41</c:f>
              <c:strCache>
                <c:ptCount val="6"/>
                <c:pt idx="0">
                  <c:v>2018</c:v>
                </c:pt>
                <c:pt idx="1">
                  <c:v>2019e</c:v>
                </c:pt>
                <c:pt idx="2">
                  <c:v>2020</c:v>
                </c:pt>
                <c:pt idx="3">
                  <c:v>2021f</c:v>
                </c:pt>
                <c:pt idx="4">
                  <c:v>2022f</c:v>
                </c:pt>
                <c:pt idx="5">
                  <c:v>2023f</c:v>
                </c:pt>
              </c:strCache>
            </c:strRef>
          </c:cat>
          <c:val>
            <c:numRef>
              <c:f>'SOM-growth charts'!$C$44:$H$44</c:f>
              <c:numCache>
                <c:formatCode>General</c:formatCode>
                <c:ptCount val="6"/>
                <c:pt idx="2" formatCode="0.0">
                  <c:v>-0.39062000000000002</c:v>
                </c:pt>
                <c:pt idx="3" formatCode="0.0">
                  <c:v>1.0951900000000001</c:v>
                </c:pt>
                <c:pt idx="4" formatCode="0.0">
                  <c:v>1.59287</c:v>
                </c:pt>
                <c:pt idx="5" formatCode="0.0">
                  <c:v>2.2318500000000001</c:v>
                </c:pt>
              </c:numCache>
            </c:numRef>
          </c:val>
          <c:smooth val="0"/>
          <c:extLst>
            <c:ext xmlns:c16="http://schemas.microsoft.com/office/drawing/2014/chart" uri="{C3380CC4-5D6E-409C-BE32-E72D297353CC}">
              <c16:uniqueId val="{0000000F-9BF6-4448-ADE6-3BA3FB196F7A}"/>
            </c:ext>
          </c:extLst>
        </c:ser>
        <c:dLbls>
          <c:showLegendKey val="0"/>
          <c:showVal val="0"/>
          <c:showCatName val="0"/>
          <c:showSerName val="0"/>
          <c:showPercent val="0"/>
          <c:showBubbleSize val="0"/>
        </c:dLbls>
        <c:smooth val="0"/>
        <c:axId val="1617607183"/>
        <c:axId val="1420991423"/>
      </c:lineChart>
      <c:catAx>
        <c:axId val="1617607183"/>
        <c:scaling>
          <c:orientation val="minMax"/>
        </c:scaling>
        <c:delete val="0"/>
        <c:axPos val="b"/>
        <c:numFmt formatCode="General" sourceLinked="1"/>
        <c:majorTickMark val="out"/>
        <c:minorTickMark val="none"/>
        <c:tickLblPos val="low"/>
        <c:spPr>
          <a:noFill/>
          <a:ln w="6350"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91423"/>
        <c:crosses val="autoZero"/>
        <c:auto val="1"/>
        <c:lblAlgn val="ctr"/>
        <c:lblOffset val="100"/>
        <c:noMultiLvlLbl val="0"/>
      </c:catAx>
      <c:valAx>
        <c:axId val="1420991423"/>
        <c:scaling>
          <c:orientation val="minMax"/>
          <c:min val="-1"/>
        </c:scaling>
        <c:delete val="0"/>
        <c:axPos val="l"/>
        <c:numFmt formatCode="#,##0.0" sourceLinked="0"/>
        <c:majorTickMark val="out"/>
        <c:minorTickMark val="none"/>
        <c:tickLblPos val="nextTo"/>
        <c:spPr>
          <a:noFill/>
          <a:ln w="635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607183"/>
        <c:crosses val="autoZero"/>
        <c:crossBetween val="between"/>
        <c:majorUnit val="1"/>
      </c:valAx>
      <c:spPr>
        <a:noFill/>
        <a:ln>
          <a:noFill/>
        </a:ln>
        <a:effectLst/>
      </c:spPr>
    </c:plotArea>
    <c:legend>
      <c:legendPos val="b"/>
      <c:layout>
        <c:manualLayout>
          <c:xMode val="edge"/>
          <c:yMode val="edge"/>
          <c:x val="9.7328144508428222E-2"/>
          <c:y val="0.91038151572875137"/>
          <c:w val="0.81431543917173466"/>
          <c:h val="6.61121179637070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'SSA fertility'!$B$1</c:f>
              <c:strCache>
                <c:ptCount val="1"/>
                <c:pt idx="0">
                  <c:v>Fertility Rate, 2019</c:v>
                </c:pt>
              </c:strCache>
            </c:strRef>
          </c:tx>
          <c:spPr>
            <a:solidFill>
              <a:schemeClr val="accent6"/>
            </a:solidFill>
            <a:ln>
              <a:noFill/>
            </a:ln>
            <a:effectLst/>
          </c:spPr>
          <c:invertIfNegative val="0"/>
          <c:dPt>
            <c:idx val="5"/>
            <c:invertIfNegative val="0"/>
            <c:bubble3D val="0"/>
            <c:spPr>
              <a:solidFill>
                <a:schemeClr val="accent6">
                  <a:lumMod val="50000"/>
                </a:schemeClr>
              </a:solidFill>
              <a:ln>
                <a:noFill/>
              </a:ln>
              <a:effectLst/>
            </c:spPr>
            <c:extLst>
              <c:ext xmlns:c16="http://schemas.microsoft.com/office/drawing/2014/chart" uri="{C3380CC4-5D6E-409C-BE32-E72D297353CC}">
                <c16:uniqueId val="{00000001-D4F6-4F20-BB62-A7A0987204D6}"/>
              </c:ext>
            </c:extLst>
          </c:dPt>
          <c:cat>
            <c:strRef>
              <c:f>'SSA fertility'!$A$2:$A$9</c:f>
              <c:strCache>
                <c:ptCount val="8"/>
                <c:pt idx="0">
                  <c:v>Djibouti</c:v>
                </c:pt>
                <c:pt idx="1">
                  <c:v>Eritrea</c:v>
                </c:pt>
                <c:pt idx="2">
                  <c:v>Ethiopia</c:v>
                </c:pt>
                <c:pt idx="3">
                  <c:v>Kenya</c:v>
                </c:pt>
                <c:pt idx="4">
                  <c:v>Rwanda</c:v>
                </c:pt>
                <c:pt idx="5">
                  <c:v>Somalia</c:v>
                </c:pt>
                <c:pt idx="6">
                  <c:v>Tanzania</c:v>
                </c:pt>
                <c:pt idx="7">
                  <c:v>Uganda</c:v>
                </c:pt>
              </c:strCache>
            </c:strRef>
          </c:cat>
          <c:val>
            <c:numRef>
              <c:f>'SSA fertility'!$B$2:$B$9</c:f>
              <c:numCache>
                <c:formatCode>0.0</c:formatCode>
                <c:ptCount val="8"/>
                <c:pt idx="0">
                  <c:v>2.6760000000000002</c:v>
                </c:pt>
                <c:pt idx="1">
                  <c:v>3.9969999999999999</c:v>
                </c:pt>
                <c:pt idx="2">
                  <c:v>4.1459999999999999</c:v>
                </c:pt>
                <c:pt idx="3">
                  <c:v>3.423</c:v>
                </c:pt>
                <c:pt idx="4">
                  <c:v>3.99</c:v>
                </c:pt>
                <c:pt idx="5">
                  <c:v>6.9</c:v>
                </c:pt>
                <c:pt idx="6">
                  <c:v>4.8319999999999999</c:v>
                </c:pt>
                <c:pt idx="7">
                  <c:v>4.8239999999999998</c:v>
                </c:pt>
              </c:numCache>
            </c:numRef>
          </c:val>
          <c:extLst>
            <c:ext xmlns:c16="http://schemas.microsoft.com/office/drawing/2014/chart" uri="{C3380CC4-5D6E-409C-BE32-E72D297353CC}">
              <c16:uniqueId val="{00000002-D4F6-4F20-BB62-A7A0987204D6}"/>
            </c:ext>
          </c:extLst>
        </c:ser>
        <c:dLbls>
          <c:showLegendKey val="0"/>
          <c:showVal val="0"/>
          <c:showCatName val="0"/>
          <c:showSerName val="0"/>
          <c:showPercent val="0"/>
          <c:showBubbleSize val="0"/>
        </c:dLbls>
        <c:gapWidth val="75"/>
        <c:overlap val="-27"/>
        <c:axId val="2059662400"/>
        <c:axId val="780401808"/>
      </c:barChart>
      <c:lineChart>
        <c:grouping val="standard"/>
        <c:varyColors val="0"/>
        <c:ser>
          <c:idx val="1"/>
          <c:order val="1"/>
          <c:tx>
            <c:strRef>
              <c:f>'SSA fertility'!$C$1</c:f>
              <c:strCache>
                <c:ptCount val="1"/>
                <c:pt idx="0">
                  <c:v>SSA average</c:v>
                </c:pt>
              </c:strCache>
            </c:strRef>
          </c:tx>
          <c:spPr>
            <a:ln w="28575" cap="rnd">
              <a:solidFill>
                <a:schemeClr val="accent2"/>
              </a:solidFill>
              <a:round/>
            </a:ln>
            <a:effectLst/>
          </c:spPr>
          <c:marker>
            <c:symbol val="none"/>
          </c:marker>
          <c:dLbls>
            <c:dLbl>
              <c:idx val="0"/>
              <c:layout>
                <c:manualLayout>
                  <c:x val="6.6352875978479234E-2"/>
                  <c:y val="-0.1060930865317228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0852628905257814"/>
                      <c:h val="9.0041637465473889E-2"/>
                    </c:manualLayout>
                  </c15:layout>
                </c:ext>
                <c:ext xmlns:c16="http://schemas.microsoft.com/office/drawing/2014/chart" uri="{C3380CC4-5D6E-409C-BE32-E72D297353CC}">
                  <c16:uniqueId val="{00000003-D4F6-4F20-BB62-A7A0987204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'SSA fertility'!$A$2:$A$9</c:f>
              <c:strCache>
                <c:ptCount val="8"/>
                <c:pt idx="0">
                  <c:v>Djibouti</c:v>
                </c:pt>
                <c:pt idx="1">
                  <c:v>Eritrea</c:v>
                </c:pt>
                <c:pt idx="2">
                  <c:v>Ethiopia</c:v>
                </c:pt>
                <c:pt idx="3">
                  <c:v>Kenya</c:v>
                </c:pt>
                <c:pt idx="4">
                  <c:v>Rwanda</c:v>
                </c:pt>
                <c:pt idx="5">
                  <c:v>Somalia</c:v>
                </c:pt>
                <c:pt idx="6">
                  <c:v>Tanzania</c:v>
                </c:pt>
                <c:pt idx="7">
                  <c:v>Uganda</c:v>
                </c:pt>
              </c:strCache>
            </c:strRef>
          </c:cat>
          <c:val>
            <c:numRef>
              <c:f>'SSA fertility'!$C$2:$C$9</c:f>
              <c:numCache>
                <c:formatCode>0.0</c:formatCode>
                <c:ptCount val="8"/>
                <c:pt idx="0">
                  <c:v>4.623103470514164</c:v>
                </c:pt>
                <c:pt idx="1">
                  <c:v>4.623103470514164</c:v>
                </c:pt>
                <c:pt idx="2">
                  <c:v>4.623103470514164</c:v>
                </c:pt>
                <c:pt idx="3">
                  <c:v>4.623103470514164</c:v>
                </c:pt>
                <c:pt idx="4">
                  <c:v>4.623103470514164</c:v>
                </c:pt>
                <c:pt idx="5">
                  <c:v>4.623103470514164</c:v>
                </c:pt>
                <c:pt idx="6">
                  <c:v>4.623103470514164</c:v>
                </c:pt>
                <c:pt idx="7">
                  <c:v>4.623103470514164</c:v>
                </c:pt>
              </c:numCache>
            </c:numRef>
          </c:val>
          <c:smooth val="0"/>
          <c:extLst>
            <c:ext xmlns:c16="http://schemas.microsoft.com/office/drawing/2014/chart" uri="{C3380CC4-5D6E-409C-BE32-E72D297353CC}">
              <c16:uniqueId val="{00000004-D4F6-4F20-BB62-A7A0987204D6}"/>
            </c:ext>
          </c:extLst>
        </c:ser>
        <c:dLbls>
          <c:showLegendKey val="0"/>
          <c:showVal val="0"/>
          <c:showCatName val="0"/>
          <c:showSerName val="0"/>
          <c:showPercent val="0"/>
          <c:showBubbleSize val="0"/>
        </c:dLbls>
        <c:marker val="1"/>
        <c:smooth val="0"/>
        <c:axId val="2059662400"/>
        <c:axId val="780401808"/>
      </c:lineChart>
      <c:catAx>
        <c:axId val="20596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1808"/>
        <c:crosses val="autoZero"/>
        <c:auto val="1"/>
        <c:lblAlgn val="ctr"/>
        <c:lblOffset val="100"/>
        <c:noMultiLvlLbl val="0"/>
      </c:catAx>
      <c:valAx>
        <c:axId val="78040180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Total fertility (births per woman)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662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4203892830229"/>
          <c:y val="3.9090999700986735E-2"/>
          <c:w val="0.70243039422052445"/>
          <c:h val="0.82657847285775121"/>
        </c:manualLayout>
      </c:layout>
      <c:lineChart>
        <c:grouping val="standard"/>
        <c:varyColors val="0"/>
        <c:ser>
          <c:idx val="0"/>
          <c:order val="0"/>
          <c:tx>
            <c:strRef>
              <c:f>Crops!$A$9</c:f>
              <c:strCache>
                <c:ptCount val="1"/>
                <c:pt idx="0">
                  <c:v>Cowpeas</c:v>
                </c:pt>
              </c:strCache>
            </c:strRef>
          </c:tx>
          <c:spPr>
            <a:ln w="28575" cap="rnd">
              <a:solidFill>
                <a:schemeClr val="accent1"/>
              </a:solidFill>
              <a:round/>
            </a:ln>
            <a:effectLst/>
          </c:spPr>
          <c:marker>
            <c:symbol val="none"/>
          </c:marker>
          <c:cat>
            <c:strRef>
              <c:f>Crops!$B$8:$I$8</c:f>
              <c:strCache>
                <c:ptCount val="8"/>
                <c:pt idx="0">
                  <c:v>2011-13 avg</c:v>
                </c:pt>
                <c:pt idx="1">
                  <c:v>2014</c:v>
                </c:pt>
                <c:pt idx="2">
                  <c:v>2015</c:v>
                </c:pt>
                <c:pt idx="3">
                  <c:v>2016</c:v>
                </c:pt>
                <c:pt idx="4">
                  <c:v>2017</c:v>
                </c:pt>
                <c:pt idx="5">
                  <c:v>2018</c:v>
                </c:pt>
                <c:pt idx="6">
                  <c:v>2019</c:v>
                </c:pt>
                <c:pt idx="7">
                  <c:v>2020</c:v>
                </c:pt>
              </c:strCache>
            </c:strRef>
          </c:cat>
          <c:val>
            <c:numRef>
              <c:f>Crops!$B$9:$I$9</c:f>
              <c:numCache>
                <c:formatCode>#,##0</c:formatCode>
                <c:ptCount val="8"/>
                <c:pt idx="0">
                  <c:v>100</c:v>
                </c:pt>
                <c:pt idx="1">
                  <c:v>120.33099067346299</c:v>
                </c:pt>
                <c:pt idx="2">
                  <c:v>115.95389531675096</c:v>
                </c:pt>
                <c:pt idx="3">
                  <c:v>43.364419442323637</c:v>
                </c:pt>
                <c:pt idx="4">
                  <c:v>94.119697637833042</c:v>
                </c:pt>
                <c:pt idx="5">
                  <c:v>138.3319929784227</c:v>
                </c:pt>
                <c:pt idx="6">
                  <c:v>74.564423279381359</c:v>
                </c:pt>
                <c:pt idx="7">
                  <c:v>58.351078431859229</c:v>
                </c:pt>
              </c:numCache>
            </c:numRef>
          </c:val>
          <c:smooth val="0"/>
          <c:extLst>
            <c:ext xmlns:c16="http://schemas.microsoft.com/office/drawing/2014/chart" uri="{C3380CC4-5D6E-409C-BE32-E72D297353CC}">
              <c16:uniqueId val="{00000000-0A57-4001-8DA9-6373E82D32BF}"/>
            </c:ext>
          </c:extLst>
        </c:ser>
        <c:ser>
          <c:idx val="2"/>
          <c:order val="1"/>
          <c:tx>
            <c:strRef>
              <c:f>Crops!$A$11</c:f>
              <c:strCache>
                <c:ptCount val="1"/>
                <c:pt idx="0">
                  <c:v>Sesame</c:v>
                </c:pt>
              </c:strCache>
            </c:strRef>
          </c:tx>
          <c:spPr>
            <a:ln w="28575" cap="rnd">
              <a:solidFill>
                <a:schemeClr val="accent3"/>
              </a:solidFill>
              <a:round/>
            </a:ln>
            <a:effectLst/>
          </c:spPr>
          <c:marker>
            <c:symbol val="circle"/>
            <c:size val="5"/>
            <c:spPr>
              <a:solidFill>
                <a:schemeClr val="tx1"/>
              </a:solidFill>
              <a:ln w="9525">
                <a:solidFill>
                  <a:schemeClr val="accent3"/>
                </a:solidFill>
              </a:ln>
              <a:effectLst/>
            </c:spPr>
          </c:marker>
          <c:cat>
            <c:strRef>
              <c:f>Crops!$B$8:$I$8</c:f>
              <c:strCache>
                <c:ptCount val="8"/>
                <c:pt idx="0">
                  <c:v>2011-13 avg</c:v>
                </c:pt>
                <c:pt idx="1">
                  <c:v>2014</c:v>
                </c:pt>
                <c:pt idx="2">
                  <c:v>2015</c:v>
                </c:pt>
                <c:pt idx="3">
                  <c:v>2016</c:v>
                </c:pt>
                <c:pt idx="4">
                  <c:v>2017</c:v>
                </c:pt>
                <c:pt idx="5">
                  <c:v>2018</c:v>
                </c:pt>
                <c:pt idx="6">
                  <c:v>2019</c:v>
                </c:pt>
                <c:pt idx="7">
                  <c:v>2020</c:v>
                </c:pt>
              </c:strCache>
            </c:strRef>
          </c:cat>
          <c:val>
            <c:numRef>
              <c:f>Crops!$B$11:$I$11</c:f>
              <c:numCache>
                <c:formatCode>#,##0</c:formatCode>
                <c:ptCount val="8"/>
                <c:pt idx="0">
                  <c:v>100.00000000000001</c:v>
                </c:pt>
                <c:pt idx="1">
                  <c:v>141.05163267050568</c:v>
                </c:pt>
                <c:pt idx="2">
                  <c:v>113.52470126989746</c:v>
                </c:pt>
                <c:pt idx="3">
                  <c:v>36.480201828654785</c:v>
                </c:pt>
                <c:pt idx="4">
                  <c:v>50.232300861412959</c:v>
                </c:pt>
                <c:pt idx="5">
                  <c:v>122.03473003149956</c:v>
                </c:pt>
                <c:pt idx="6">
                  <c:v>68.445407885087846</c:v>
                </c:pt>
                <c:pt idx="7">
                  <c:v>91.645963225312229</c:v>
                </c:pt>
              </c:numCache>
            </c:numRef>
          </c:val>
          <c:smooth val="0"/>
          <c:extLst>
            <c:ext xmlns:c16="http://schemas.microsoft.com/office/drawing/2014/chart" uri="{C3380CC4-5D6E-409C-BE32-E72D297353CC}">
              <c16:uniqueId val="{00000001-0A57-4001-8DA9-6373E82D32BF}"/>
            </c:ext>
          </c:extLst>
        </c:ser>
        <c:ser>
          <c:idx val="1"/>
          <c:order val="2"/>
          <c:tx>
            <c:strRef>
              <c:f>Crops!$A$10</c:f>
              <c:strCache>
                <c:ptCount val="1"/>
                <c:pt idx="0">
                  <c:v>Maize</c:v>
                </c:pt>
              </c:strCache>
            </c:strRef>
          </c:tx>
          <c:spPr>
            <a:ln w="28575" cap="rnd">
              <a:solidFill>
                <a:schemeClr val="accent2"/>
              </a:solidFill>
              <a:round/>
            </a:ln>
            <a:effectLst/>
          </c:spPr>
          <c:marker>
            <c:symbol val="diamond"/>
            <c:size val="5"/>
            <c:spPr>
              <a:solidFill>
                <a:schemeClr val="bg1"/>
              </a:solidFill>
              <a:ln w="9525">
                <a:solidFill>
                  <a:schemeClr val="tx1"/>
                </a:solidFill>
              </a:ln>
              <a:effectLst/>
            </c:spPr>
          </c:marker>
          <c:cat>
            <c:strRef>
              <c:f>Crops!$B$8:$I$8</c:f>
              <c:strCache>
                <c:ptCount val="8"/>
                <c:pt idx="0">
                  <c:v>2011-13 avg</c:v>
                </c:pt>
                <c:pt idx="1">
                  <c:v>2014</c:v>
                </c:pt>
                <c:pt idx="2">
                  <c:v>2015</c:v>
                </c:pt>
                <c:pt idx="3">
                  <c:v>2016</c:v>
                </c:pt>
                <c:pt idx="4">
                  <c:v>2017</c:v>
                </c:pt>
                <c:pt idx="5">
                  <c:v>2018</c:v>
                </c:pt>
                <c:pt idx="6">
                  <c:v>2019</c:v>
                </c:pt>
                <c:pt idx="7">
                  <c:v>2020</c:v>
                </c:pt>
              </c:strCache>
            </c:strRef>
          </c:cat>
          <c:val>
            <c:numRef>
              <c:f>Crops!$B$10:$I$10</c:f>
              <c:numCache>
                <c:formatCode>#,##0</c:formatCode>
                <c:ptCount val="8"/>
                <c:pt idx="0">
                  <c:v>100</c:v>
                </c:pt>
                <c:pt idx="1">
                  <c:v>101.31115369501303</c:v>
                </c:pt>
                <c:pt idx="2">
                  <c:v>90.424718588160871</c:v>
                </c:pt>
                <c:pt idx="3">
                  <c:v>53.634261070394913</c:v>
                </c:pt>
                <c:pt idx="4">
                  <c:v>65.815419450485933</c:v>
                </c:pt>
                <c:pt idx="5">
                  <c:v>89.093313757253441</c:v>
                </c:pt>
                <c:pt idx="6">
                  <c:v>48.377793438016369</c:v>
                </c:pt>
                <c:pt idx="7">
                  <c:v>63.503931889027264</c:v>
                </c:pt>
              </c:numCache>
            </c:numRef>
          </c:val>
          <c:smooth val="0"/>
          <c:extLst>
            <c:ext xmlns:c16="http://schemas.microsoft.com/office/drawing/2014/chart" uri="{C3380CC4-5D6E-409C-BE32-E72D297353CC}">
              <c16:uniqueId val="{00000002-0A57-4001-8DA9-6373E82D32BF}"/>
            </c:ext>
          </c:extLst>
        </c:ser>
        <c:ser>
          <c:idx val="3"/>
          <c:order val="3"/>
          <c:tx>
            <c:strRef>
              <c:f>Crops!$A$12</c:f>
              <c:strCache>
                <c:ptCount val="1"/>
                <c:pt idx="0">
                  <c:v>Sorghum</c:v>
                </c:pt>
              </c:strCache>
            </c:strRef>
          </c:tx>
          <c:spPr>
            <a:ln w="28575" cap="rnd">
              <a:solidFill>
                <a:schemeClr val="accent4"/>
              </a:solidFill>
              <a:round/>
            </a:ln>
            <a:effectLst/>
          </c:spPr>
          <c:marker>
            <c:symbol val="none"/>
          </c:marker>
          <c:cat>
            <c:strRef>
              <c:f>Crops!$B$8:$I$8</c:f>
              <c:strCache>
                <c:ptCount val="8"/>
                <c:pt idx="0">
                  <c:v>2011-13 avg</c:v>
                </c:pt>
                <c:pt idx="1">
                  <c:v>2014</c:v>
                </c:pt>
                <c:pt idx="2">
                  <c:v>2015</c:v>
                </c:pt>
                <c:pt idx="3">
                  <c:v>2016</c:v>
                </c:pt>
                <c:pt idx="4">
                  <c:v>2017</c:v>
                </c:pt>
                <c:pt idx="5">
                  <c:v>2018</c:v>
                </c:pt>
                <c:pt idx="6">
                  <c:v>2019</c:v>
                </c:pt>
                <c:pt idx="7">
                  <c:v>2020</c:v>
                </c:pt>
              </c:strCache>
            </c:strRef>
          </c:cat>
          <c:val>
            <c:numRef>
              <c:f>Crops!$B$12:$I$12</c:f>
              <c:numCache>
                <c:formatCode>#,##0</c:formatCode>
                <c:ptCount val="8"/>
                <c:pt idx="0">
                  <c:v>100</c:v>
                </c:pt>
                <c:pt idx="1">
                  <c:v>78.253823879498526</c:v>
                </c:pt>
                <c:pt idx="2">
                  <c:v>74.104637836990577</c:v>
                </c:pt>
                <c:pt idx="3">
                  <c:v>40.250292805860362</c:v>
                </c:pt>
                <c:pt idx="4">
                  <c:v>50.255451516603117</c:v>
                </c:pt>
                <c:pt idx="5">
                  <c:v>71.221110362999795</c:v>
                </c:pt>
                <c:pt idx="6">
                  <c:v>66.960400066176277</c:v>
                </c:pt>
                <c:pt idx="7">
                  <c:v>49.262617534505146</c:v>
                </c:pt>
              </c:numCache>
            </c:numRef>
          </c:val>
          <c:smooth val="0"/>
          <c:extLst>
            <c:ext xmlns:c16="http://schemas.microsoft.com/office/drawing/2014/chart" uri="{C3380CC4-5D6E-409C-BE32-E72D297353CC}">
              <c16:uniqueId val="{00000003-0A57-4001-8DA9-6373E82D32BF}"/>
            </c:ext>
          </c:extLst>
        </c:ser>
        <c:dLbls>
          <c:showLegendKey val="0"/>
          <c:showVal val="0"/>
          <c:showCatName val="0"/>
          <c:showSerName val="0"/>
          <c:showPercent val="0"/>
          <c:showBubbleSize val="0"/>
        </c:dLbls>
        <c:smooth val="0"/>
        <c:axId val="1338875743"/>
        <c:axId val="1482487167"/>
      </c:lineChart>
      <c:catAx>
        <c:axId val="1338875743"/>
        <c:scaling>
          <c:orientation val="minMax"/>
        </c:scaling>
        <c:delete val="0"/>
        <c:axPos val="b"/>
        <c:numFmt formatCode="General" sourceLinked="1"/>
        <c:majorTickMark val="none"/>
        <c:minorTickMark val="none"/>
        <c:tickLblPos val="nextTo"/>
        <c:spPr>
          <a:noFill/>
          <a:ln w="6350"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487167"/>
        <c:crosses val="autoZero"/>
        <c:auto val="1"/>
        <c:lblAlgn val="ctr"/>
        <c:lblOffset val="100"/>
        <c:noMultiLvlLbl val="0"/>
      </c:catAx>
      <c:valAx>
        <c:axId val="1482487167"/>
        <c:scaling>
          <c:orientation val="minMax"/>
          <c:max val="17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output volume (100 = 2011-13)</a:t>
                </a:r>
              </a:p>
            </c:rich>
          </c:tx>
          <c:layout>
            <c:manualLayout>
              <c:xMode val="edge"/>
              <c:yMode val="edge"/>
              <c:x val="1.3880720355500115E-2"/>
              <c:y val="0.227719021771918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875743"/>
        <c:crosses val="autoZero"/>
        <c:crossBetween val="between"/>
        <c:majorUnit val="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55591082610734"/>
          <c:y val="0"/>
          <c:w val="0.66305660611321227"/>
          <c:h val="0.78041776677025165"/>
        </c:manualLayout>
      </c:layout>
      <c:barChart>
        <c:barDir val="bar"/>
        <c:grouping val="clustered"/>
        <c:varyColors val="0"/>
        <c:ser>
          <c:idx val="0"/>
          <c:order val="0"/>
          <c:spPr>
            <a:solidFill>
              <a:schemeClr val="accent6">
                <a:lumMod val="60000"/>
                <a:lumOff val="40000"/>
              </a:schemeClr>
            </a:solidFill>
            <a:ln>
              <a:noFill/>
            </a:ln>
            <a:effectLst/>
          </c:spPr>
          <c:invertIfNegative val="0"/>
          <c:cat>
            <c:strRef>
              <c:f>'ANC-Postnatal'!$A$27:$A$29</c:f>
              <c:strCache>
                <c:ptCount val="3"/>
                <c:pt idx="0">
                  <c:v>Skilled attendance at birth delivery</c:v>
                </c:pt>
                <c:pt idx="1">
                  <c:v>Four antenatal care visits during pregnancy</c:v>
                </c:pt>
                <c:pt idx="2">
                  <c:v>Postnatal care within 2 days of delivery</c:v>
                </c:pt>
              </c:strCache>
            </c:strRef>
          </c:cat>
          <c:val>
            <c:numRef>
              <c:f>'ANC-Postnatal'!$B$27:$B$29</c:f>
              <c:numCache>
                <c:formatCode>General</c:formatCode>
                <c:ptCount val="3"/>
                <c:pt idx="0">
                  <c:v>32</c:v>
                </c:pt>
                <c:pt idx="1">
                  <c:v>8</c:v>
                </c:pt>
                <c:pt idx="2">
                  <c:v>11</c:v>
                </c:pt>
              </c:numCache>
            </c:numRef>
          </c:val>
          <c:extLst>
            <c:ext xmlns:c16="http://schemas.microsoft.com/office/drawing/2014/chart" uri="{C3380CC4-5D6E-409C-BE32-E72D297353CC}">
              <c16:uniqueId val="{00000000-A83D-426F-8526-88CAD8F53EE8}"/>
            </c:ext>
          </c:extLst>
        </c:ser>
        <c:dLbls>
          <c:showLegendKey val="0"/>
          <c:showVal val="0"/>
          <c:showCatName val="0"/>
          <c:showSerName val="0"/>
          <c:showPercent val="0"/>
          <c:showBubbleSize val="0"/>
        </c:dLbls>
        <c:gapWidth val="182"/>
        <c:axId val="1980094527"/>
        <c:axId val="1954647087"/>
      </c:barChart>
      <c:catAx>
        <c:axId val="1980094527"/>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4647087"/>
        <c:crosses val="autoZero"/>
        <c:auto val="1"/>
        <c:lblAlgn val="ctr"/>
        <c:lblOffset val="100"/>
        <c:noMultiLvlLbl val="0"/>
      </c:catAx>
      <c:valAx>
        <c:axId val="1954647087"/>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women</a:t>
                </a:r>
              </a:p>
            </c:rich>
          </c:tx>
          <c:layout>
            <c:manualLayout>
              <c:xMode val="edge"/>
              <c:yMode val="edge"/>
              <c:x val="0.54690185380370759"/>
              <c:y val="0.888419355592420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094527"/>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'ANC-Postnatal'!$H$42</c:f>
              <c:strCache>
                <c:ptCount val="1"/>
                <c:pt idx="0">
                  <c:v>Antenatal care (at least 4 times)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'ANC-Postnatal'!$G$43:$G$46</c:f>
              <c:strCache>
                <c:ptCount val="4"/>
                <c:pt idx="0">
                  <c:v>Urban</c:v>
                </c:pt>
                <c:pt idx="1">
                  <c:v>Rural</c:v>
                </c:pt>
                <c:pt idx="2">
                  <c:v>Nomadic</c:v>
                </c:pt>
                <c:pt idx="3">
                  <c:v>Somalia</c:v>
                </c:pt>
              </c:strCache>
            </c:strRef>
          </c:cat>
          <c:val>
            <c:numRef>
              <c:f>'ANC-Postnatal'!$H$43:$H$46</c:f>
              <c:numCache>
                <c:formatCode>0%</c:formatCode>
                <c:ptCount val="4"/>
                <c:pt idx="0">
                  <c:v>0.13207899999999997</c:v>
                </c:pt>
                <c:pt idx="1">
                  <c:v>8.8994999999999991E-2</c:v>
                </c:pt>
                <c:pt idx="2">
                  <c:v>7.3470000000000011E-3</c:v>
                </c:pt>
                <c:pt idx="3">
                  <c:v>7.5883999999999993E-2</c:v>
                </c:pt>
              </c:numCache>
            </c:numRef>
          </c:val>
          <c:extLst>
            <c:ext xmlns:c16="http://schemas.microsoft.com/office/drawing/2014/chart" uri="{C3380CC4-5D6E-409C-BE32-E72D297353CC}">
              <c16:uniqueId val="{00000000-51B9-48AF-9E69-DC99C833EE87}"/>
            </c:ext>
          </c:extLst>
        </c:ser>
        <c:ser>
          <c:idx val="1"/>
          <c:order val="1"/>
          <c:tx>
            <c:strRef>
              <c:f>'ANC-Postnatal'!$I$42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'ANC-Postnatal'!$G$43:$G$46</c:f>
              <c:strCache>
                <c:ptCount val="4"/>
                <c:pt idx="0">
                  <c:v>Urban</c:v>
                </c:pt>
                <c:pt idx="1">
                  <c:v>Rural</c:v>
                </c:pt>
                <c:pt idx="2">
                  <c:v>Nomadic</c:v>
                </c:pt>
                <c:pt idx="3">
                  <c:v>Somalia</c:v>
                </c:pt>
              </c:strCache>
            </c:strRef>
          </c:cat>
          <c:val>
            <c:numRef>
              <c:f>'ANC-Postnatal'!$I$43:$I$46</c:f>
              <c:numCache>
                <c:formatCode>General</c:formatCode>
                <c:ptCount val="4"/>
              </c:numCache>
            </c:numRef>
          </c:val>
          <c:extLst>
            <c:ext xmlns:c16="http://schemas.microsoft.com/office/drawing/2014/chart" uri="{C3380CC4-5D6E-409C-BE32-E72D297353CC}">
              <c16:uniqueId val="{00000001-51B9-48AF-9E69-DC99C833EE87}"/>
            </c:ext>
          </c:extLst>
        </c:ser>
        <c:dLbls>
          <c:showLegendKey val="0"/>
          <c:showVal val="1"/>
          <c:showCatName val="0"/>
          <c:showSerName val="0"/>
          <c:showPercent val="0"/>
          <c:showBubbleSize val="0"/>
        </c:dLbls>
        <c:gapWidth val="0"/>
        <c:axId val="28111408"/>
        <c:axId val="2142419839"/>
      </c:barChart>
      <c:barChart>
        <c:barDir val="col"/>
        <c:grouping val="clustered"/>
        <c:varyColors val="0"/>
        <c:ser>
          <c:idx val="2"/>
          <c:order val="2"/>
          <c:tx>
            <c:strRef>
              <c:f>'ANC-Postnatal'!$J$42</c:f>
              <c:strCache>
                <c:ptCount val="1"/>
                <c:pt idx="0">
                  <c:v>Childhood vaccination coverage</c:v>
                </c:pt>
              </c:strCache>
            </c:strRef>
          </c:tx>
          <c:spPr>
            <a:solidFill>
              <a:srgbClr val="70AD47">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'ANC-Postnatal'!$G$43:$G$46</c:f>
              <c:strCache>
                <c:ptCount val="4"/>
                <c:pt idx="0">
                  <c:v>Urban</c:v>
                </c:pt>
                <c:pt idx="1">
                  <c:v>Rural</c:v>
                </c:pt>
                <c:pt idx="2">
                  <c:v>Nomadic</c:v>
                </c:pt>
                <c:pt idx="3">
                  <c:v>Somalia</c:v>
                </c:pt>
              </c:strCache>
            </c:strRef>
          </c:cat>
          <c:val>
            <c:numRef>
              <c:f>'ANC-Postnatal'!$J$43:$J$46</c:f>
              <c:numCache>
                <c:formatCode>0%</c:formatCode>
                <c:ptCount val="4"/>
                <c:pt idx="0">
                  <c:v>0.19</c:v>
                </c:pt>
                <c:pt idx="1">
                  <c:v>0.14000000000000001</c:v>
                </c:pt>
                <c:pt idx="2">
                  <c:v>0.06</c:v>
                </c:pt>
                <c:pt idx="3">
                  <c:v>0.107</c:v>
                </c:pt>
              </c:numCache>
            </c:numRef>
          </c:val>
          <c:extLst>
            <c:ext xmlns:c16="http://schemas.microsoft.com/office/drawing/2014/chart" uri="{C3380CC4-5D6E-409C-BE32-E72D297353CC}">
              <c16:uniqueId val="{00000002-51B9-48AF-9E69-DC99C833EE87}"/>
            </c:ext>
          </c:extLst>
        </c:ser>
        <c:dLbls>
          <c:showLegendKey val="0"/>
          <c:showVal val="1"/>
          <c:showCatName val="0"/>
          <c:showSerName val="0"/>
          <c:showPercent val="0"/>
          <c:showBubbleSize val="0"/>
        </c:dLbls>
        <c:gapWidth val="253"/>
        <c:axId val="44723696"/>
        <c:axId val="44989040"/>
      </c:barChart>
      <c:catAx>
        <c:axId val="28111408"/>
        <c:scaling>
          <c:orientation val="minMax"/>
        </c:scaling>
        <c:delete val="0"/>
        <c:axPos val="b"/>
        <c:numFmt formatCode="General" sourceLinked="1"/>
        <c:majorTickMark val="none"/>
        <c:minorTickMark val="none"/>
        <c:tickLblPos val="nextTo"/>
        <c:spPr>
          <a:noFill/>
          <a:ln w="635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419839"/>
        <c:crosses val="autoZero"/>
        <c:auto val="1"/>
        <c:lblAlgn val="ctr"/>
        <c:lblOffset val="100"/>
        <c:noMultiLvlLbl val="0"/>
      </c:catAx>
      <c:valAx>
        <c:axId val="2142419839"/>
        <c:scaling>
          <c:orientation val="minMax"/>
          <c:max val="0.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pregnant women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11408"/>
        <c:crosses val="autoZero"/>
        <c:crossBetween val="between"/>
        <c:majorUnit val="5.000000000000001E-2"/>
      </c:valAx>
      <c:valAx>
        <c:axId val="44989040"/>
        <c:scaling>
          <c:orientation val="minMax"/>
          <c:max val="0.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childrenaged 1-2 years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6350">
            <a:solidFill>
              <a:sysClr val="windowText" lastClr="000000">
                <a:lumMod val="15000"/>
                <a:lumOff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23696"/>
        <c:crosses val="max"/>
        <c:crossBetween val="between"/>
        <c:majorUnit val="5.000000000000001E-2"/>
      </c:valAx>
      <c:catAx>
        <c:axId val="44723696"/>
        <c:scaling>
          <c:orientation val="minMax"/>
        </c:scaling>
        <c:delete val="1"/>
        <c:axPos val="b"/>
        <c:numFmt formatCode="General" sourceLinked="1"/>
        <c:majorTickMark val="out"/>
        <c:minorTickMark val="none"/>
        <c:tickLblPos val="nextTo"/>
        <c:crossAx val="44989040"/>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6960091527021"/>
          <c:y val="4.6063651591289785E-2"/>
          <c:w val="0.79720438791304937"/>
          <c:h val="0.76518682652105674"/>
        </c:manualLayout>
      </c:layout>
      <c:barChart>
        <c:barDir val="col"/>
        <c:grouping val="clustered"/>
        <c:varyColors val="0"/>
        <c:ser>
          <c:idx val="0"/>
          <c:order val="0"/>
          <c:tx>
            <c:strRef>
              <c:f>Sheet3!$B$1</c:f>
              <c:strCache>
                <c:ptCount val="1"/>
                <c:pt idx="0">
                  <c:v>Antenatal care (at least 4 times)</c:v>
                </c:pt>
              </c:strCache>
            </c:strRef>
          </c:tx>
          <c:spPr>
            <a:solidFill>
              <a:srgbClr val="70AD47">
                <a:lumMod val="50000"/>
              </a:srgbClr>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Sheet3!$B$2:$B$8</c:f>
              <c:numCache>
                <c:formatCode>General</c:formatCode>
                <c:ptCount val="7"/>
                <c:pt idx="0">
                  <c:v>8.3000000000000007</c:v>
                </c:pt>
                <c:pt idx="1">
                  <c:v>4</c:v>
                </c:pt>
                <c:pt idx="2">
                  <c:v>4</c:v>
                </c:pt>
                <c:pt idx="3">
                  <c:v>6</c:v>
                </c:pt>
                <c:pt idx="4">
                  <c:v>2.2999999999999998</c:v>
                </c:pt>
                <c:pt idx="5">
                  <c:v>20</c:v>
                </c:pt>
                <c:pt idx="6">
                  <c:v>8</c:v>
                </c:pt>
              </c:numCache>
            </c:numRef>
          </c:val>
          <c:extLst>
            <c:ext xmlns:c16="http://schemas.microsoft.com/office/drawing/2014/chart" uri="{C3380CC4-5D6E-409C-BE32-E72D297353CC}">
              <c16:uniqueId val="{00000000-E9C1-4D94-8195-3716A3D6E601}"/>
            </c:ext>
          </c:extLst>
        </c:ser>
        <c:ser>
          <c:idx val="1"/>
          <c:order val="1"/>
          <c:tx>
            <c:strRef>
              <c:f>Sheet3!$C$1</c:f>
              <c:strCache>
                <c:ptCount val="1"/>
                <c:pt idx="0">
                  <c:v>Institutional delivery</c:v>
                </c:pt>
              </c:strCache>
            </c:strRef>
          </c:tx>
          <c:spPr>
            <a:solidFill>
              <a:srgbClr val="70AD47"/>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Sheet3!$C$2:$C$8</c:f>
              <c:numCache>
                <c:formatCode>General</c:formatCode>
                <c:ptCount val="7"/>
                <c:pt idx="0">
                  <c:v>42</c:v>
                </c:pt>
                <c:pt idx="1">
                  <c:v>27</c:v>
                </c:pt>
                <c:pt idx="2">
                  <c:v>29</c:v>
                </c:pt>
                <c:pt idx="3">
                  <c:v>33</c:v>
                </c:pt>
                <c:pt idx="4">
                  <c:v>26</c:v>
                </c:pt>
                <c:pt idx="5">
                  <c:v>40</c:v>
                </c:pt>
                <c:pt idx="6">
                  <c:v>21</c:v>
                </c:pt>
              </c:numCache>
            </c:numRef>
          </c:val>
          <c:extLst>
            <c:ext xmlns:c16="http://schemas.microsoft.com/office/drawing/2014/chart" uri="{C3380CC4-5D6E-409C-BE32-E72D297353CC}">
              <c16:uniqueId val="{00000001-E9C1-4D94-8195-3716A3D6E601}"/>
            </c:ext>
          </c:extLst>
        </c:ser>
        <c:dLbls>
          <c:showLegendKey val="0"/>
          <c:showVal val="0"/>
          <c:showCatName val="0"/>
          <c:showSerName val="0"/>
          <c:showPercent val="0"/>
          <c:showBubbleSize val="0"/>
        </c:dLbls>
        <c:gapWidth val="280"/>
        <c:axId val="1102390080"/>
        <c:axId val="1086422832"/>
      </c:barChart>
      <c:barChart>
        <c:barDir val="col"/>
        <c:grouping val="clustered"/>
        <c:varyColors val="0"/>
        <c:ser>
          <c:idx val="2"/>
          <c:order val="2"/>
          <c:tx>
            <c:strRef>
              <c:f>Sheet3!$D$1</c:f>
              <c:strCache>
                <c:ptCount val="1"/>
                <c:pt idx="0">
                  <c:v>Leftax</c:v>
                </c:pt>
              </c:strCache>
            </c:strRef>
          </c:tx>
          <c:spPr>
            <a:solidFill>
              <a:schemeClr val="accent3"/>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Sheet3!$D$2:$D$8</c:f>
              <c:numCache>
                <c:formatCode>General</c:formatCode>
                <c:ptCount val="7"/>
              </c:numCache>
            </c:numRef>
          </c:val>
          <c:extLst>
            <c:ext xmlns:c16="http://schemas.microsoft.com/office/drawing/2014/chart" uri="{C3380CC4-5D6E-409C-BE32-E72D297353CC}">
              <c16:uniqueId val="{00000002-E9C1-4D94-8195-3716A3D6E601}"/>
            </c:ext>
          </c:extLst>
        </c:ser>
        <c:ser>
          <c:idx val="3"/>
          <c:order val="3"/>
          <c:tx>
            <c:strRef>
              <c:f>Sheet3!$E$1</c:f>
              <c:strCache>
                <c:ptCount val="1"/>
                <c:pt idx="0">
                  <c:v>Rightax1</c:v>
                </c:pt>
              </c:strCache>
            </c:strRef>
          </c:tx>
          <c:spPr>
            <a:solidFill>
              <a:schemeClr val="accent4"/>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Sheet3!$E$2:$E$8</c:f>
              <c:numCache>
                <c:formatCode>General</c:formatCode>
                <c:ptCount val="7"/>
              </c:numCache>
            </c:numRef>
          </c:val>
          <c:extLst>
            <c:ext xmlns:c16="http://schemas.microsoft.com/office/drawing/2014/chart" uri="{C3380CC4-5D6E-409C-BE32-E72D297353CC}">
              <c16:uniqueId val="{00000003-E9C1-4D94-8195-3716A3D6E601}"/>
            </c:ext>
          </c:extLst>
        </c:ser>
        <c:ser>
          <c:idx val="5"/>
          <c:order val="4"/>
          <c:tx>
            <c:strRef>
              <c:f>Sheet3!$F$1</c:f>
              <c:strCache>
                <c:ptCount val="1"/>
                <c:pt idx="0">
                  <c:v>Rightax2</c:v>
                </c:pt>
              </c:strCache>
            </c:strRef>
          </c:tx>
          <c:spPr>
            <a:solidFill>
              <a:srgbClr val="FFC000"/>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Sheet3!$F$2:$F$8</c:f>
              <c:numCache>
                <c:formatCode>General</c:formatCode>
                <c:ptCount val="7"/>
              </c:numCache>
            </c:numRef>
          </c:val>
          <c:extLst>
            <c:ext xmlns:c16="http://schemas.microsoft.com/office/drawing/2014/chart" uri="{C3380CC4-5D6E-409C-BE32-E72D297353CC}">
              <c16:uniqueId val="{00000004-E9C1-4D94-8195-3716A3D6E601}"/>
            </c:ext>
          </c:extLst>
        </c:ser>
        <c:ser>
          <c:idx val="4"/>
          <c:order val="5"/>
          <c:tx>
            <c:strRef>
              <c:f>Sheet3!$G$1</c:f>
              <c:strCache>
                <c:ptCount val="1"/>
                <c:pt idx="0">
                  <c:v>Total Fertility Rate (TFR)</c:v>
                </c:pt>
              </c:strCache>
            </c:strRef>
          </c:tx>
          <c:spPr>
            <a:solidFill>
              <a:srgbClr val="70AD47">
                <a:lumMod val="40000"/>
                <a:lumOff val="60000"/>
              </a:srgbClr>
            </a:solidFill>
            <a:ln>
              <a:noFill/>
            </a:ln>
            <a:effectLst/>
          </c:spPr>
          <c:invertIfNegative val="0"/>
          <c:cat>
            <c:strRef>
              <c:f>Sheet3!$A$2:$A$8</c:f>
              <c:strCache>
                <c:ptCount val="7"/>
                <c:pt idx="0">
                  <c:v>Galmudug </c:v>
                </c:pt>
                <c:pt idx="1">
                  <c:v>Hirshabelle</c:v>
                </c:pt>
                <c:pt idx="2">
                  <c:v>Jubaland</c:v>
                </c:pt>
                <c:pt idx="3">
                  <c:v>Puntland </c:v>
                </c:pt>
                <c:pt idx="4">
                  <c:v>Southwest</c:v>
                </c:pt>
                <c:pt idx="5">
                  <c:v>Somaliland</c:v>
                </c:pt>
                <c:pt idx="6">
                  <c:v>Somalia</c:v>
                </c:pt>
              </c:strCache>
            </c:strRef>
          </c:cat>
          <c:val>
            <c:numRef>
              <c:f>Sheet3!$G$2:$G$8</c:f>
              <c:numCache>
                <c:formatCode>General</c:formatCode>
                <c:ptCount val="7"/>
                <c:pt idx="0">
                  <c:v>7.3</c:v>
                </c:pt>
                <c:pt idx="1">
                  <c:v>8.1</c:v>
                </c:pt>
                <c:pt idx="2">
                  <c:v>7.4</c:v>
                </c:pt>
                <c:pt idx="3">
                  <c:v>6.8</c:v>
                </c:pt>
                <c:pt idx="4">
                  <c:v>7.8</c:v>
                </c:pt>
                <c:pt idx="5">
                  <c:v>5.7</c:v>
                </c:pt>
                <c:pt idx="6">
                  <c:v>6.9</c:v>
                </c:pt>
              </c:numCache>
            </c:numRef>
          </c:val>
          <c:extLst>
            <c:ext xmlns:c16="http://schemas.microsoft.com/office/drawing/2014/chart" uri="{C3380CC4-5D6E-409C-BE32-E72D297353CC}">
              <c16:uniqueId val="{00000005-E9C1-4D94-8195-3716A3D6E601}"/>
            </c:ext>
          </c:extLst>
        </c:ser>
        <c:dLbls>
          <c:showLegendKey val="0"/>
          <c:showVal val="0"/>
          <c:showCatName val="0"/>
          <c:showSerName val="0"/>
          <c:showPercent val="0"/>
          <c:showBubbleSize val="0"/>
        </c:dLbls>
        <c:gapWidth val="219"/>
        <c:overlap val="-29"/>
        <c:axId val="1118742384"/>
        <c:axId val="1118771888"/>
      </c:barChart>
      <c:catAx>
        <c:axId val="1102390080"/>
        <c:scaling>
          <c:orientation val="minMax"/>
        </c:scaling>
        <c:delete val="0"/>
        <c:axPos val="b"/>
        <c:numFmt formatCode="General" sourceLinked="1"/>
        <c:majorTickMark val="none"/>
        <c:minorTickMark val="none"/>
        <c:tickLblPos val="nextTo"/>
        <c:spPr>
          <a:noFill/>
          <a:ln w="6350" cap="flat" cmpd="sng" algn="ctr">
            <a:solidFill>
              <a:srgbClr val="A5A5A5"/>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422832"/>
        <c:crosses val="autoZero"/>
        <c:auto val="1"/>
        <c:lblAlgn val="ctr"/>
        <c:lblOffset val="100"/>
        <c:noMultiLvlLbl val="0"/>
      </c:catAx>
      <c:valAx>
        <c:axId val="108642283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pregnant women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390080"/>
        <c:crosses val="autoZero"/>
        <c:crossBetween val="between"/>
        <c:majorUnit val="20"/>
      </c:valAx>
      <c:valAx>
        <c:axId val="1118771888"/>
        <c:scaling>
          <c:orientation val="minMax"/>
          <c:max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children per woman</a:t>
                </a:r>
                <a:endParaRPr lang="en-US"/>
              </a:p>
            </c:rich>
          </c:tx>
          <c:layout>
            <c:manualLayout>
              <c:xMode val="edge"/>
              <c:yMode val="edge"/>
              <c:x val="0.94186957399555826"/>
              <c:y val="0.133430934198551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742384"/>
        <c:crosses val="max"/>
        <c:crossBetween val="between"/>
        <c:majorUnit val="2"/>
      </c:valAx>
      <c:catAx>
        <c:axId val="1118742384"/>
        <c:scaling>
          <c:orientation val="minMax"/>
        </c:scaling>
        <c:delete val="1"/>
        <c:axPos val="b"/>
        <c:numFmt formatCode="General" sourceLinked="1"/>
        <c:majorTickMark val="none"/>
        <c:minorTickMark val="none"/>
        <c:tickLblPos val="nextTo"/>
        <c:crossAx val="1118771888"/>
        <c:crosses val="autoZero"/>
        <c:auto val="1"/>
        <c:lblAlgn val="ctr"/>
        <c:lblOffset val="100"/>
        <c:noMultiLvlLbl val="0"/>
      </c:catAx>
      <c:spPr>
        <a:noFill/>
        <a:ln>
          <a:noFill/>
        </a:ln>
        <a:effectLst/>
      </c:spPr>
    </c:plotArea>
    <c:legend>
      <c:legendPos val="b"/>
      <c:legendEntry>
        <c:idx val="2"/>
        <c:delete val="1"/>
      </c:legendEntry>
      <c:legendEntry>
        <c:idx val="3"/>
        <c:delete val="1"/>
      </c:legendEntry>
      <c:legendEntry>
        <c:idx val="4"/>
        <c:delete val="1"/>
      </c:legendEntry>
      <c:layout>
        <c:manualLayout>
          <c:xMode val="edge"/>
          <c:yMode val="edge"/>
          <c:x val="0.10886365165892727"/>
          <c:y val="0.90839565280470591"/>
          <c:w val="0.79509320950265827"/>
          <c:h val="7.06663237447077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5456066551398"/>
          <c:y val="4.6457607433217189E-2"/>
          <c:w val="0.87207140875615674"/>
          <c:h val="0.66857325761109143"/>
        </c:manualLayout>
      </c:layout>
      <c:barChart>
        <c:barDir val="col"/>
        <c:grouping val="clustered"/>
        <c:varyColors val="0"/>
        <c:ser>
          <c:idx val="0"/>
          <c:order val="0"/>
          <c:tx>
            <c:strRef>
              <c:f>'Seeking treatment'!$J$1</c:f>
              <c:strCache>
                <c:ptCount val="1"/>
                <c:pt idx="0">
                  <c:v>Lowest wealth quintile</c:v>
                </c:pt>
              </c:strCache>
            </c:strRef>
          </c:tx>
          <c:spPr>
            <a:solidFill>
              <a:srgbClr val="92D050"/>
            </a:solidFill>
            <a:ln>
              <a:noFill/>
            </a:ln>
            <a:effectLst/>
          </c:spPr>
          <c:invertIfNegative val="0"/>
          <c:cat>
            <c:strRef>
              <c:f>'Seeking treatment'!$I$2:$I$4</c:f>
              <c:strCache>
                <c:ptCount val="3"/>
                <c:pt idx="0">
                  <c:v>Sick and sought medical treatment</c:v>
                </c:pt>
                <c:pt idx="1">
                  <c:v>Sought treatment at public facility</c:v>
                </c:pt>
                <c:pt idx="2">
                  <c:v>Sought treatment at private facility</c:v>
                </c:pt>
              </c:strCache>
            </c:strRef>
          </c:cat>
          <c:val>
            <c:numRef>
              <c:f>'Seeking treatment'!$J$2:$J$4</c:f>
              <c:numCache>
                <c:formatCode>0</c:formatCode>
                <c:ptCount val="3"/>
                <c:pt idx="0">
                  <c:v>44.8</c:v>
                </c:pt>
                <c:pt idx="1">
                  <c:v>31.5</c:v>
                </c:pt>
                <c:pt idx="2">
                  <c:v>19.100000000000001</c:v>
                </c:pt>
              </c:numCache>
            </c:numRef>
          </c:val>
          <c:extLst>
            <c:ext xmlns:c16="http://schemas.microsoft.com/office/drawing/2014/chart" uri="{C3380CC4-5D6E-409C-BE32-E72D297353CC}">
              <c16:uniqueId val="{00000000-2E33-412D-ACBC-4176C9EBD576}"/>
            </c:ext>
          </c:extLst>
        </c:ser>
        <c:ser>
          <c:idx val="1"/>
          <c:order val="1"/>
          <c:tx>
            <c:strRef>
              <c:f>'Seeking treatment'!$K$1</c:f>
              <c:strCache>
                <c:ptCount val="1"/>
                <c:pt idx="0">
                  <c:v>Highest wealth quintile</c:v>
                </c:pt>
              </c:strCache>
            </c:strRef>
          </c:tx>
          <c:spPr>
            <a:solidFill>
              <a:srgbClr val="70AD47">
                <a:lumMod val="50000"/>
              </a:srgbClr>
            </a:solidFill>
            <a:ln>
              <a:noFill/>
            </a:ln>
            <a:effectLst/>
          </c:spPr>
          <c:invertIfNegative val="0"/>
          <c:cat>
            <c:strRef>
              <c:f>'Seeking treatment'!$I$2:$I$4</c:f>
              <c:strCache>
                <c:ptCount val="3"/>
                <c:pt idx="0">
                  <c:v>Sick and sought medical treatment</c:v>
                </c:pt>
                <c:pt idx="1">
                  <c:v>Sought treatment at public facility</c:v>
                </c:pt>
                <c:pt idx="2">
                  <c:v>Sought treatment at private facility</c:v>
                </c:pt>
              </c:strCache>
            </c:strRef>
          </c:cat>
          <c:val>
            <c:numRef>
              <c:f>'Seeking treatment'!$K$2:$K$4</c:f>
              <c:numCache>
                <c:formatCode>0</c:formatCode>
                <c:ptCount val="3"/>
                <c:pt idx="0">
                  <c:v>84.1</c:v>
                </c:pt>
                <c:pt idx="1">
                  <c:v>25.9</c:v>
                </c:pt>
                <c:pt idx="2">
                  <c:v>68.8</c:v>
                </c:pt>
              </c:numCache>
            </c:numRef>
          </c:val>
          <c:extLst>
            <c:ext xmlns:c16="http://schemas.microsoft.com/office/drawing/2014/chart" uri="{C3380CC4-5D6E-409C-BE32-E72D297353CC}">
              <c16:uniqueId val="{00000001-2E33-412D-ACBC-4176C9EBD576}"/>
            </c:ext>
          </c:extLst>
        </c:ser>
        <c:dLbls>
          <c:showLegendKey val="0"/>
          <c:showVal val="0"/>
          <c:showCatName val="0"/>
          <c:showSerName val="0"/>
          <c:showPercent val="0"/>
          <c:showBubbleSize val="0"/>
        </c:dLbls>
        <c:gapWidth val="219"/>
        <c:axId val="1970133375"/>
        <c:axId val="1969499503"/>
      </c:barChart>
      <c:catAx>
        <c:axId val="197013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69499503"/>
        <c:crosses val="autoZero"/>
        <c:auto val="1"/>
        <c:lblAlgn val="ctr"/>
        <c:lblOffset val="100"/>
        <c:noMultiLvlLbl val="0"/>
      </c:catAx>
      <c:valAx>
        <c:axId val="1969499503"/>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household members</a:t>
                </a:r>
              </a:p>
            </c:rich>
          </c:tx>
          <c:layout>
            <c:manualLayout>
              <c:xMode val="edge"/>
              <c:yMode val="edge"/>
              <c:x val="1.5510746731664082E-2"/>
              <c:y val="4.181184668989547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133375"/>
        <c:crosses val="autoZero"/>
        <c:crossBetween val="between"/>
        <c:majorUnit val="20"/>
      </c:valAx>
      <c:spPr>
        <a:noFill/>
        <a:ln>
          <a:noFill/>
        </a:ln>
        <a:effectLst/>
      </c:spPr>
    </c:plotArea>
    <c:legend>
      <c:legendPos val="b"/>
      <c:layout>
        <c:manualLayout>
          <c:xMode val="edge"/>
          <c:yMode val="edge"/>
          <c:x val="0.2232327955460254"/>
          <c:y val="0.88811654640730886"/>
          <c:w val="0.61779304232218035"/>
          <c:h val="8.400888913276084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Spending!$A$2</c:f>
              <c:strCache>
                <c:ptCount val="1"/>
                <c:pt idx="0">
                  <c:v>Share of total FGS spending (left axis)</c:v>
                </c:pt>
              </c:strCache>
            </c:strRef>
          </c:tx>
          <c:spPr>
            <a:ln w="28575" cap="rnd">
              <a:solidFill>
                <a:srgbClr val="92D050"/>
              </a:solidFill>
              <a:round/>
            </a:ln>
            <a:effectLst/>
          </c:spPr>
          <c:marker>
            <c:symbol val="diamond"/>
            <c:size val="7"/>
            <c:spPr>
              <a:solidFill>
                <a:schemeClr val="bg1"/>
              </a:solidFill>
              <a:ln w="9525">
                <a:solidFill>
                  <a:srgbClr val="92D050"/>
                </a:solidFill>
              </a:ln>
              <a:effectLst/>
            </c:spPr>
          </c:marker>
          <c:cat>
            <c:numRef>
              <c:f>Spending!$B$1:$G$1</c:f>
              <c:numCache>
                <c:formatCode>General</c:formatCode>
                <c:ptCount val="6"/>
                <c:pt idx="0">
                  <c:v>2015</c:v>
                </c:pt>
                <c:pt idx="1">
                  <c:v>2016</c:v>
                </c:pt>
                <c:pt idx="2">
                  <c:v>2017</c:v>
                </c:pt>
                <c:pt idx="3">
                  <c:v>2018</c:v>
                </c:pt>
                <c:pt idx="4">
                  <c:v>2019</c:v>
                </c:pt>
                <c:pt idx="5">
                  <c:v>2020</c:v>
                </c:pt>
              </c:numCache>
            </c:numRef>
          </c:cat>
          <c:val>
            <c:numRef>
              <c:f>Spending!$B$2:$G$2</c:f>
              <c:numCache>
                <c:formatCode>0.00%</c:formatCode>
                <c:ptCount val="6"/>
                <c:pt idx="0">
                  <c:v>3.3798315692261569E-3</c:v>
                </c:pt>
                <c:pt idx="1">
                  <c:v>3.5186186045271153E-3</c:v>
                </c:pt>
                <c:pt idx="2">
                  <c:v>4.8774734830476507E-3</c:v>
                </c:pt>
                <c:pt idx="3">
                  <c:v>4.0835714865896352E-3</c:v>
                </c:pt>
                <c:pt idx="4">
                  <c:v>8.4035749842387847E-3</c:v>
                </c:pt>
                <c:pt idx="5">
                  <c:v>1.2603822618289229E-2</c:v>
                </c:pt>
              </c:numCache>
            </c:numRef>
          </c:val>
          <c:smooth val="0"/>
          <c:extLst>
            <c:ext xmlns:c16="http://schemas.microsoft.com/office/drawing/2014/chart" uri="{C3380CC4-5D6E-409C-BE32-E72D297353CC}">
              <c16:uniqueId val="{00000000-C3F9-43CA-AF49-251EC5AC7B85}"/>
            </c:ext>
          </c:extLst>
        </c:ser>
        <c:dLbls>
          <c:showLegendKey val="0"/>
          <c:showVal val="0"/>
          <c:showCatName val="0"/>
          <c:showSerName val="0"/>
          <c:showPercent val="0"/>
          <c:showBubbleSize val="0"/>
        </c:dLbls>
        <c:marker val="1"/>
        <c:smooth val="0"/>
        <c:axId val="663933839"/>
        <c:axId val="651096527"/>
      </c:lineChart>
      <c:lineChart>
        <c:grouping val="standard"/>
        <c:varyColors val="0"/>
        <c:ser>
          <c:idx val="1"/>
          <c:order val="1"/>
          <c:tx>
            <c:strRef>
              <c:f>Spending!$A$3</c:f>
              <c:strCache>
                <c:ptCount val="1"/>
                <c:pt idx="0">
                  <c:v>Share of GDP (right axis)</c:v>
                </c:pt>
              </c:strCache>
            </c:strRef>
          </c:tx>
          <c:spPr>
            <a:ln w="28575" cap="rnd">
              <a:solidFill>
                <a:srgbClr val="70AD47">
                  <a:lumMod val="50000"/>
                </a:srgbClr>
              </a:solidFill>
              <a:round/>
            </a:ln>
            <a:effectLst/>
          </c:spPr>
          <c:marker>
            <c:symbol val="none"/>
          </c:marker>
          <c:cat>
            <c:numRef>
              <c:f>Spending!$B$1:$G$1</c:f>
              <c:numCache>
                <c:formatCode>General</c:formatCode>
                <c:ptCount val="6"/>
                <c:pt idx="0">
                  <c:v>2015</c:v>
                </c:pt>
                <c:pt idx="1">
                  <c:v>2016</c:v>
                </c:pt>
                <c:pt idx="2">
                  <c:v>2017</c:v>
                </c:pt>
                <c:pt idx="3">
                  <c:v>2018</c:v>
                </c:pt>
                <c:pt idx="4">
                  <c:v>2019</c:v>
                </c:pt>
                <c:pt idx="5">
                  <c:v>2020</c:v>
                </c:pt>
              </c:numCache>
            </c:numRef>
          </c:cat>
          <c:val>
            <c:numRef>
              <c:f>Spending!$B$3:$G$3</c:f>
              <c:numCache>
                <c:formatCode>0.000%</c:formatCode>
                <c:ptCount val="6"/>
                <c:pt idx="0">
                  <c:v>1.1307081535761331E-4</c:v>
                </c:pt>
                <c:pt idx="1">
                  <c:v>1.4336074610231517E-4</c:v>
                </c:pt>
                <c:pt idx="2">
                  <c:v>2.6356282112024147E-4</c:v>
                </c:pt>
                <c:pt idx="3">
                  <c:v>2.4745623527066234E-4</c:v>
                </c:pt>
                <c:pt idx="4">
                  <c:v>5.3392773074124932E-4</c:v>
                </c:pt>
                <c:pt idx="5">
                  <c:v>1.2680377580181017E-3</c:v>
                </c:pt>
              </c:numCache>
            </c:numRef>
          </c:val>
          <c:smooth val="0"/>
          <c:extLst>
            <c:ext xmlns:c16="http://schemas.microsoft.com/office/drawing/2014/chart" uri="{C3380CC4-5D6E-409C-BE32-E72D297353CC}">
              <c16:uniqueId val="{00000001-C3F9-43CA-AF49-251EC5AC7B85}"/>
            </c:ext>
          </c:extLst>
        </c:ser>
        <c:dLbls>
          <c:showLegendKey val="0"/>
          <c:showVal val="0"/>
          <c:showCatName val="0"/>
          <c:showSerName val="0"/>
          <c:showPercent val="0"/>
          <c:showBubbleSize val="0"/>
        </c:dLbls>
        <c:marker val="1"/>
        <c:smooth val="0"/>
        <c:axId val="1074661487"/>
        <c:axId val="651079055"/>
      </c:lineChart>
      <c:catAx>
        <c:axId val="66393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51096527"/>
        <c:crosses val="autoZero"/>
        <c:auto val="1"/>
        <c:lblAlgn val="ctr"/>
        <c:lblOffset val="100"/>
        <c:noMultiLvlLbl val="0"/>
      </c:catAx>
      <c:valAx>
        <c:axId val="651096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share of FGS spending</a:t>
                </a:r>
              </a:p>
            </c:rich>
          </c:tx>
          <c:layout>
            <c:manualLayout>
              <c:xMode val="edge"/>
              <c:yMode val="edge"/>
              <c:x val="2.1367521367521368E-2"/>
              <c:y val="0.264180154564012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3933839"/>
        <c:crosses val="autoZero"/>
        <c:crossBetween val="between"/>
      </c:valAx>
      <c:valAx>
        <c:axId val="651079055"/>
        <c:scaling>
          <c:orientation val="minMax"/>
          <c:max val="1.5000000000000005E-3"/>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share of GDP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4661487"/>
        <c:crosses val="max"/>
        <c:crossBetween val="between"/>
      </c:valAx>
      <c:catAx>
        <c:axId val="1074661487"/>
        <c:scaling>
          <c:orientation val="minMax"/>
        </c:scaling>
        <c:delete val="1"/>
        <c:axPos val="b"/>
        <c:numFmt formatCode="General" sourceLinked="1"/>
        <c:majorTickMark val="out"/>
        <c:minorTickMark val="none"/>
        <c:tickLblPos val="nextTo"/>
        <c:crossAx val="651079055"/>
        <c:crosses val="autoZero"/>
        <c:auto val="1"/>
        <c:lblAlgn val="ctr"/>
        <c:lblOffset val="100"/>
        <c:noMultiLvlLbl val="0"/>
      </c:catAx>
      <c:spPr>
        <a:noFill/>
        <a:ln>
          <a:noFill/>
        </a:ln>
        <a:effectLst/>
      </c:spPr>
    </c:plotArea>
    <c:legend>
      <c:legendPos val="t"/>
      <c:layout>
        <c:manualLayout>
          <c:xMode val="edge"/>
          <c:yMode val="edge"/>
          <c:x val="0.11511615699200391"/>
          <c:y val="5.4329371816638369E-2"/>
          <c:w val="0.46899224806201556"/>
          <c:h val="0.21505821959012339"/>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551390573385E-2"/>
          <c:y val="0.13541325546227251"/>
          <c:w val="0.90030368763557489"/>
          <c:h val="0.68565113198279326"/>
        </c:manualLayout>
      </c:layout>
      <c:barChart>
        <c:barDir val="col"/>
        <c:grouping val="stacked"/>
        <c:varyColors val="0"/>
        <c:ser>
          <c:idx val="0"/>
          <c:order val="0"/>
          <c:tx>
            <c:strRef>
              <c:f>'Health spending'!$C$24</c:f>
              <c:strCache>
                <c:ptCount val="1"/>
                <c:pt idx="0">
                  <c:v>Government </c:v>
                </c:pt>
              </c:strCache>
            </c:strRef>
          </c:tx>
          <c:spPr>
            <a:solidFill>
              <a:srgbClr val="70AD47">
                <a:lumMod val="50000"/>
              </a:srgbClr>
            </a:solidFill>
            <a:ln>
              <a:noFill/>
            </a:ln>
            <a:effectLst/>
          </c:spPr>
          <c:invertIfNegative val="0"/>
          <c:cat>
            <c:strRef>
              <c:f>'Health spending'!$B$25:$B$29</c:f>
              <c:strCache>
                <c:ptCount val="5"/>
                <c:pt idx="0">
                  <c:v>Somalia</c:v>
                </c:pt>
                <c:pt idx="1">
                  <c:v>South Sudan</c:v>
                </c:pt>
                <c:pt idx="2">
                  <c:v>Eritrea</c:v>
                </c:pt>
                <c:pt idx="3">
                  <c:v>Ethiopia</c:v>
                </c:pt>
                <c:pt idx="4">
                  <c:v>Kenya</c:v>
                </c:pt>
              </c:strCache>
            </c:strRef>
          </c:cat>
          <c:val>
            <c:numRef>
              <c:f>'Health spending'!$C$25:$C$29</c:f>
              <c:numCache>
                <c:formatCode>0%</c:formatCode>
                <c:ptCount val="5"/>
                <c:pt idx="0">
                  <c:v>0.16666666666666666</c:v>
                </c:pt>
                <c:pt idx="1">
                  <c:v>0.10344827586206896</c:v>
                </c:pt>
                <c:pt idx="2">
                  <c:v>0.18518518518518517</c:v>
                </c:pt>
                <c:pt idx="3">
                  <c:v>0.19354838709677419</c:v>
                </c:pt>
                <c:pt idx="4">
                  <c:v>0.40816326530612246</c:v>
                </c:pt>
              </c:numCache>
            </c:numRef>
          </c:val>
          <c:extLst>
            <c:ext xmlns:c16="http://schemas.microsoft.com/office/drawing/2014/chart" uri="{C3380CC4-5D6E-409C-BE32-E72D297353CC}">
              <c16:uniqueId val="{00000000-1954-43AA-97D9-CCB6CC0395E8}"/>
            </c:ext>
          </c:extLst>
        </c:ser>
        <c:ser>
          <c:idx val="1"/>
          <c:order val="1"/>
          <c:tx>
            <c:strRef>
              <c:f>'Health spending'!$D$24</c:f>
              <c:strCache>
                <c:ptCount val="1"/>
                <c:pt idx="0">
                  <c:v>DAH</c:v>
                </c:pt>
              </c:strCache>
            </c:strRef>
          </c:tx>
          <c:spPr>
            <a:solidFill>
              <a:srgbClr val="92D050"/>
            </a:solidFill>
            <a:ln>
              <a:noFill/>
            </a:ln>
            <a:effectLst/>
          </c:spPr>
          <c:invertIfNegative val="0"/>
          <c:cat>
            <c:strRef>
              <c:f>'Health spending'!$B$25:$B$29</c:f>
              <c:strCache>
                <c:ptCount val="5"/>
                <c:pt idx="0">
                  <c:v>Somalia</c:v>
                </c:pt>
                <c:pt idx="1">
                  <c:v>South Sudan</c:v>
                </c:pt>
                <c:pt idx="2">
                  <c:v>Eritrea</c:v>
                </c:pt>
                <c:pt idx="3">
                  <c:v>Ethiopia</c:v>
                </c:pt>
                <c:pt idx="4">
                  <c:v>Kenya</c:v>
                </c:pt>
              </c:strCache>
            </c:strRef>
          </c:cat>
          <c:val>
            <c:numRef>
              <c:f>'Health spending'!$D$25:$D$29</c:f>
              <c:numCache>
                <c:formatCode>0%</c:formatCode>
                <c:ptCount val="5"/>
                <c:pt idx="0">
                  <c:v>0.5</c:v>
                </c:pt>
                <c:pt idx="1">
                  <c:v>0.65517241379310343</c:v>
                </c:pt>
                <c:pt idx="2">
                  <c:v>0.22222222222222221</c:v>
                </c:pt>
                <c:pt idx="3">
                  <c:v>0.25806451612903225</c:v>
                </c:pt>
                <c:pt idx="4">
                  <c:v>0.18367346938775511</c:v>
                </c:pt>
              </c:numCache>
            </c:numRef>
          </c:val>
          <c:extLst>
            <c:ext xmlns:c16="http://schemas.microsoft.com/office/drawing/2014/chart" uri="{C3380CC4-5D6E-409C-BE32-E72D297353CC}">
              <c16:uniqueId val="{00000001-1954-43AA-97D9-CCB6CC0395E8}"/>
            </c:ext>
          </c:extLst>
        </c:ser>
        <c:ser>
          <c:idx val="2"/>
          <c:order val="2"/>
          <c:tx>
            <c:strRef>
              <c:f>'Health spending'!$E$24</c:f>
              <c:strCache>
                <c:ptCount val="1"/>
                <c:pt idx="0">
                  <c:v>Out-of-pocket</c:v>
                </c:pt>
              </c:strCache>
            </c:strRef>
          </c:tx>
          <c:spPr>
            <a:solidFill>
              <a:srgbClr val="70AD47">
                <a:lumMod val="20000"/>
                <a:lumOff val="80000"/>
              </a:srgbClr>
            </a:solidFill>
            <a:ln>
              <a:noFill/>
            </a:ln>
            <a:effectLst/>
          </c:spPr>
          <c:invertIfNegative val="0"/>
          <c:cat>
            <c:strRef>
              <c:f>'Health spending'!$B$25:$B$29</c:f>
              <c:strCache>
                <c:ptCount val="5"/>
                <c:pt idx="0">
                  <c:v>Somalia</c:v>
                </c:pt>
                <c:pt idx="1">
                  <c:v>South Sudan</c:v>
                </c:pt>
                <c:pt idx="2">
                  <c:v>Eritrea</c:v>
                </c:pt>
                <c:pt idx="3">
                  <c:v>Ethiopia</c:v>
                </c:pt>
                <c:pt idx="4">
                  <c:v>Kenya</c:v>
                </c:pt>
              </c:strCache>
            </c:strRef>
          </c:cat>
          <c:val>
            <c:numRef>
              <c:f>'Health spending'!$E$25:$E$29</c:f>
              <c:numCache>
                <c:formatCode>0%</c:formatCode>
                <c:ptCount val="5"/>
                <c:pt idx="0">
                  <c:v>0.33333333333333331</c:v>
                </c:pt>
                <c:pt idx="1">
                  <c:v>0.20689655172413793</c:v>
                </c:pt>
                <c:pt idx="2">
                  <c:v>0.55555555555555558</c:v>
                </c:pt>
                <c:pt idx="3">
                  <c:v>0.35483870967741937</c:v>
                </c:pt>
                <c:pt idx="4">
                  <c:v>0.25510204081632654</c:v>
                </c:pt>
              </c:numCache>
            </c:numRef>
          </c:val>
          <c:extLst>
            <c:ext xmlns:c16="http://schemas.microsoft.com/office/drawing/2014/chart" uri="{C3380CC4-5D6E-409C-BE32-E72D297353CC}">
              <c16:uniqueId val="{00000002-1954-43AA-97D9-CCB6CC0395E8}"/>
            </c:ext>
          </c:extLst>
        </c:ser>
        <c:ser>
          <c:idx val="3"/>
          <c:order val="3"/>
          <c:tx>
            <c:strRef>
              <c:f>'Health spending'!$F$24</c:f>
              <c:strCache>
                <c:ptCount val="1"/>
                <c:pt idx="0">
                  <c:v>Insurance</c:v>
                </c:pt>
              </c:strCache>
            </c:strRef>
          </c:tx>
          <c:spPr>
            <a:solidFill>
              <a:srgbClr val="00B050"/>
            </a:solidFill>
            <a:ln>
              <a:noFill/>
            </a:ln>
            <a:effectLst/>
          </c:spPr>
          <c:invertIfNegative val="0"/>
          <c:cat>
            <c:strRef>
              <c:f>'Health spending'!$B$25:$B$29</c:f>
              <c:strCache>
                <c:ptCount val="5"/>
                <c:pt idx="0">
                  <c:v>Somalia</c:v>
                </c:pt>
                <c:pt idx="1">
                  <c:v>South Sudan</c:v>
                </c:pt>
                <c:pt idx="2">
                  <c:v>Eritrea</c:v>
                </c:pt>
                <c:pt idx="3">
                  <c:v>Ethiopia</c:v>
                </c:pt>
                <c:pt idx="4">
                  <c:v>Kenya</c:v>
                </c:pt>
              </c:strCache>
            </c:strRef>
          </c:cat>
          <c:val>
            <c:numRef>
              <c:f>'Health spending'!$F$25:$F$29</c:f>
              <c:numCache>
                <c:formatCode>0%</c:formatCode>
                <c:ptCount val="5"/>
                <c:pt idx="0">
                  <c:v>0</c:v>
                </c:pt>
                <c:pt idx="1">
                  <c:v>3.4482758620689655E-2</c:v>
                </c:pt>
                <c:pt idx="2">
                  <c:v>3.7037037037037035E-2</c:v>
                </c:pt>
                <c:pt idx="3">
                  <c:v>0.19354838709677419</c:v>
                </c:pt>
                <c:pt idx="4">
                  <c:v>0.15306122448979592</c:v>
                </c:pt>
              </c:numCache>
            </c:numRef>
          </c:val>
          <c:extLst>
            <c:ext xmlns:c16="http://schemas.microsoft.com/office/drawing/2014/chart" uri="{C3380CC4-5D6E-409C-BE32-E72D297353CC}">
              <c16:uniqueId val="{00000003-1954-43AA-97D9-CCB6CC0395E8}"/>
            </c:ext>
          </c:extLst>
        </c:ser>
        <c:dLbls>
          <c:showLegendKey val="0"/>
          <c:showVal val="0"/>
          <c:showCatName val="0"/>
          <c:showSerName val="0"/>
          <c:showPercent val="0"/>
          <c:showBubbleSize val="0"/>
        </c:dLbls>
        <c:gapWidth val="150"/>
        <c:overlap val="100"/>
        <c:axId val="1097349583"/>
        <c:axId val="619792495"/>
      </c:barChart>
      <c:catAx>
        <c:axId val="109734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9792495"/>
        <c:crosses val="autoZero"/>
        <c:auto val="1"/>
        <c:lblAlgn val="ctr"/>
        <c:lblOffset val="100"/>
        <c:noMultiLvlLbl val="0"/>
      </c:catAx>
      <c:valAx>
        <c:axId val="619792495"/>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349583"/>
        <c:crosses val="autoZero"/>
        <c:crossBetween val="between"/>
        <c:majorUnit val="0.2"/>
      </c:valAx>
      <c:spPr>
        <a:noFill/>
        <a:ln>
          <a:noFill/>
        </a:ln>
        <a:effectLst/>
      </c:spPr>
    </c:plotArea>
    <c:legend>
      <c:legendPos val="b"/>
      <c:layout>
        <c:manualLayout>
          <c:xMode val="edge"/>
          <c:yMode val="edge"/>
          <c:x val="0.27227567224488003"/>
          <c:y val="3.7830323138391089E-2"/>
          <c:w val="0.52048068510666934"/>
          <c:h val="5.02838635483530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rgbClr val="70AD47">
                <a:lumMod val="75000"/>
              </a:srgbClr>
            </a:solidFill>
            <a:ln>
              <a:noFill/>
            </a:ln>
            <a:effectLst/>
          </c:spPr>
          <c:invertIfNegative val="0"/>
          <c:cat>
            <c:strRef>
              <c:f>'[2020 Somalia RMET summary data.xlsx]SARA summary'!$H$33:$H$47</c:f>
              <c:strCache>
                <c:ptCount val="15"/>
                <c:pt idx="0">
                  <c:v>Family Planning</c:v>
                </c:pt>
                <c:pt idx="1">
                  <c:v>ANC</c:v>
                </c:pt>
                <c:pt idx="2">
                  <c:v>BeMONC</c:v>
                </c:pt>
                <c:pt idx="3">
                  <c:v>CeMONC</c:v>
                </c:pt>
                <c:pt idx="4">
                  <c:v>Child Immunization</c:v>
                </c:pt>
                <c:pt idx="5">
                  <c:v>Child Health</c:v>
                </c:pt>
                <c:pt idx="6">
                  <c:v>Adolescent Health</c:v>
                </c:pt>
                <c:pt idx="7">
                  <c:v>Malaria</c:v>
                </c:pt>
                <c:pt idx="8">
                  <c:v>VCT</c:v>
                </c:pt>
                <c:pt idx="9">
                  <c:v>ART</c:v>
                </c:pt>
                <c:pt idx="10">
                  <c:v>PMTCT</c:v>
                </c:pt>
                <c:pt idx="11">
                  <c:v>TB</c:v>
                </c:pt>
                <c:pt idx="12">
                  <c:v>Diabetes</c:v>
                </c:pt>
                <c:pt idx="13">
                  <c:v>CVD</c:v>
                </c:pt>
                <c:pt idx="14">
                  <c:v>Cervical Cancer</c:v>
                </c:pt>
              </c:strCache>
            </c:strRef>
          </c:cat>
          <c:val>
            <c:numRef>
              <c:f>'[2020 Somalia RMET summary data.xlsx]SARA summary'!$J$33:$J$47</c:f>
              <c:numCache>
                <c:formatCode>0.000%</c:formatCode>
                <c:ptCount val="15"/>
                <c:pt idx="0">
                  <c:v>0.15400000000000003</c:v>
                </c:pt>
                <c:pt idx="1">
                  <c:v>0.2838</c:v>
                </c:pt>
                <c:pt idx="2">
                  <c:v>0.24380000000000002</c:v>
                </c:pt>
                <c:pt idx="3">
                  <c:v>4.8000000000000001E-2</c:v>
                </c:pt>
                <c:pt idx="4">
                  <c:v>0.39200000000000002</c:v>
                </c:pt>
                <c:pt idx="5">
                  <c:v>0.31680000000000003</c:v>
                </c:pt>
                <c:pt idx="6">
                  <c:v>8.4000000000000005E-2</c:v>
                </c:pt>
                <c:pt idx="7">
                  <c:v>0.23939999999999997</c:v>
                </c:pt>
                <c:pt idx="8">
                  <c:v>0.10259999999999998</c:v>
                </c:pt>
                <c:pt idx="9">
                  <c:v>1.44E-2</c:v>
                </c:pt>
                <c:pt idx="10">
                  <c:v>4.5099999999999994E-2</c:v>
                </c:pt>
                <c:pt idx="11">
                  <c:v>4.7199999999999999E-2</c:v>
                </c:pt>
                <c:pt idx="12">
                  <c:v>4.8600000000000004E-2</c:v>
                </c:pt>
                <c:pt idx="13">
                  <c:v>3.9199999999999999E-2</c:v>
                </c:pt>
                <c:pt idx="14">
                  <c:v>1.34E-2</c:v>
                </c:pt>
              </c:numCache>
            </c:numRef>
          </c:val>
          <c:extLst>
            <c:ext xmlns:c16="http://schemas.microsoft.com/office/drawing/2014/chart" uri="{C3380CC4-5D6E-409C-BE32-E72D297353CC}">
              <c16:uniqueId val="{00000000-912D-4782-81A3-796DE90BB2F3}"/>
            </c:ext>
          </c:extLst>
        </c:ser>
        <c:dLbls>
          <c:showLegendKey val="0"/>
          <c:showVal val="0"/>
          <c:showCatName val="0"/>
          <c:showSerName val="0"/>
          <c:showPercent val="0"/>
          <c:showBubbleSize val="0"/>
        </c:dLbls>
        <c:gapWidth val="75"/>
        <c:overlap val="100"/>
        <c:axId val="501480304"/>
        <c:axId val="501488624"/>
      </c:barChart>
      <c:catAx>
        <c:axId val="501480304"/>
        <c:scaling>
          <c:orientation val="minMax"/>
        </c:scaling>
        <c:delete val="0"/>
        <c:axPos val="b"/>
        <c:numFmt formatCode="General" sourceLinked="1"/>
        <c:majorTickMark val="out"/>
        <c:minorTickMark val="none"/>
        <c:tickLblPos val="nextTo"/>
        <c:spPr>
          <a:noFill/>
          <a:ln w="6350" cap="flat" cmpd="sng" algn="ctr">
            <a:solidFill>
              <a:srgbClr val="A5A5A5"/>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1488624"/>
        <c:crosses val="autoZero"/>
        <c:auto val="1"/>
        <c:lblAlgn val="ctr"/>
        <c:lblOffset val="100"/>
        <c:noMultiLvlLbl val="0"/>
      </c:catAx>
      <c:valAx>
        <c:axId val="501488624"/>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sz="1000" dirty="0"/>
                  <a:t>% Facilities with readiness to provide service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1480304"/>
        <c:crosses val="autoZero"/>
        <c:crossBetween val="between"/>
        <c:majorUnit val="0.2"/>
        <c:min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19277662795124E-2"/>
          <c:y val="8.9424041741922533E-2"/>
          <c:w val="0.91058233292746205"/>
          <c:h val="0.56702840596103932"/>
        </c:manualLayout>
      </c:layout>
      <c:barChart>
        <c:barDir val="col"/>
        <c:grouping val="clustered"/>
        <c:varyColors val="0"/>
        <c:ser>
          <c:idx val="0"/>
          <c:order val="0"/>
          <c:tx>
            <c:strRef>
              <c:f>Sheet5!$C$1</c:f>
              <c:strCache>
                <c:ptCount val="1"/>
                <c:pt idx="0">
                  <c:v>Round 1</c:v>
                </c:pt>
              </c:strCache>
            </c:strRef>
          </c:tx>
          <c:spPr>
            <a:solidFill>
              <a:schemeClr val="accent5"/>
            </a:solidFill>
            <a:ln>
              <a:solidFill>
                <a:schemeClr val="accent5"/>
              </a:solidFill>
            </a:ln>
            <a:effectLst/>
          </c:spPr>
          <c:invertIfNegative val="0"/>
          <c:cat>
            <c:multiLvlStrRef>
              <c:f>Sheet5!$A$2:$B$16</c:f>
              <c:multiLvlStrCache>
                <c:ptCount val="15"/>
                <c:lvl>
                  <c:pt idx="0">
                    <c:v>Somalia</c:v>
                  </c:pt>
                  <c:pt idx="1">
                    <c:v>Small (5-20)</c:v>
                  </c:pt>
                  <c:pt idx="2">
                    <c:v>Medium (20-99)</c:v>
                  </c:pt>
                  <c:pt idx="3">
                    <c:v>Large (100+)</c:v>
                  </c:pt>
                  <c:pt idx="4">
                    <c:v>Manufacturing</c:v>
                  </c:pt>
                  <c:pt idx="5">
                    <c:v>Services</c:v>
                  </c:pt>
                  <c:pt idx="6">
                    <c:v>Baidoa</c:v>
                  </c:pt>
                  <c:pt idx="7">
                    <c:v>Beledweyne</c:v>
                  </c:pt>
                  <c:pt idx="8">
                    <c:v>Bosaso</c:v>
                  </c:pt>
                  <c:pt idx="9">
                    <c:v>Kismayo</c:v>
                  </c:pt>
                  <c:pt idx="10">
                    <c:v>Mogadishu</c:v>
                  </c:pt>
                  <c:pt idx="11">
                    <c:v>Exporter</c:v>
                  </c:pt>
                  <c:pt idx="12">
                    <c:v>Non-exporter</c:v>
                  </c:pt>
                  <c:pt idx="13">
                    <c:v>1-9 years</c:v>
                  </c:pt>
                  <c:pt idx="14">
                    <c:v>10 or more years</c:v>
                  </c:pt>
                </c:lvl>
                <c:lvl>
                  <c:pt idx="1">
                    <c:v>Size</c:v>
                  </c:pt>
                  <c:pt idx="4">
                    <c:v>Sector</c:v>
                  </c:pt>
                  <c:pt idx="6">
                    <c:v>City</c:v>
                  </c:pt>
                  <c:pt idx="11">
                    <c:v>Exporting</c:v>
                  </c:pt>
                  <c:pt idx="13">
                    <c:v>Age</c:v>
                  </c:pt>
                </c:lvl>
              </c:multiLvlStrCache>
            </c:multiLvlStrRef>
          </c:cat>
          <c:val>
            <c:numRef>
              <c:f>Sheet5!$C$2:$C$16</c:f>
              <c:numCache>
                <c:formatCode>General</c:formatCode>
                <c:ptCount val="15"/>
                <c:pt idx="0">
                  <c:v>75</c:v>
                </c:pt>
                <c:pt idx="1">
                  <c:v>74</c:v>
                </c:pt>
                <c:pt idx="2">
                  <c:v>76</c:v>
                </c:pt>
                <c:pt idx="3">
                  <c:v>88</c:v>
                </c:pt>
                <c:pt idx="4">
                  <c:v>75</c:v>
                </c:pt>
                <c:pt idx="5">
                  <c:v>75</c:v>
                </c:pt>
                <c:pt idx="6">
                  <c:v>99</c:v>
                </c:pt>
                <c:pt idx="7">
                  <c:v>98</c:v>
                </c:pt>
                <c:pt idx="8">
                  <c:v>86</c:v>
                </c:pt>
                <c:pt idx="9">
                  <c:v>93</c:v>
                </c:pt>
                <c:pt idx="10">
                  <c:v>71</c:v>
                </c:pt>
                <c:pt idx="11">
                  <c:v>81</c:v>
                </c:pt>
                <c:pt idx="12">
                  <c:v>73</c:v>
                </c:pt>
                <c:pt idx="13">
                  <c:v>71</c:v>
                </c:pt>
                <c:pt idx="14">
                  <c:v>86</c:v>
                </c:pt>
              </c:numCache>
            </c:numRef>
          </c:val>
          <c:extLst>
            <c:ext xmlns:c16="http://schemas.microsoft.com/office/drawing/2014/chart" uri="{C3380CC4-5D6E-409C-BE32-E72D297353CC}">
              <c16:uniqueId val="{00000000-3D63-4DC1-8D7A-5FF9FFF5F2EF}"/>
            </c:ext>
          </c:extLst>
        </c:ser>
        <c:dLbls>
          <c:showLegendKey val="0"/>
          <c:showVal val="0"/>
          <c:showCatName val="0"/>
          <c:showSerName val="0"/>
          <c:showPercent val="0"/>
          <c:showBubbleSize val="0"/>
        </c:dLbls>
        <c:gapWidth val="150"/>
        <c:axId val="1751341696"/>
        <c:axId val="1701102240"/>
      </c:barChart>
      <c:lineChart>
        <c:grouping val="standard"/>
        <c:varyColors val="0"/>
        <c:ser>
          <c:idx val="1"/>
          <c:order val="1"/>
          <c:tx>
            <c:strRef>
              <c:f>Sheet5!$D$1</c:f>
              <c:strCache>
                <c:ptCount val="1"/>
                <c:pt idx="0">
                  <c:v>Round 2</c:v>
                </c:pt>
              </c:strCache>
            </c:strRef>
          </c:tx>
          <c:spPr>
            <a:ln w="22225" cap="rnd">
              <a:solidFill>
                <a:schemeClr val="tx1"/>
              </a:solidFill>
              <a:prstDash val="sysDash"/>
              <a:round/>
            </a:ln>
            <a:effectLst/>
          </c:spPr>
          <c:marker>
            <c:symbol val="diamond"/>
            <c:size val="6"/>
            <c:spPr>
              <a:solidFill>
                <a:sysClr val="windowText" lastClr="000000"/>
              </a:solidFill>
              <a:ln w="9525">
                <a:noFill/>
              </a:ln>
              <a:effectLst/>
            </c:spPr>
          </c:marker>
          <c:cat>
            <c:multiLvlStrRef>
              <c:f>Sheet5!$A$2:$B$16</c:f>
              <c:multiLvlStrCache>
                <c:ptCount val="15"/>
                <c:lvl>
                  <c:pt idx="0">
                    <c:v>Somalia</c:v>
                  </c:pt>
                  <c:pt idx="1">
                    <c:v>Small (5-20)</c:v>
                  </c:pt>
                  <c:pt idx="2">
                    <c:v>Medium (20-99)</c:v>
                  </c:pt>
                  <c:pt idx="3">
                    <c:v>Large (100+)</c:v>
                  </c:pt>
                  <c:pt idx="4">
                    <c:v>Manufacturing</c:v>
                  </c:pt>
                  <c:pt idx="5">
                    <c:v>Services</c:v>
                  </c:pt>
                  <c:pt idx="6">
                    <c:v>Baidoa</c:v>
                  </c:pt>
                  <c:pt idx="7">
                    <c:v>Beledweyne</c:v>
                  </c:pt>
                  <c:pt idx="8">
                    <c:v>Bosaso</c:v>
                  </c:pt>
                  <c:pt idx="9">
                    <c:v>Kismayo</c:v>
                  </c:pt>
                  <c:pt idx="10">
                    <c:v>Mogadishu</c:v>
                  </c:pt>
                  <c:pt idx="11">
                    <c:v>Exporter</c:v>
                  </c:pt>
                  <c:pt idx="12">
                    <c:v>Non-exporter</c:v>
                  </c:pt>
                  <c:pt idx="13">
                    <c:v>1-9 years</c:v>
                  </c:pt>
                  <c:pt idx="14">
                    <c:v>10 or more years</c:v>
                  </c:pt>
                </c:lvl>
                <c:lvl>
                  <c:pt idx="1">
                    <c:v>Size</c:v>
                  </c:pt>
                  <c:pt idx="4">
                    <c:v>Sector</c:v>
                  </c:pt>
                  <c:pt idx="6">
                    <c:v>City</c:v>
                  </c:pt>
                  <c:pt idx="11">
                    <c:v>Exporting</c:v>
                  </c:pt>
                  <c:pt idx="13">
                    <c:v>Age</c:v>
                  </c:pt>
                </c:lvl>
              </c:multiLvlStrCache>
            </c:multiLvlStrRef>
          </c:cat>
          <c:val>
            <c:numRef>
              <c:f>Sheet5!$D$2:$D$16</c:f>
              <c:numCache>
                <c:formatCode>General</c:formatCode>
                <c:ptCount val="15"/>
                <c:pt idx="0">
                  <c:v>52</c:v>
                </c:pt>
                <c:pt idx="1">
                  <c:v>51</c:v>
                </c:pt>
                <c:pt idx="2">
                  <c:v>58</c:v>
                </c:pt>
                <c:pt idx="3">
                  <c:v>47</c:v>
                </c:pt>
                <c:pt idx="4">
                  <c:v>40</c:v>
                </c:pt>
                <c:pt idx="5">
                  <c:v>53</c:v>
                </c:pt>
                <c:pt idx="6">
                  <c:v>98</c:v>
                </c:pt>
                <c:pt idx="7">
                  <c:v>27</c:v>
                </c:pt>
                <c:pt idx="8">
                  <c:v>73</c:v>
                </c:pt>
                <c:pt idx="9">
                  <c:v>34</c:v>
                </c:pt>
                <c:pt idx="10">
                  <c:v>49</c:v>
                </c:pt>
                <c:pt idx="11">
                  <c:v>48</c:v>
                </c:pt>
                <c:pt idx="12">
                  <c:v>52</c:v>
                </c:pt>
                <c:pt idx="13">
                  <c:v>46</c:v>
                </c:pt>
                <c:pt idx="14">
                  <c:v>70</c:v>
                </c:pt>
              </c:numCache>
            </c:numRef>
          </c:val>
          <c:smooth val="0"/>
          <c:extLst>
            <c:ext xmlns:c16="http://schemas.microsoft.com/office/drawing/2014/chart" uri="{C3380CC4-5D6E-409C-BE32-E72D297353CC}">
              <c16:uniqueId val="{00000001-3D63-4DC1-8D7A-5FF9FFF5F2EF}"/>
            </c:ext>
          </c:extLst>
        </c:ser>
        <c:dLbls>
          <c:showLegendKey val="0"/>
          <c:showVal val="0"/>
          <c:showCatName val="0"/>
          <c:showSerName val="0"/>
          <c:showPercent val="0"/>
          <c:showBubbleSize val="0"/>
        </c:dLbls>
        <c:marker val="1"/>
        <c:smooth val="0"/>
        <c:axId val="1751341696"/>
        <c:axId val="1701102240"/>
      </c:lineChart>
      <c:catAx>
        <c:axId val="175134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102240"/>
        <c:crosses val="autoZero"/>
        <c:auto val="1"/>
        <c:lblAlgn val="ctr"/>
        <c:lblOffset val="100"/>
        <c:noMultiLvlLbl val="0"/>
      </c:catAx>
      <c:valAx>
        <c:axId val="170110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341696"/>
        <c:crosses val="autoZero"/>
        <c:crossBetween val="between"/>
      </c:valAx>
      <c:spPr>
        <a:noFill/>
        <a:ln>
          <a:noFill/>
        </a:ln>
        <a:effectLst/>
      </c:spPr>
    </c:plotArea>
    <c:legend>
      <c:legendPos val="b"/>
      <c:layout>
        <c:manualLayout>
          <c:xMode val="edge"/>
          <c:yMode val="edge"/>
          <c:x val="0.23176463671399369"/>
          <c:y val="3.2287294054573146E-2"/>
          <c:w val="0.52007000639907563"/>
          <c:h val="6.21204491414355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97610448936874E-2"/>
          <c:y val="0.41872434919947266"/>
          <c:w val="0.8716254780056093"/>
          <c:h val="0.54115016001939464"/>
        </c:manualLayout>
      </c:layout>
      <c:barChart>
        <c:barDir val="col"/>
        <c:grouping val="clustered"/>
        <c:varyColors val="0"/>
        <c:ser>
          <c:idx val="0"/>
          <c:order val="0"/>
          <c:tx>
            <c:strRef>
              <c:f>Sheet5!$C$1</c:f>
              <c:strCache>
                <c:ptCount val="1"/>
                <c:pt idx="0">
                  <c:v>Round 1</c:v>
                </c:pt>
              </c:strCache>
            </c:strRef>
          </c:tx>
          <c:spPr>
            <a:solidFill>
              <a:srgbClr val="ED7D31"/>
            </a:solidFill>
            <a:ln>
              <a:noFill/>
            </a:ln>
            <a:effectLst/>
          </c:spPr>
          <c:invertIfNegative val="0"/>
          <c:cat>
            <c:multiLvlStrRef>
              <c:f>Sheet5!$A$25:$B$39</c:f>
              <c:multiLvlStrCache>
                <c:ptCount val="15"/>
                <c:lvl>
                  <c:pt idx="0">
                    <c:v>Somalia</c:v>
                  </c:pt>
                  <c:pt idx="1">
                    <c:v>Small (5-20)</c:v>
                  </c:pt>
                  <c:pt idx="2">
                    <c:v>Medium (20-99)</c:v>
                  </c:pt>
                  <c:pt idx="3">
                    <c:v>Large (100+)</c:v>
                  </c:pt>
                  <c:pt idx="4">
                    <c:v>Manufacturing</c:v>
                  </c:pt>
                  <c:pt idx="5">
                    <c:v>Services</c:v>
                  </c:pt>
                  <c:pt idx="6">
                    <c:v>Baidoa</c:v>
                  </c:pt>
                  <c:pt idx="7">
                    <c:v>Beledweyne</c:v>
                  </c:pt>
                  <c:pt idx="8">
                    <c:v>Bosaso</c:v>
                  </c:pt>
                  <c:pt idx="9">
                    <c:v>Kismayo</c:v>
                  </c:pt>
                  <c:pt idx="10">
                    <c:v>Mogadishu</c:v>
                  </c:pt>
                  <c:pt idx="11">
                    <c:v>Exporter</c:v>
                  </c:pt>
                  <c:pt idx="12">
                    <c:v>Non-exporter</c:v>
                  </c:pt>
                  <c:pt idx="13">
                    <c:v>1-9 years</c:v>
                  </c:pt>
                  <c:pt idx="14">
                    <c:v>10 or more years</c:v>
                  </c:pt>
                </c:lvl>
                <c:lvl>
                  <c:pt idx="1">
                    <c:v>Size</c:v>
                  </c:pt>
                  <c:pt idx="4">
                    <c:v>Sector</c:v>
                  </c:pt>
                  <c:pt idx="6">
                    <c:v>City</c:v>
                  </c:pt>
                  <c:pt idx="11">
                    <c:v>Exporting</c:v>
                  </c:pt>
                  <c:pt idx="13">
                    <c:v>Age</c:v>
                  </c:pt>
                </c:lvl>
              </c:multiLvlStrCache>
            </c:multiLvlStrRef>
          </c:cat>
          <c:val>
            <c:numRef>
              <c:f>Sheet5!$C$25:$C$39</c:f>
              <c:numCache>
                <c:formatCode>General</c:formatCode>
                <c:ptCount val="15"/>
                <c:pt idx="0">
                  <c:v>-32</c:v>
                </c:pt>
                <c:pt idx="1">
                  <c:v>-30</c:v>
                </c:pt>
                <c:pt idx="2">
                  <c:v>-39</c:v>
                </c:pt>
                <c:pt idx="3">
                  <c:v>-39</c:v>
                </c:pt>
                <c:pt idx="4">
                  <c:v>-38</c:v>
                </c:pt>
                <c:pt idx="5">
                  <c:v>-31</c:v>
                </c:pt>
                <c:pt idx="6">
                  <c:v>-46</c:v>
                </c:pt>
                <c:pt idx="7">
                  <c:v>-50</c:v>
                </c:pt>
                <c:pt idx="8">
                  <c:v>-43</c:v>
                </c:pt>
                <c:pt idx="9">
                  <c:v>-45</c:v>
                </c:pt>
                <c:pt idx="10">
                  <c:v>-29</c:v>
                </c:pt>
                <c:pt idx="11">
                  <c:v>-48</c:v>
                </c:pt>
                <c:pt idx="12">
                  <c:v>-28</c:v>
                </c:pt>
                <c:pt idx="13">
                  <c:v>-28</c:v>
                </c:pt>
                <c:pt idx="14">
                  <c:v>-45</c:v>
                </c:pt>
              </c:numCache>
            </c:numRef>
          </c:val>
          <c:extLst>
            <c:ext xmlns:c16="http://schemas.microsoft.com/office/drawing/2014/chart" uri="{C3380CC4-5D6E-409C-BE32-E72D297353CC}">
              <c16:uniqueId val="{00000000-6C57-412C-91DF-D05CDA870C41}"/>
            </c:ext>
          </c:extLst>
        </c:ser>
        <c:dLbls>
          <c:showLegendKey val="0"/>
          <c:showVal val="0"/>
          <c:showCatName val="0"/>
          <c:showSerName val="0"/>
          <c:showPercent val="0"/>
          <c:showBubbleSize val="0"/>
        </c:dLbls>
        <c:gapWidth val="150"/>
        <c:axId val="1751341696"/>
        <c:axId val="1701102240"/>
      </c:barChart>
      <c:lineChart>
        <c:grouping val="standard"/>
        <c:varyColors val="0"/>
        <c:ser>
          <c:idx val="1"/>
          <c:order val="1"/>
          <c:tx>
            <c:strRef>
              <c:f>Sheet5!$D$1</c:f>
              <c:strCache>
                <c:ptCount val="1"/>
                <c:pt idx="0">
                  <c:v>Round 2</c:v>
                </c:pt>
              </c:strCache>
            </c:strRef>
          </c:tx>
          <c:spPr>
            <a:ln w="22225" cap="rnd">
              <a:solidFill>
                <a:sysClr val="windowText" lastClr="000000"/>
              </a:solidFill>
              <a:prstDash val="sysDash"/>
              <a:round/>
            </a:ln>
            <a:effectLst/>
          </c:spPr>
          <c:marker>
            <c:symbol val="diamond"/>
            <c:size val="6"/>
            <c:spPr>
              <a:solidFill>
                <a:sysClr val="windowText" lastClr="000000"/>
              </a:solidFill>
              <a:ln w="9525">
                <a:noFill/>
              </a:ln>
              <a:effectLst/>
            </c:spPr>
          </c:marker>
          <c:cat>
            <c:multiLvlStrRef>
              <c:f>Sheet5!$A$25:$B$39</c:f>
              <c:multiLvlStrCache>
                <c:ptCount val="15"/>
                <c:lvl>
                  <c:pt idx="0">
                    <c:v>Somalia</c:v>
                  </c:pt>
                  <c:pt idx="1">
                    <c:v>Small (5-20)</c:v>
                  </c:pt>
                  <c:pt idx="2">
                    <c:v>Medium (20-99)</c:v>
                  </c:pt>
                  <c:pt idx="3">
                    <c:v>Large (100+)</c:v>
                  </c:pt>
                  <c:pt idx="4">
                    <c:v>Manufacturing</c:v>
                  </c:pt>
                  <c:pt idx="5">
                    <c:v>Services</c:v>
                  </c:pt>
                  <c:pt idx="6">
                    <c:v>Baidoa</c:v>
                  </c:pt>
                  <c:pt idx="7">
                    <c:v>Beledweyne</c:v>
                  </c:pt>
                  <c:pt idx="8">
                    <c:v>Bosaso</c:v>
                  </c:pt>
                  <c:pt idx="9">
                    <c:v>Kismayo</c:v>
                  </c:pt>
                  <c:pt idx="10">
                    <c:v>Mogadishu</c:v>
                  </c:pt>
                  <c:pt idx="11">
                    <c:v>Exporter</c:v>
                  </c:pt>
                  <c:pt idx="12">
                    <c:v>Non-exporter</c:v>
                  </c:pt>
                  <c:pt idx="13">
                    <c:v>1-9 years</c:v>
                  </c:pt>
                  <c:pt idx="14">
                    <c:v>10 or more years</c:v>
                  </c:pt>
                </c:lvl>
                <c:lvl>
                  <c:pt idx="1">
                    <c:v>Size</c:v>
                  </c:pt>
                  <c:pt idx="4">
                    <c:v>Sector</c:v>
                  </c:pt>
                  <c:pt idx="6">
                    <c:v>City</c:v>
                  </c:pt>
                  <c:pt idx="11">
                    <c:v>Exporting</c:v>
                  </c:pt>
                  <c:pt idx="13">
                    <c:v>Age</c:v>
                  </c:pt>
                </c:lvl>
              </c:multiLvlStrCache>
            </c:multiLvlStrRef>
          </c:cat>
          <c:val>
            <c:numRef>
              <c:f>Sheet5!$D$25:$D$39</c:f>
              <c:numCache>
                <c:formatCode>General</c:formatCode>
                <c:ptCount val="15"/>
                <c:pt idx="0">
                  <c:v>-10</c:v>
                </c:pt>
                <c:pt idx="1">
                  <c:v>-10</c:v>
                </c:pt>
                <c:pt idx="2">
                  <c:v>-13</c:v>
                </c:pt>
                <c:pt idx="3">
                  <c:v>-1</c:v>
                </c:pt>
                <c:pt idx="4">
                  <c:v>-4</c:v>
                </c:pt>
                <c:pt idx="5">
                  <c:v>-11</c:v>
                </c:pt>
                <c:pt idx="6">
                  <c:v>-50</c:v>
                </c:pt>
                <c:pt idx="7">
                  <c:v>6</c:v>
                </c:pt>
                <c:pt idx="8">
                  <c:v>-30</c:v>
                </c:pt>
                <c:pt idx="9">
                  <c:v>8</c:v>
                </c:pt>
                <c:pt idx="10">
                  <c:v>-7</c:v>
                </c:pt>
                <c:pt idx="11">
                  <c:v>-7</c:v>
                </c:pt>
                <c:pt idx="12">
                  <c:v>-10</c:v>
                </c:pt>
                <c:pt idx="13">
                  <c:v>-7</c:v>
                </c:pt>
                <c:pt idx="14">
                  <c:v>-21</c:v>
                </c:pt>
              </c:numCache>
            </c:numRef>
          </c:val>
          <c:smooth val="0"/>
          <c:extLst>
            <c:ext xmlns:c16="http://schemas.microsoft.com/office/drawing/2014/chart" uri="{C3380CC4-5D6E-409C-BE32-E72D297353CC}">
              <c16:uniqueId val="{00000001-6C57-412C-91DF-D05CDA870C41}"/>
            </c:ext>
          </c:extLst>
        </c:ser>
        <c:dLbls>
          <c:showLegendKey val="0"/>
          <c:showVal val="0"/>
          <c:showCatName val="0"/>
          <c:showSerName val="0"/>
          <c:showPercent val="0"/>
          <c:showBubbleSize val="0"/>
        </c:dLbls>
        <c:marker val="1"/>
        <c:smooth val="0"/>
        <c:axId val="1751341696"/>
        <c:axId val="1701102240"/>
      </c:lineChart>
      <c:catAx>
        <c:axId val="175134169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102240"/>
        <c:crosses val="autoZero"/>
        <c:auto val="1"/>
        <c:lblAlgn val="ctr"/>
        <c:lblOffset val="100"/>
        <c:noMultiLvlLbl val="0"/>
      </c:catAx>
      <c:valAx>
        <c:axId val="170110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341696"/>
        <c:crosses val="autoZero"/>
        <c:crossBetween val="between"/>
      </c:valAx>
      <c:spPr>
        <a:noFill/>
        <a:ln>
          <a:noFill/>
        </a:ln>
        <a:effectLst/>
      </c:spPr>
    </c:plotArea>
    <c:legend>
      <c:legendPos val="b"/>
      <c:layout>
        <c:manualLayout>
          <c:xMode val="edge"/>
          <c:yMode val="edge"/>
          <c:x val="0.24248375133879199"/>
          <c:y val="9.2893015809715346E-3"/>
          <c:w val="0.57648540498676026"/>
          <c:h val="6.21204491414355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305915522573041E-2"/>
          <c:y val="9.9865989180562581E-2"/>
          <c:w val="0.92938816895485388"/>
          <c:h val="0.69282889564288819"/>
        </c:manualLayout>
      </c:layout>
      <c:barChart>
        <c:barDir val="col"/>
        <c:grouping val="clustered"/>
        <c:varyColors val="0"/>
        <c:ser>
          <c:idx val="0"/>
          <c:order val="0"/>
          <c:tx>
            <c:strRef>
              <c:f>Sheet5!$A$43</c:f>
              <c:strCache>
                <c:ptCount val="1"/>
                <c:pt idx="0">
                  <c:v>Feb.2020 - Jun.2020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Sheet5!$B$42:$C$42</c:f>
              <c:strCache>
                <c:ptCount val="2"/>
                <c:pt idx="0">
                  <c:v>% of firms that temporarily closed because of COVID-19 </c:v>
                </c:pt>
                <c:pt idx="1">
                  <c:v>% of firms that adjustedtheir production or services because of COVID-20</c:v>
                </c:pt>
              </c:strCache>
            </c:strRef>
          </c:cat>
          <c:val>
            <c:numRef>
              <c:f>Sheet5!$B$43:$C$43</c:f>
              <c:numCache>
                <c:formatCode>General</c:formatCode>
                <c:ptCount val="2"/>
                <c:pt idx="0">
                  <c:v>45</c:v>
                </c:pt>
                <c:pt idx="1">
                  <c:v>16</c:v>
                </c:pt>
              </c:numCache>
            </c:numRef>
          </c:val>
          <c:extLst>
            <c:ext xmlns:c16="http://schemas.microsoft.com/office/drawing/2014/chart" uri="{C3380CC4-5D6E-409C-BE32-E72D297353CC}">
              <c16:uniqueId val="{00000000-5D5A-4853-9074-30CB81C92972}"/>
            </c:ext>
          </c:extLst>
        </c:ser>
        <c:ser>
          <c:idx val="1"/>
          <c:order val="1"/>
          <c:tx>
            <c:strRef>
              <c:f>Sheet5!$A$44</c:f>
              <c:strCache>
                <c:ptCount val="1"/>
                <c:pt idx="0">
                  <c:v>Jul.2020 - Jan.2021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Sheet5!$B$42:$C$42</c:f>
              <c:strCache>
                <c:ptCount val="2"/>
                <c:pt idx="0">
                  <c:v>% of firms that temporarily closed because of COVID-19 </c:v>
                </c:pt>
                <c:pt idx="1">
                  <c:v>% of firms that adjustedtheir production or services because of COVID-20</c:v>
                </c:pt>
              </c:strCache>
            </c:strRef>
          </c:cat>
          <c:val>
            <c:numRef>
              <c:f>Sheet5!$B$44:$C$44</c:f>
              <c:numCache>
                <c:formatCode>General</c:formatCode>
                <c:ptCount val="2"/>
                <c:pt idx="0">
                  <c:v>62</c:v>
                </c:pt>
                <c:pt idx="1">
                  <c:v>82</c:v>
                </c:pt>
              </c:numCache>
            </c:numRef>
          </c:val>
          <c:extLst>
            <c:ext xmlns:c16="http://schemas.microsoft.com/office/drawing/2014/chart" uri="{C3380CC4-5D6E-409C-BE32-E72D297353CC}">
              <c16:uniqueId val="{00000001-5D5A-4853-9074-30CB81C92972}"/>
            </c:ext>
          </c:extLst>
        </c:ser>
        <c:dLbls>
          <c:showLegendKey val="0"/>
          <c:showVal val="0"/>
          <c:showCatName val="0"/>
          <c:showSerName val="0"/>
          <c:showPercent val="0"/>
          <c:showBubbleSize val="0"/>
        </c:dLbls>
        <c:gapWidth val="100"/>
        <c:axId val="1593965808"/>
        <c:axId val="1602097808"/>
      </c:barChart>
      <c:catAx>
        <c:axId val="1593965808"/>
        <c:scaling>
          <c:orientation val="minMax"/>
        </c:scaling>
        <c:delete val="0"/>
        <c:axPos val="b"/>
        <c:numFmt formatCode="General" sourceLinked="1"/>
        <c:majorTickMark val="none"/>
        <c:minorTickMark val="none"/>
        <c:tickLblPos val="nextTo"/>
        <c:spPr>
          <a:noFill/>
          <a:ln w="6350" cap="flat" cmpd="sng" algn="ctr">
            <a:solidFill>
              <a:srgbClr val="A5A5A5"/>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097808"/>
        <c:crosses val="autoZero"/>
        <c:auto val="1"/>
        <c:lblAlgn val="ctr"/>
        <c:lblOffset val="100"/>
        <c:noMultiLvlLbl val="0"/>
      </c:catAx>
      <c:valAx>
        <c:axId val="1602097808"/>
        <c:scaling>
          <c:orientation val="minMax"/>
        </c:scaling>
        <c:delete val="1"/>
        <c:axPos val="l"/>
        <c:numFmt formatCode="General" sourceLinked="1"/>
        <c:majorTickMark val="none"/>
        <c:minorTickMark val="none"/>
        <c:tickLblPos val="nextTo"/>
        <c:crossAx val="1593965808"/>
        <c:crosses val="autoZero"/>
        <c:crossBetween val="between"/>
      </c:valAx>
      <c:spPr>
        <a:noFill/>
        <a:ln>
          <a:noFill/>
        </a:ln>
        <a:effectLst/>
      </c:spPr>
    </c:plotArea>
    <c:legend>
      <c:legendPos val="b"/>
      <c:layout>
        <c:manualLayout>
          <c:xMode val="edge"/>
          <c:yMode val="edge"/>
          <c:x val="0.16097324028948323"/>
          <c:y val="2.672152916752385E-2"/>
          <c:w val="0.66850852653658344"/>
          <c:h val="7.74087986708083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Shares of total bank lending, percent </a:t>
            </a:r>
          </a:p>
        </c:rich>
      </c:tx>
      <c:layout>
        <c:manualLayout>
          <c:xMode val="edge"/>
          <c:yMode val="edge"/>
          <c:x val="0.2708651770749177"/>
          <c:y val="1.3071898788507742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28095568510545E-2"/>
          <c:y val="7.7516359815850908E-2"/>
          <c:w val="0.9132769261898952"/>
          <c:h val="0.67333112205132895"/>
        </c:manualLayout>
      </c:layout>
      <c:lineChart>
        <c:grouping val="standard"/>
        <c:varyColors val="0"/>
        <c:ser>
          <c:idx val="0"/>
          <c:order val="0"/>
          <c:tx>
            <c:strRef>
              <c:f>Sheet3!$A$11</c:f>
              <c:strCache>
                <c:ptCount val="1"/>
                <c:pt idx="0">
                  <c:v>Vehicle loans</c:v>
                </c:pt>
              </c:strCache>
            </c:strRef>
          </c:tx>
          <c:spPr>
            <a:ln w="25400" cap="rnd">
              <a:solidFill>
                <a:schemeClr val="accent1"/>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Sheet3!$B$11:$M$11</c:f>
              <c:numCache>
                <c:formatCode>0.0</c:formatCode>
                <c:ptCount val="12"/>
                <c:pt idx="0">
                  <c:v>5.5369612149330774</c:v>
                </c:pt>
                <c:pt idx="1">
                  <c:v>4.7426868712794823</c:v>
                </c:pt>
                <c:pt idx="2">
                  <c:v>5.3279712362405824</c:v>
                </c:pt>
                <c:pt idx="3">
                  <c:v>6.2398611424083468</c:v>
                </c:pt>
                <c:pt idx="4">
                  <c:v>6.3699302414150907</c:v>
                </c:pt>
                <c:pt idx="5">
                  <c:v>5.877485898449021</c:v>
                </c:pt>
                <c:pt idx="6">
                  <c:v>6.6536572725588199</c:v>
                </c:pt>
                <c:pt idx="7">
                  <c:v>6.4391361461896182</c:v>
                </c:pt>
                <c:pt idx="8">
                  <c:v>6.2869650329062043</c:v>
                </c:pt>
                <c:pt idx="9">
                  <c:v>6.5359077491857391</c:v>
                </c:pt>
                <c:pt idx="10">
                  <c:v>6.1389406762540695</c:v>
                </c:pt>
                <c:pt idx="11">
                  <c:v>6.1173805640092791</c:v>
                </c:pt>
              </c:numCache>
            </c:numRef>
          </c:val>
          <c:smooth val="0"/>
          <c:extLst>
            <c:ext xmlns:c16="http://schemas.microsoft.com/office/drawing/2014/chart" uri="{C3380CC4-5D6E-409C-BE32-E72D297353CC}">
              <c16:uniqueId val="{00000000-D886-4023-A57A-D68B487C60B3}"/>
            </c:ext>
          </c:extLst>
        </c:ser>
        <c:ser>
          <c:idx val="1"/>
          <c:order val="1"/>
          <c:tx>
            <c:strRef>
              <c:f>Sheet3!$A$12</c:f>
              <c:strCache>
                <c:ptCount val="1"/>
                <c:pt idx="0">
                  <c:v>Construction loans</c:v>
                </c:pt>
              </c:strCache>
            </c:strRef>
          </c:tx>
          <c:spPr>
            <a:ln w="25400" cap="rnd">
              <a:solidFill>
                <a:schemeClr val="accent2"/>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Sheet3!$B$12:$M$12</c:f>
              <c:numCache>
                <c:formatCode>0.0</c:formatCode>
                <c:ptCount val="12"/>
                <c:pt idx="0">
                  <c:v>7.9031381883877341</c:v>
                </c:pt>
                <c:pt idx="1">
                  <c:v>9.1246051731295683</c:v>
                </c:pt>
                <c:pt idx="2">
                  <c:v>9.2904954341938346</c:v>
                </c:pt>
                <c:pt idx="3">
                  <c:v>8.1534283128663851</c:v>
                </c:pt>
                <c:pt idx="4">
                  <c:v>9.3330996208102235</c:v>
                </c:pt>
                <c:pt idx="5">
                  <c:v>9.5873453135363018</c:v>
                </c:pt>
                <c:pt idx="6">
                  <c:v>9.5165423856263249</c:v>
                </c:pt>
                <c:pt idx="7">
                  <c:v>8.829794529534075</c:v>
                </c:pt>
                <c:pt idx="8">
                  <c:v>9.7912474217846253</c:v>
                </c:pt>
                <c:pt idx="9">
                  <c:v>9.250875595928207</c:v>
                </c:pt>
                <c:pt idx="10">
                  <c:v>8.2586025208648497</c:v>
                </c:pt>
                <c:pt idx="11">
                  <c:v>8.1636257476005589</c:v>
                </c:pt>
              </c:numCache>
            </c:numRef>
          </c:val>
          <c:smooth val="0"/>
          <c:extLst>
            <c:ext xmlns:c16="http://schemas.microsoft.com/office/drawing/2014/chart" uri="{C3380CC4-5D6E-409C-BE32-E72D297353CC}">
              <c16:uniqueId val="{00000001-D886-4023-A57A-D68B487C60B3}"/>
            </c:ext>
          </c:extLst>
        </c:ser>
        <c:ser>
          <c:idx val="2"/>
          <c:order val="2"/>
          <c:tx>
            <c:strRef>
              <c:f>Sheet3!$A$13</c:f>
              <c:strCache>
                <c:ptCount val="1"/>
                <c:pt idx="0">
                  <c:v>Trade financing</c:v>
                </c:pt>
              </c:strCache>
            </c:strRef>
          </c:tx>
          <c:spPr>
            <a:ln w="25400" cap="rnd">
              <a:solidFill>
                <a:schemeClr val="accent3"/>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Sheet3!$B$13:$M$13</c:f>
              <c:numCache>
                <c:formatCode>0.0</c:formatCode>
                <c:ptCount val="12"/>
                <c:pt idx="0">
                  <c:v>31.227010067528383</c:v>
                </c:pt>
                <c:pt idx="1">
                  <c:v>31.465778560775632</c:v>
                </c:pt>
                <c:pt idx="2">
                  <c:v>34.38005562370946</c:v>
                </c:pt>
                <c:pt idx="3">
                  <c:v>34.782723084681919</c:v>
                </c:pt>
                <c:pt idx="4">
                  <c:v>35.647180155980543</c:v>
                </c:pt>
                <c:pt idx="5">
                  <c:v>27.968597585587641</c:v>
                </c:pt>
                <c:pt idx="6">
                  <c:v>26.279856522108545</c:v>
                </c:pt>
                <c:pt idx="7">
                  <c:v>25.36419844551725</c:v>
                </c:pt>
                <c:pt idx="8">
                  <c:v>26.976503372009685</c:v>
                </c:pt>
                <c:pt idx="9">
                  <c:v>26.136674210561551</c:v>
                </c:pt>
                <c:pt idx="10">
                  <c:v>23.728810788932098</c:v>
                </c:pt>
                <c:pt idx="11">
                  <c:v>22.636533298956834</c:v>
                </c:pt>
              </c:numCache>
            </c:numRef>
          </c:val>
          <c:smooth val="0"/>
          <c:extLst>
            <c:ext xmlns:c16="http://schemas.microsoft.com/office/drawing/2014/chart" uri="{C3380CC4-5D6E-409C-BE32-E72D297353CC}">
              <c16:uniqueId val="{00000002-D886-4023-A57A-D68B487C60B3}"/>
            </c:ext>
          </c:extLst>
        </c:ser>
        <c:ser>
          <c:idx val="3"/>
          <c:order val="3"/>
          <c:tx>
            <c:strRef>
              <c:f>Sheet3!$A$14</c:f>
              <c:strCache>
                <c:ptCount val="1"/>
                <c:pt idx="0">
                  <c:v>Real estate loans</c:v>
                </c:pt>
              </c:strCache>
            </c:strRef>
          </c:tx>
          <c:spPr>
            <a:ln w="25400" cap="rnd">
              <a:solidFill>
                <a:schemeClr val="accent4"/>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Sheet3!$B$14:$M$14</c:f>
              <c:numCache>
                <c:formatCode>0.0</c:formatCode>
                <c:ptCount val="12"/>
                <c:pt idx="0">
                  <c:v>19.968380364293953</c:v>
                </c:pt>
                <c:pt idx="1">
                  <c:v>18.21543058300016</c:v>
                </c:pt>
                <c:pt idx="2">
                  <c:v>19.320107300407514</c:v>
                </c:pt>
                <c:pt idx="3">
                  <c:v>19.520707586927095</c:v>
                </c:pt>
                <c:pt idx="4">
                  <c:v>20.074399695483304</c:v>
                </c:pt>
                <c:pt idx="5">
                  <c:v>19.681551156151173</c:v>
                </c:pt>
                <c:pt idx="6">
                  <c:v>13.768818107375774</c:v>
                </c:pt>
                <c:pt idx="7">
                  <c:v>13.250497503731658</c:v>
                </c:pt>
                <c:pt idx="8">
                  <c:v>13.674358396570591</c:v>
                </c:pt>
                <c:pt idx="9">
                  <c:v>12.879141148829437</c:v>
                </c:pt>
                <c:pt idx="10">
                  <c:v>11.281219776964615</c:v>
                </c:pt>
                <c:pt idx="11">
                  <c:v>10.458547253821161</c:v>
                </c:pt>
              </c:numCache>
            </c:numRef>
          </c:val>
          <c:smooth val="0"/>
          <c:extLst>
            <c:ext xmlns:c16="http://schemas.microsoft.com/office/drawing/2014/chart" uri="{C3380CC4-5D6E-409C-BE32-E72D297353CC}">
              <c16:uniqueId val="{00000003-D886-4023-A57A-D68B487C60B3}"/>
            </c:ext>
          </c:extLst>
        </c:ser>
        <c:ser>
          <c:idx val="4"/>
          <c:order val="4"/>
          <c:tx>
            <c:strRef>
              <c:f>Sheet3!$A$15</c:f>
              <c:strCache>
                <c:ptCount val="1"/>
                <c:pt idx="0">
                  <c:v>Financial Service</c:v>
                </c:pt>
              </c:strCache>
            </c:strRef>
          </c:tx>
          <c:spPr>
            <a:ln w="31750" cap="rnd">
              <a:solidFill>
                <a:schemeClr val="accent5"/>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Sheet3!$B$15:$M$15</c:f>
              <c:numCache>
                <c:formatCode>0.0</c:formatCode>
                <c:ptCount val="12"/>
                <c:pt idx="0">
                  <c:v>15.39975653580165</c:v>
                </c:pt>
                <c:pt idx="1">
                  <c:v>9.5263007309988676</c:v>
                </c:pt>
                <c:pt idx="2">
                  <c:v>5.7419383094449952</c:v>
                </c:pt>
                <c:pt idx="3">
                  <c:v>4.7981144735931878</c:v>
                </c:pt>
                <c:pt idx="4">
                  <c:v>2.3893563487063796</c:v>
                </c:pt>
                <c:pt idx="5">
                  <c:v>2.4372136830463709</c:v>
                </c:pt>
                <c:pt idx="6">
                  <c:v>5.1837595924186441</c:v>
                </c:pt>
                <c:pt idx="7">
                  <c:v>6.7292236033970623</c:v>
                </c:pt>
                <c:pt idx="8">
                  <c:v>2.9373813041752319</c:v>
                </c:pt>
                <c:pt idx="9">
                  <c:v>0.15522299029579936</c:v>
                </c:pt>
                <c:pt idx="10">
                  <c:v>0</c:v>
                </c:pt>
                <c:pt idx="11">
                  <c:v>0.14197131151477441</c:v>
                </c:pt>
              </c:numCache>
            </c:numRef>
          </c:val>
          <c:smooth val="0"/>
          <c:extLst>
            <c:ext xmlns:c16="http://schemas.microsoft.com/office/drawing/2014/chart" uri="{C3380CC4-5D6E-409C-BE32-E72D297353CC}">
              <c16:uniqueId val="{00000004-D886-4023-A57A-D68B487C60B3}"/>
            </c:ext>
          </c:extLst>
        </c:ser>
        <c:ser>
          <c:idx val="5"/>
          <c:order val="5"/>
          <c:tx>
            <c:strRef>
              <c:f>Sheet3!$A$16</c:f>
              <c:strCache>
                <c:ptCount val="1"/>
                <c:pt idx="0">
                  <c:v>Personal/Household</c:v>
                </c:pt>
              </c:strCache>
            </c:strRef>
          </c:tx>
          <c:spPr>
            <a:ln w="31750" cap="rnd">
              <a:solidFill>
                <a:schemeClr val="accent6"/>
              </a:solidFill>
              <a:round/>
            </a:ln>
            <a:effectLst/>
          </c:spPr>
          <c:marker>
            <c:symbol val="none"/>
          </c:marker>
          <c:cat>
            <c:numRef>
              <c:f>Sheet3!$B$10:$M$10</c:f>
              <c:numCache>
                <c:formatCode>mmm\-yy</c:formatCode>
                <c:ptCount val="12"/>
                <c:pt idx="0">
                  <c:v>43160</c:v>
                </c:pt>
                <c:pt idx="1">
                  <c:v>43252</c:v>
                </c:pt>
                <c:pt idx="2">
                  <c:v>43344</c:v>
                </c:pt>
                <c:pt idx="3">
                  <c:v>43435</c:v>
                </c:pt>
                <c:pt idx="4">
                  <c:v>43525</c:v>
                </c:pt>
                <c:pt idx="5">
                  <c:v>43617</c:v>
                </c:pt>
                <c:pt idx="6">
                  <c:v>43709</c:v>
                </c:pt>
                <c:pt idx="7">
                  <c:v>43800</c:v>
                </c:pt>
                <c:pt idx="8">
                  <c:v>43891</c:v>
                </c:pt>
                <c:pt idx="9">
                  <c:v>43983</c:v>
                </c:pt>
                <c:pt idx="10">
                  <c:v>44075</c:v>
                </c:pt>
                <c:pt idx="11">
                  <c:v>44166</c:v>
                </c:pt>
              </c:numCache>
            </c:numRef>
          </c:cat>
          <c:val>
            <c:numRef>
              <c:f>Sheet3!$B$16:$M$16</c:f>
              <c:numCache>
                <c:formatCode>0.0</c:formatCode>
                <c:ptCount val="12"/>
                <c:pt idx="0">
                  <c:v>4.4174416992279566</c:v>
                </c:pt>
                <c:pt idx="1">
                  <c:v>8.012218622629705</c:v>
                </c:pt>
                <c:pt idx="2">
                  <c:v>8.4987734653615412</c:v>
                </c:pt>
                <c:pt idx="3">
                  <c:v>9.9564966918182733</c:v>
                </c:pt>
                <c:pt idx="4">
                  <c:v>10.384781967576437</c:v>
                </c:pt>
                <c:pt idx="5">
                  <c:v>10.904044780008419</c:v>
                </c:pt>
                <c:pt idx="6">
                  <c:v>11.95682846757197</c:v>
                </c:pt>
                <c:pt idx="7">
                  <c:v>11.598491299201132</c:v>
                </c:pt>
                <c:pt idx="8">
                  <c:v>12.160834585785073</c:v>
                </c:pt>
                <c:pt idx="9">
                  <c:v>12.492797696615305</c:v>
                </c:pt>
                <c:pt idx="10">
                  <c:v>12.385018793431827</c:v>
                </c:pt>
                <c:pt idx="11">
                  <c:v>13.013140259624507</c:v>
                </c:pt>
              </c:numCache>
            </c:numRef>
          </c:val>
          <c:smooth val="0"/>
          <c:extLst>
            <c:ext xmlns:c16="http://schemas.microsoft.com/office/drawing/2014/chart" uri="{C3380CC4-5D6E-409C-BE32-E72D297353CC}">
              <c16:uniqueId val="{00000005-D886-4023-A57A-D68B487C60B3}"/>
            </c:ext>
          </c:extLst>
        </c:ser>
        <c:dLbls>
          <c:showLegendKey val="0"/>
          <c:showVal val="0"/>
          <c:showCatName val="0"/>
          <c:showSerName val="0"/>
          <c:showPercent val="0"/>
          <c:showBubbleSize val="0"/>
        </c:dLbls>
        <c:smooth val="0"/>
        <c:axId val="763803888"/>
        <c:axId val="600907088"/>
      </c:lineChart>
      <c:dateAx>
        <c:axId val="763803888"/>
        <c:scaling>
          <c:orientation val="minMax"/>
        </c:scaling>
        <c:delete val="0"/>
        <c:axPos val="b"/>
        <c:numFmt formatCode="mmm\-yy" sourceLinked="1"/>
        <c:majorTickMark val="out"/>
        <c:minorTickMark val="none"/>
        <c:tickLblPos val="nextTo"/>
        <c:spPr>
          <a:noFill/>
          <a:ln w="635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907088"/>
        <c:crosses val="autoZero"/>
        <c:auto val="1"/>
        <c:lblOffset val="100"/>
        <c:baseTimeUnit val="months"/>
        <c:majorUnit val="1"/>
        <c:majorTimeUnit val="months"/>
      </c:dateAx>
      <c:valAx>
        <c:axId val="600907088"/>
        <c:scaling>
          <c:orientation val="minMax"/>
        </c:scaling>
        <c:delete val="0"/>
        <c:axPos val="l"/>
        <c:numFmt formatCode="0" sourceLinked="0"/>
        <c:majorTickMark val="out"/>
        <c:minorTickMark val="none"/>
        <c:tickLblPos val="nextTo"/>
        <c:spPr>
          <a:noFill/>
          <a:ln w="6350">
            <a:solidFill>
              <a:srgbClr val="A5A5A5"/>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3803888"/>
        <c:crosses val="autoZero"/>
        <c:crossBetween val="between"/>
      </c:valAx>
      <c:spPr>
        <a:noFill/>
        <a:ln>
          <a:noFill/>
        </a:ln>
        <a:effectLst/>
      </c:spPr>
    </c:plotArea>
    <c:legend>
      <c:legendPos val="b"/>
      <c:layout>
        <c:manualLayout>
          <c:xMode val="edge"/>
          <c:yMode val="edge"/>
          <c:x val="5.8038369246723169E-2"/>
          <c:y val="0.88532626367762124"/>
          <c:w val="0.90229998432431768"/>
          <c:h val="0.10160171887227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 Changes in CPI (Mogadishu, Percent)</a:t>
            </a:r>
          </a:p>
        </c:rich>
      </c:tx>
      <c:layout>
        <c:manualLayout>
          <c:xMode val="edge"/>
          <c:yMode val="edge"/>
          <c:x val="0.12664141414141414"/>
          <c:y val="6.3653723742838958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854051308102616E-2"/>
          <c:y val="9.403659838510002E-2"/>
          <c:w val="0.91475885191770379"/>
          <c:h val="0.75354430950746054"/>
        </c:manualLayout>
      </c:layout>
      <c:lineChart>
        <c:grouping val="standard"/>
        <c:varyColors val="0"/>
        <c:ser>
          <c:idx val="0"/>
          <c:order val="0"/>
          <c:tx>
            <c:strRef>
              <c:f>'Inflation-Mog SL PSS'!$H$2</c:f>
              <c:strCache>
                <c:ptCount val="1"/>
                <c:pt idx="0">
                  <c:v>Overall</c:v>
                </c:pt>
              </c:strCache>
            </c:strRef>
          </c:tx>
          <c:spPr>
            <a:ln w="28575" cap="rnd">
              <a:solidFill>
                <a:schemeClr val="accent1"/>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PSS'!$H$3:$H$29</c:f>
              <c:numCache>
                <c:formatCode>General</c:formatCode>
                <c:ptCount val="27"/>
                <c:pt idx="0">
                  <c:v>3.2</c:v>
                </c:pt>
                <c:pt idx="1">
                  <c:v>3.1</c:v>
                </c:pt>
                <c:pt idx="2">
                  <c:v>3.2</c:v>
                </c:pt>
                <c:pt idx="3">
                  <c:v>5.7</c:v>
                </c:pt>
                <c:pt idx="4">
                  <c:v>5.9</c:v>
                </c:pt>
                <c:pt idx="5">
                  <c:v>6.6</c:v>
                </c:pt>
                <c:pt idx="6">
                  <c:v>6.8</c:v>
                </c:pt>
                <c:pt idx="7">
                  <c:v>5.8</c:v>
                </c:pt>
                <c:pt idx="8">
                  <c:v>5.2</c:v>
                </c:pt>
                <c:pt idx="9">
                  <c:v>4.2</c:v>
                </c:pt>
                <c:pt idx="10">
                  <c:v>3.8</c:v>
                </c:pt>
                <c:pt idx="11">
                  <c:v>3.1</c:v>
                </c:pt>
                <c:pt idx="12">
                  <c:v>3.2</c:v>
                </c:pt>
                <c:pt idx="13">
                  <c:v>3.1</c:v>
                </c:pt>
                <c:pt idx="14">
                  <c:v>5.2</c:v>
                </c:pt>
                <c:pt idx="15">
                  <c:v>4.3</c:v>
                </c:pt>
                <c:pt idx="16">
                  <c:v>4.2</c:v>
                </c:pt>
                <c:pt idx="17">
                  <c:v>4.3</c:v>
                </c:pt>
                <c:pt idx="18">
                  <c:v>4.09</c:v>
                </c:pt>
                <c:pt idx="19">
                  <c:v>4.05</c:v>
                </c:pt>
                <c:pt idx="20">
                  <c:v>3.93</c:v>
                </c:pt>
                <c:pt idx="21">
                  <c:v>3.75</c:v>
                </c:pt>
                <c:pt idx="22">
                  <c:v>4.37</c:v>
                </c:pt>
                <c:pt idx="23">
                  <c:v>4.84</c:v>
                </c:pt>
                <c:pt idx="24">
                  <c:v>5</c:v>
                </c:pt>
                <c:pt idx="25">
                  <c:v>5.03</c:v>
                </c:pt>
                <c:pt idx="26">
                  <c:v>5.08</c:v>
                </c:pt>
              </c:numCache>
            </c:numRef>
          </c:val>
          <c:smooth val="0"/>
          <c:extLst>
            <c:ext xmlns:c16="http://schemas.microsoft.com/office/drawing/2014/chart" uri="{C3380CC4-5D6E-409C-BE32-E72D297353CC}">
              <c16:uniqueId val="{00000000-F030-4157-9257-33AD61D74CDE}"/>
            </c:ext>
          </c:extLst>
        </c:ser>
        <c:ser>
          <c:idx val="1"/>
          <c:order val="1"/>
          <c:tx>
            <c:strRef>
              <c:f>'Inflation-Mog SL PSS'!$I$2</c:f>
              <c:strCache>
                <c:ptCount val="1"/>
                <c:pt idx="0">
                  <c:v>Food</c:v>
                </c:pt>
              </c:strCache>
            </c:strRef>
          </c:tx>
          <c:spPr>
            <a:ln w="28575" cap="rnd">
              <a:solidFill>
                <a:schemeClr val="accent2"/>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PSS'!$I$3:$I$29</c:f>
              <c:numCache>
                <c:formatCode>General</c:formatCode>
                <c:ptCount val="27"/>
                <c:pt idx="0">
                  <c:v>4.5999999999999996</c:v>
                </c:pt>
                <c:pt idx="1">
                  <c:v>1.7</c:v>
                </c:pt>
                <c:pt idx="2">
                  <c:v>1</c:v>
                </c:pt>
                <c:pt idx="3">
                  <c:v>5.6</c:v>
                </c:pt>
                <c:pt idx="4">
                  <c:v>7.2</c:v>
                </c:pt>
                <c:pt idx="5">
                  <c:v>10.6</c:v>
                </c:pt>
                <c:pt idx="6">
                  <c:v>9.8000000000000007</c:v>
                </c:pt>
                <c:pt idx="7">
                  <c:v>7.2</c:v>
                </c:pt>
                <c:pt idx="8">
                  <c:v>8.1</c:v>
                </c:pt>
                <c:pt idx="9">
                  <c:v>7.6</c:v>
                </c:pt>
                <c:pt idx="10">
                  <c:v>6.6</c:v>
                </c:pt>
                <c:pt idx="11">
                  <c:v>3.8</c:v>
                </c:pt>
                <c:pt idx="12">
                  <c:v>3.9</c:v>
                </c:pt>
                <c:pt idx="13">
                  <c:v>6.4</c:v>
                </c:pt>
                <c:pt idx="14">
                  <c:v>10.8</c:v>
                </c:pt>
                <c:pt idx="15">
                  <c:v>8.1</c:v>
                </c:pt>
                <c:pt idx="16">
                  <c:v>5.5</c:v>
                </c:pt>
                <c:pt idx="17">
                  <c:v>1.8</c:v>
                </c:pt>
                <c:pt idx="18">
                  <c:v>-1.74</c:v>
                </c:pt>
                <c:pt idx="19">
                  <c:v>-2.21</c:v>
                </c:pt>
                <c:pt idx="20">
                  <c:v>-3.11</c:v>
                </c:pt>
                <c:pt idx="21">
                  <c:v>-3.38</c:v>
                </c:pt>
                <c:pt idx="22">
                  <c:v>-2.44</c:v>
                </c:pt>
                <c:pt idx="23">
                  <c:v>1.18</c:v>
                </c:pt>
                <c:pt idx="24">
                  <c:v>1.18</c:v>
                </c:pt>
                <c:pt idx="25">
                  <c:v>0.01</c:v>
                </c:pt>
                <c:pt idx="26">
                  <c:v>-0.3</c:v>
                </c:pt>
              </c:numCache>
            </c:numRef>
          </c:val>
          <c:smooth val="0"/>
          <c:extLst>
            <c:ext xmlns:c16="http://schemas.microsoft.com/office/drawing/2014/chart" uri="{C3380CC4-5D6E-409C-BE32-E72D297353CC}">
              <c16:uniqueId val="{00000001-F030-4157-9257-33AD61D74CDE}"/>
            </c:ext>
          </c:extLst>
        </c:ser>
        <c:dLbls>
          <c:showLegendKey val="0"/>
          <c:showVal val="0"/>
          <c:showCatName val="0"/>
          <c:showSerName val="0"/>
          <c:showPercent val="0"/>
          <c:showBubbleSize val="0"/>
        </c:dLbls>
        <c:smooth val="0"/>
        <c:axId val="1472591952"/>
        <c:axId val="1094987056"/>
      </c:lineChart>
      <c:dateAx>
        <c:axId val="1472591952"/>
        <c:scaling>
          <c:orientation val="minMax"/>
        </c:scaling>
        <c:delete val="0"/>
        <c:axPos val="b"/>
        <c:numFmt formatCode="mmm\-yy" sourceLinked="1"/>
        <c:majorTickMark val="out"/>
        <c:minorTickMark val="none"/>
        <c:tickLblPos val="low"/>
        <c:spPr>
          <a:noFill/>
          <a:ln w="635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ln w="6350">
                  <a:solidFill>
                    <a:srgbClr val="A5A5A5"/>
                  </a:solidFill>
                </a:ln>
                <a:solidFill>
                  <a:schemeClr val="tx1">
                    <a:lumMod val="65000"/>
                    <a:lumOff val="35000"/>
                  </a:schemeClr>
                </a:solidFill>
                <a:latin typeface="+mn-lt"/>
                <a:ea typeface="+mn-ea"/>
                <a:cs typeface="+mn-cs"/>
              </a:defRPr>
            </a:pPr>
            <a:endParaRPr lang="en-US"/>
          </a:p>
        </c:txPr>
        <c:crossAx val="1094987056"/>
        <c:crosses val="autoZero"/>
        <c:auto val="1"/>
        <c:lblOffset val="100"/>
        <c:baseTimeUnit val="months"/>
      </c:dateAx>
      <c:valAx>
        <c:axId val="1094987056"/>
        <c:scaling>
          <c:orientation val="minMax"/>
          <c:min val="-6"/>
        </c:scaling>
        <c:delete val="0"/>
        <c:axPos val="l"/>
        <c:numFmt formatCode="General" sourceLinked="1"/>
        <c:majorTickMark val="none"/>
        <c:minorTickMark val="none"/>
        <c:tickLblPos val="nextTo"/>
        <c:spPr>
          <a:noFill/>
          <a:ln w="6350">
            <a:solidFill>
              <a:srgbClr val="A5A5A5"/>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72591952"/>
        <c:crosses val="autoZero"/>
        <c:crossBetween val="between"/>
        <c:majorUnit val="3"/>
      </c:valAx>
      <c:spPr>
        <a:noFill/>
        <a:ln>
          <a:noFill/>
        </a:ln>
        <a:effectLst/>
      </c:spPr>
    </c:plotArea>
    <c:legend>
      <c:legendPos val="b"/>
      <c:layout>
        <c:manualLayout>
          <c:xMode val="edge"/>
          <c:yMode val="edge"/>
          <c:x val="9.7456851984411036E-2"/>
          <c:y val="0.72908768280535718"/>
          <c:w val="0.74862950369840131"/>
          <c:h val="7.620918511734614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b. Changes in CPI (Puntland, Percent)</a:t>
            </a:r>
          </a:p>
        </c:rich>
      </c:tx>
      <c:layout>
        <c:manualLayout>
          <c:xMode val="edge"/>
          <c:yMode val="edge"/>
          <c:x val="0.1368953529794735"/>
          <c:y val="1.2936610608020699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496882537974743E-2"/>
          <c:y val="0.14887594096016135"/>
          <c:w val="0.90929716345118483"/>
          <c:h val="0.69624023387762168"/>
        </c:manualLayout>
      </c:layout>
      <c:lineChart>
        <c:grouping val="standard"/>
        <c:varyColors val="0"/>
        <c:ser>
          <c:idx val="0"/>
          <c:order val="0"/>
          <c:tx>
            <c:strRef>
              <c:f>'Inflation-Mog SL PSS'!$D$2</c:f>
              <c:strCache>
                <c:ptCount val="1"/>
                <c:pt idx="0">
                  <c:v>Overall</c:v>
                </c:pt>
              </c:strCache>
            </c:strRef>
          </c:tx>
          <c:spPr>
            <a:ln w="28575" cap="rnd">
              <a:solidFill>
                <a:schemeClr val="accent1"/>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PSS'!$D$3:$D$29</c:f>
              <c:numCache>
                <c:formatCode>General</c:formatCode>
                <c:ptCount val="27"/>
                <c:pt idx="0">
                  <c:v>4.2</c:v>
                </c:pt>
                <c:pt idx="1">
                  <c:v>10.6</c:v>
                </c:pt>
                <c:pt idx="2">
                  <c:v>3</c:v>
                </c:pt>
                <c:pt idx="3">
                  <c:v>-2.2000000000000002</c:v>
                </c:pt>
                <c:pt idx="4">
                  <c:v>2.2000000000000002</c:v>
                </c:pt>
                <c:pt idx="5">
                  <c:v>7.8</c:v>
                </c:pt>
                <c:pt idx="6">
                  <c:v>8.8000000000000007</c:v>
                </c:pt>
                <c:pt idx="7">
                  <c:v>11.9</c:v>
                </c:pt>
                <c:pt idx="8">
                  <c:v>11.9</c:v>
                </c:pt>
                <c:pt idx="9">
                  <c:v>14.6</c:v>
                </c:pt>
                <c:pt idx="10">
                  <c:v>13.5</c:v>
                </c:pt>
                <c:pt idx="11">
                  <c:v>12.29</c:v>
                </c:pt>
                <c:pt idx="12">
                  <c:v>9.14</c:v>
                </c:pt>
                <c:pt idx="13">
                  <c:v>9.35</c:v>
                </c:pt>
                <c:pt idx="14">
                  <c:v>6.91</c:v>
                </c:pt>
                <c:pt idx="15">
                  <c:v>5.08</c:v>
                </c:pt>
                <c:pt idx="16">
                  <c:v>3.91</c:v>
                </c:pt>
                <c:pt idx="17">
                  <c:v>4.8</c:v>
                </c:pt>
                <c:pt idx="18">
                  <c:v>6.5</c:v>
                </c:pt>
                <c:pt idx="19">
                  <c:v>6.31</c:v>
                </c:pt>
                <c:pt idx="20">
                  <c:v>5.57</c:v>
                </c:pt>
                <c:pt idx="21">
                  <c:v>5.53</c:v>
                </c:pt>
                <c:pt idx="22">
                  <c:v>6.17</c:v>
                </c:pt>
                <c:pt idx="23">
                  <c:v>6.22</c:v>
                </c:pt>
                <c:pt idx="24">
                  <c:v>5.54</c:v>
                </c:pt>
                <c:pt idx="25">
                  <c:v>2.88</c:v>
                </c:pt>
                <c:pt idx="26">
                  <c:v>2.11</c:v>
                </c:pt>
              </c:numCache>
            </c:numRef>
          </c:val>
          <c:smooth val="0"/>
          <c:extLst>
            <c:ext xmlns:c16="http://schemas.microsoft.com/office/drawing/2014/chart" uri="{C3380CC4-5D6E-409C-BE32-E72D297353CC}">
              <c16:uniqueId val="{00000000-4CC6-4DE4-A4E0-54F21A6F7681}"/>
            </c:ext>
          </c:extLst>
        </c:ser>
        <c:ser>
          <c:idx val="1"/>
          <c:order val="1"/>
          <c:tx>
            <c:strRef>
              <c:f>'Inflation-Mog SL PSS'!$E$2</c:f>
              <c:strCache>
                <c:ptCount val="1"/>
                <c:pt idx="0">
                  <c:v>Food</c:v>
                </c:pt>
              </c:strCache>
            </c:strRef>
          </c:tx>
          <c:spPr>
            <a:ln w="28575" cap="rnd">
              <a:solidFill>
                <a:schemeClr val="accent2"/>
              </a:solidFill>
              <a:round/>
            </a:ln>
            <a:effectLst/>
          </c:spPr>
          <c:marker>
            <c:symbol val="none"/>
          </c:marker>
          <c:cat>
            <c:numRef>
              <c:f>'Inflation-Mog SL PSS'!$C$3:$C$29</c:f>
              <c:numCache>
                <c:formatCode>mmm\-yy</c:formatCode>
                <c:ptCount val="2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numCache>
            </c:numRef>
          </c:cat>
          <c:val>
            <c:numRef>
              <c:f>'Inflation-Mog SL PSS'!$E$3:$E$29</c:f>
              <c:numCache>
                <c:formatCode>General</c:formatCode>
                <c:ptCount val="27"/>
                <c:pt idx="0">
                  <c:v>-3.2</c:v>
                </c:pt>
                <c:pt idx="1">
                  <c:v>3.9</c:v>
                </c:pt>
                <c:pt idx="2">
                  <c:v>0.8</c:v>
                </c:pt>
                <c:pt idx="3">
                  <c:v>-5.5</c:v>
                </c:pt>
                <c:pt idx="4">
                  <c:v>1.2</c:v>
                </c:pt>
                <c:pt idx="5">
                  <c:v>3.9</c:v>
                </c:pt>
                <c:pt idx="6">
                  <c:v>6.9</c:v>
                </c:pt>
                <c:pt idx="7">
                  <c:v>8.1</c:v>
                </c:pt>
                <c:pt idx="8">
                  <c:v>11.1</c:v>
                </c:pt>
                <c:pt idx="9">
                  <c:v>12.8</c:v>
                </c:pt>
                <c:pt idx="10">
                  <c:v>12</c:v>
                </c:pt>
                <c:pt idx="11">
                  <c:v>9.6999999999999993</c:v>
                </c:pt>
                <c:pt idx="12">
                  <c:v>6.92</c:v>
                </c:pt>
                <c:pt idx="13">
                  <c:v>7.22</c:v>
                </c:pt>
                <c:pt idx="14">
                  <c:v>4.92</c:v>
                </c:pt>
                <c:pt idx="15">
                  <c:v>3.04</c:v>
                </c:pt>
                <c:pt idx="16">
                  <c:v>2.02</c:v>
                </c:pt>
                <c:pt idx="17">
                  <c:v>4.16</c:v>
                </c:pt>
                <c:pt idx="18">
                  <c:v>7.13</c:v>
                </c:pt>
                <c:pt idx="19">
                  <c:v>8.02</c:v>
                </c:pt>
                <c:pt idx="20">
                  <c:v>5.81</c:v>
                </c:pt>
                <c:pt idx="21">
                  <c:v>5.31</c:v>
                </c:pt>
                <c:pt idx="22">
                  <c:v>5.97</c:v>
                </c:pt>
                <c:pt idx="23">
                  <c:v>7.04</c:v>
                </c:pt>
                <c:pt idx="24">
                  <c:v>5.15</c:v>
                </c:pt>
                <c:pt idx="25">
                  <c:v>1.52</c:v>
                </c:pt>
                <c:pt idx="26">
                  <c:v>0.13</c:v>
                </c:pt>
              </c:numCache>
            </c:numRef>
          </c:val>
          <c:smooth val="0"/>
          <c:extLst>
            <c:ext xmlns:c16="http://schemas.microsoft.com/office/drawing/2014/chart" uri="{C3380CC4-5D6E-409C-BE32-E72D297353CC}">
              <c16:uniqueId val="{00000001-4CC6-4DE4-A4E0-54F21A6F7681}"/>
            </c:ext>
          </c:extLst>
        </c:ser>
        <c:dLbls>
          <c:showLegendKey val="0"/>
          <c:showVal val="0"/>
          <c:showCatName val="0"/>
          <c:showSerName val="0"/>
          <c:showPercent val="0"/>
          <c:showBubbleSize val="0"/>
        </c:dLbls>
        <c:smooth val="0"/>
        <c:axId val="993877456"/>
        <c:axId val="1171299200"/>
      </c:lineChart>
      <c:dateAx>
        <c:axId val="993877456"/>
        <c:scaling>
          <c:orientation val="minMax"/>
        </c:scaling>
        <c:delete val="0"/>
        <c:axPos val="b"/>
        <c:numFmt formatCode="mmm\-yy" sourceLinked="1"/>
        <c:majorTickMark val="out"/>
        <c:minorTickMark val="none"/>
        <c:tickLblPos val="low"/>
        <c:spPr>
          <a:noFill/>
          <a:ln w="6350" cap="flat" cmpd="sng" algn="ctr">
            <a:solidFill>
              <a:srgbClr val="A5A5A5"/>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171299200"/>
        <c:crosses val="autoZero"/>
        <c:auto val="1"/>
        <c:lblOffset val="100"/>
        <c:baseTimeUnit val="months"/>
      </c:dateAx>
      <c:valAx>
        <c:axId val="1171299200"/>
        <c:scaling>
          <c:orientation val="minMax"/>
          <c:max val="16"/>
          <c:min val="-6"/>
        </c:scaling>
        <c:delete val="0"/>
        <c:axPos val="l"/>
        <c:numFmt formatCode="General" sourceLinked="1"/>
        <c:majorTickMark val="none"/>
        <c:minorTickMark val="none"/>
        <c:tickLblPos val="nextTo"/>
        <c:spPr>
          <a:noFill/>
          <a:ln w="6350">
            <a:solidFill>
              <a:srgbClr val="A5A5A5"/>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93877456"/>
        <c:crosses val="autoZero"/>
        <c:crossBetween val="between"/>
        <c:majorUnit val="4"/>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4213318378513565"/>
          <c:y val="0.71095129704772708"/>
          <c:w val="0.70333073139678526"/>
          <c:h val="5.85694139173113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Simplified!$A$37:$A$42</cx:f>
        <cx:lvl ptCount="6">
          <cx:pt idx="0">Communicable diseases</cx:pt>
          <cx:pt idx="1">Maternal and neonatal disorders</cx:pt>
          <cx:pt idx="2">NCDs</cx:pt>
          <cx:pt idx="3">Injuries</cx:pt>
          <cx:pt idx="4">Nutritional deficiencies</cx:pt>
          <cx:pt idx="5">Other NCDs</cx:pt>
        </cx:lvl>
      </cx:strDim>
      <cx:numDim type="size">
        <cx:f>Simplified!$B$37:$B$42</cx:f>
        <cx:lvl ptCount="6" formatCode="0%">
          <cx:pt idx="0">0.47395122130236</cx:pt>
          <cx:pt idx="1">0.15141669683560899</cx:pt>
          <cx:pt idx="2">0.17870310708136036</cx:pt>
          <cx:pt idx="3">0.079194803972203104</cx:pt>
          <cx:pt idx="4">0.062805017616863607</cx:pt>
          <cx:pt idx="5">0.053929153191601902</cx:pt>
        </cx:lvl>
      </cx:numDim>
    </cx:data>
  </cx:chartData>
  <cx:chart>
    <cx:plotArea>
      <cx:plotAreaRegion>
        <cx:series layoutId="sunburst" uniqueId="{E86826DF-CF80-4247-B7EB-ED500C5D6D08}">
          <cx:dataPt idx="0"/>
          <cx:dataPt idx="1"/>
          <cx:dataPt idx="2"/>
          <cx:dataPt idx="4">
            <cx:spPr>
              <a:solidFill>
                <a:srgbClr val="44546A">
                  <a:lumMod val="75000"/>
                </a:srgbClr>
              </a:solidFill>
            </cx:spPr>
          </cx:dataPt>
          <cx:dataPt idx="5"/>
          <cx:dataLabels pos="ctr">
            <cx:txPr>
              <a:bodyPr spcFirstLastPara="1" vertOverflow="ellipsis" horzOverflow="overflow" wrap="square" lIns="0" tIns="0" rIns="0" bIns="0" anchor="ctr" anchorCtr="1"/>
              <a:lstStyle/>
              <a:p>
                <a:pPr algn="ctr" rtl="0">
                  <a:defRPr sz="1000"/>
                </a:pPr>
                <a:endParaRPr lang="en-US" sz="1000" b="0" i="0" u="none" strike="noStrike" baseline="0">
                  <a:solidFill>
                    <a:sysClr val="window" lastClr="FFFFFF"/>
                  </a:solidFill>
                  <a:latin typeface="Calibri" panose="020F0502020204030204"/>
                </a:endParaRPr>
              </a:p>
            </cx:txPr>
            <cx:visibility seriesName="0" categoryName="0" value="1"/>
            <cx:dataLabel idx="0">
              <cx:txPr>
                <a:bodyPr spcFirstLastPara="1" vertOverflow="ellipsis" horzOverflow="overflow" wrap="square" lIns="0" tIns="0" rIns="0" bIns="0" anchor="ctr" anchorCtr="1"/>
                <a:lstStyle/>
                <a:p>
                  <a:pPr algn="ctr" rtl="0">
                    <a:defRPr sz="1400"/>
                  </a:pPr>
                  <a:r>
                    <a:rPr lang="en-US" sz="1400" b="0" i="0" u="none" strike="noStrike" baseline="0">
                      <a:solidFill>
                        <a:sysClr val="window" lastClr="FFFFFF"/>
                      </a:solidFill>
                      <a:latin typeface="Calibri" panose="020F0502020204030204"/>
                    </a:rPr>
                    <a:t>47%</a:t>
                  </a:r>
                </a:p>
              </cx:txPr>
              <cx:visibility seriesName="0" categoryName="0" value="1"/>
            </cx:dataLabel>
          </cx:dataLabels>
          <cx:dataId val="0"/>
        </cx:series>
      </cx:plotAreaRegion>
    </cx:plotArea>
    <cx:legend pos="r" align="ctr" overlay="0">
      <cx:txPr>
        <a:bodyPr spcFirstLastPara="1" vertOverflow="ellipsis" horzOverflow="overflow" wrap="square" lIns="0" tIns="0" rIns="0" bIns="0" anchor="ctr" anchorCtr="1"/>
        <a:lstStyle/>
        <a:p>
          <a:pPr algn="ctr" rtl="0">
            <a:defRPr/>
          </a:pPr>
          <a:endParaRPr lang="en-US" sz="900" b="0" i="0" u="none" strike="noStrike" baseline="0">
            <a:solidFill>
              <a:srgbClr val="44546A"/>
            </a:solidFill>
            <a:latin typeface="Calibri" panose="020F0502020204030204"/>
          </a:endParaRPr>
        </a:p>
      </cx:txPr>
    </cx:legend>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0.57951</cdr:x>
      <cdr:y>0.09812</cdr:y>
    </cdr:from>
    <cdr:to>
      <cdr:x>0.57951</cdr:x>
      <cdr:y>0.84493</cdr:y>
    </cdr:to>
    <cdr:cxnSp macro="">
      <cdr:nvCxnSpPr>
        <cdr:cNvPr id="6" name="Straight Connector 5">
          <a:extLst xmlns:a="http://schemas.openxmlformats.org/drawingml/2006/main">
            <a:ext uri="{FF2B5EF4-FFF2-40B4-BE49-F238E27FC236}">
              <a16:creationId xmlns:a16="http://schemas.microsoft.com/office/drawing/2014/main" id="{B82663E9-C1F0-4E60-98BE-5C0EF42FD68F}"/>
            </a:ext>
          </a:extLst>
        </cdr:cNvPr>
        <cdr:cNvCxnSpPr/>
      </cdr:nvCxnSpPr>
      <cdr:spPr>
        <a:xfrm xmlns:a="http://schemas.openxmlformats.org/drawingml/2006/main">
          <a:off x="3405001" y="413468"/>
          <a:ext cx="0" cy="3146967"/>
        </a:xfrm>
        <a:prstGeom xmlns:a="http://schemas.openxmlformats.org/drawingml/2006/main" prst="line">
          <a:avLst/>
        </a:prstGeom>
        <a:ln xmlns:a="http://schemas.openxmlformats.org/drawingml/2006/main" w="19050">
          <a:solidFill>
            <a:schemeClr val="accent5"/>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0.84102</cdr:x>
      <cdr:y>0.10307</cdr:y>
    </cdr:from>
    <cdr:to>
      <cdr:x>0.84102</cdr:x>
      <cdr:y>0.84865</cdr:y>
    </cdr:to>
    <cdr:cxnSp macro="">
      <cdr:nvCxnSpPr>
        <cdr:cNvPr id="12" name="Straight Connector 11">
          <a:extLst xmlns:a="http://schemas.openxmlformats.org/drawingml/2006/main">
            <a:ext uri="{FF2B5EF4-FFF2-40B4-BE49-F238E27FC236}">
              <a16:creationId xmlns:a16="http://schemas.microsoft.com/office/drawing/2014/main" id="{B04A26DC-05B1-48AA-8481-D44631ECA16A}"/>
            </a:ext>
          </a:extLst>
        </cdr:cNvPr>
        <cdr:cNvCxnSpPr/>
      </cdr:nvCxnSpPr>
      <cdr:spPr>
        <a:xfrm xmlns:a="http://schemas.openxmlformats.org/drawingml/2006/main">
          <a:off x="4998686" y="441326"/>
          <a:ext cx="0" cy="3192420"/>
        </a:xfrm>
        <a:prstGeom xmlns:a="http://schemas.openxmlformats.org/drawingml/2006/main" prst="line">
          <a:avLst/>
        </a:prstGeom>
        <a:ln xmlns:a="http://schemas.openxmlformats.org/drawingml/2006/main" w="19050">
          <a:solidFill>
            <a:schemeClr val="accent5"/>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0.40119</cdr:x>
      <cdr:y>0.10688</cdr:y>
    </cdr:from>
    <cdr:to>
      <cdr:x>0.40803</cdr:x>
      <cdr:y>0.84679</cdr:y>
    </cdr:to>
    <cdr:cxnSp macro="">
      <cdr:nvCxnSpPr>
        <cdr:cNvPr id="15" name="Straight Connector 14">
          <a:extLst xmlns:a="http://schemas.openxmlformats.org/drawingml/2006/main">
            <a:ext uri="{FF2B5EF4-FFF2-40B4-BE49-F238E27FC236}">
              <a16:creationId xmlns:a16="http://schemas.microsoft.com/office/drawing/2014/main" id="{1EC4BCA3-C384-43BD-B8D3-50119CBDD6AC}"/>
            </a:ext>
          </a:extLst>
        </cdr:cNvPr>
        <cdr:cNvCxnSpPr/>
      </cdr:nvCxnSpPr>
      <cdr:spPr>
        <a:xfrm xmlns:a="http://schemas.openxmlformats.org/drawingml/2006/main">
          <a:off x="2384513" y="457639"/>
          <a:ext cx="40635" cy="3168156"/>
        </a:xfrm>
        <a:prstGeom xmlns:a="http://schemas.openxmlformats.org/drawingml/2006/main" prst="line">
          <a:avLst/>
        </a:prstGeom>
        <a:ln xmlns:a="http://schemas.openxmlformats.org/drawingml/2006/main" w="19050">
          <a:solidFill>
            <a:schemeClr val="accent5"/>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0.13236</cdr:x>
      <cdr:y>0.42005</cdr:y>
    </cdr:from>
    <cdr:to>
      <cdr:x>0.38092</cdr:x>
      <cdr:y>0.5367</cdr:y>
    </cdr:to>
    <cdr:sp macro="" textlink="">
      <cdr:nvSpPr>
        <cdr:cNvPr id="18" name="TextBox 17">
          <a:extLst xmlns:a="http://schemas.openxmlformats.org/drawingml/2006/main">
            <a:ext uri="{FF2B5EF4-FFF2-40B4-BE49-F238E27FC236}">
              <a16:creationId xmlns:a16="http://schemas.microsoft.com/office/drawing/2014/main" id="{5C1B9C2C-AEB6-4A1A-9A60-B356407196C1}"/>
            </a:ext>
          </a:extLst>
        </cdr:cNvPr>
        <cdr:cNvSpPr txBox="1"/>
      </cdr:nvSpPr>
      <cdr:spPr>
        <a:xfrm xmlns:a="http://schemas.openxmlformats.org/drawingml/2006/main">
          <a:off x="777702" y="1730022"/>
          <a:ext cx="1460453" cy="480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solidFill>
                <a:srgbClr val="0070C0"/>
              </a:solidFill>
              <a:latin typeface="+mn-lt"/>
            </a:rPr>
            <a:t>Agreement on the Provisional Constitution</a:t>
          </a:r>
        </a:p>
      </cdr:txBody>
    </cdr:sp>
  </cdr:relSizeAnchor>
  <cdr:relSizeAnchor xmlns:cdr="http://schemas.openxmlformats.org/drawingml/2006/chartDrawing">
    <cdr:from>
      <cdr:x>0.41816</cdr:x>
      <cdr:y>0.36392</cdr:y>
    </cdr:from>
    <cdr:to>
      <cdr:x>0.52926</cdr:x>
      <cdr:y>0.46254</cdr:y>
    </cdr:to>
    <cdr:sp macro="" textlink="">
      <cdr:nvSpPr>
        <cdr:cNvPr id="19" name="TextBox 1">
          <a:extLst xmlns:a="http://schemas.openxmlformats.org/drawingml/2006/main">
            <a:ext uri="{FF2B5EF4-FFF2-40B4-BE49-F238E27FC236}">
              <a16:creationId xmlns:a16="http://schemas.microsoft.com/office/drawing/2014/main" id="{BC4F760B-1B6B-472E-8C3C-1F211AE62797}"/>
            </a:ext>
          </a:extLst>
        </cdr:cNvPr>
        <cdr:cNvSpPr txBox="1"/>
      </cdr:nvSpPr>
      <cdr:spPr>
        <a:xfrm xmlns:a="http://schemas.openxmlformats.org/drawingml/2006/main">
          <a:off x="2456954" y="1533521"/>
          <a:ext cx="652814" cy="415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solidFill>
                <a:srgbClr val="0070C0"/>
              </a:solidFill>
              <a:latin typeface="+mn-lt"/>
            </a:rPr>
            <a:t>Extreme </a:t>
          </a:r>
        </a:p>
        <a:p xmlns:a="http://schemas.openxmlformats.org/drawingml/2006/main">
          <a:pPr algn="ctr"/>
          <a:r>
            <a:rPr lang="en-US" sz="1000">
              <a:solidFill>
                <a:srgbClr val="0070C0"/>
              </a:solidFill>
              <a:latin typeface="+mn-lt"/>
            </a:rPr>
            <a:t>Drought</a:t>
          </a:r>
        </a:p>
      </cdr:txBody>
    </cdr:sp>
  </cdr:relSizeAnchor>
  <cdr:relSizeAnchor xmlns:cdr="http://schemas.openxmlformats.org/drawingml/2006/chartDrawing">
    <cdr:from>
      <cdr:x>0.68852</cdr:x>
      <cdr:y>0.52548</cdr:y>
    </cdr:from>
    <cdr:to>
      <cdr:x>0.80752</cdr:x>
      <cdr:y>0.62409</cdr:y>
    </cdr:to>
    <cdr:sp macro="" textlink="">
      <cdr:nvSpPr>
        <cdr:cNvPr id="20" name="TextBox 1">
          <a:extLst xmlns:a="http://schemas.openxmlformats.org/drawingml/2006/main">
            <a:ext uri="{FF2B5EF4-FFF2-40B4-BE49-F238E27FC236}">
              <a16:creationId xmlns:a16="http://schemas.microsoft.com/office/drawing/2014/main" id="{BC4F760B-1B6B-472E-8C3C-1F211AE62797}"/>
            </a:ext>
          </a:extLst>
        </cdr:cNvPr>
        <cdr:cNvSpPr txBox="1"/>
      </cdr:nvSpPr>
      <cdr:spPr>
        <a:xfrm xmlns:a="http://schemas.openxmlformats.org/drawingml/2006/main">
          <a:off x="4690533" y="2368551"/>
          <a:ext cx="810683" cy="444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solidFill>
                <a:srgbClr val="0070C0"/>
              </a:solidFill>
              <a:latin typeface="+mn-lt"/>
            </a:rPr>
            <a:t>COVID-19</a:t>
          </a:r>
          <a:r>
            <a:rPr lang="en-US" sz="1000" baseline="0">
              <a:solidFill>
                <a:srgbClr val="0070C0"/>
              </a:solidFill>
              <a:latin typeface="+mn-lt"/>
            </a:rPr>
            <a:t> </a:t>
          </a:r>
        </a:p>
        <a:p xmlns:a="http://schemas.openxmlformats.org/drawingml/2006/main">
          <a:pPr algn="ctr"/>
          <a:r>
            <a:rPr lang="en-US" sz="1000" baseline="0">
              <a:solidFill>
                <a:srgbClr val="0070C0"/>
              </a:solidFill>
              <a:latin typeface="+mn-lt"/>
            </a:rPr>
            <a:t>Crisis</a:t>
          </a:r>
          <a:endParaRPr lang="en-US" sz="1000">
            <a:solidFill>
              <a:srgbClr val="0070C0"/>
            </a:solidFill>
            <a:latin typeface="+mn-lt"/>
          </a:endParaRPr>
        </a:p>
      </cdr:txBody>
    </cdr:sp>
  </cdr:relSizeAnchor>
  <cdr:relSizeAnchor xmlns:cdr="http://schemas.openxmlformats.org/drawingml/2006/chartDrawing">
    <cdr:from>
      <cdr:x>0.8407</cdr:x>
      <cdr:y>0.0958</cdr:y>
    </cdr:from>
    <cdr:to>
      <cdr:x>0.9611</cdr:x>
      <cdr:y>0.19442</cdr:y>
    </cdr:to>
    <cdr:sp macro="" textlink="">
      <cdr:nvSpPr>
        <cdr:cNvPr id="21" name="TextBox 1">
          <a:extLst xmlns:a="http://schemas.openxmlformats.org/drawingml/2006/main">
            <a:ext uri="{FF2B5EF4-FFF2-40B4-BE49-F238E27FC236}">
              <a16:creationId xmlns:a16="http://schemas.microsoft.com/office/drawing/2014/main" id="{BC4F760B-1B6B-472E-8C3C-1F211AE62797}"/>
            </a:ext>
          </a:extLst>
        </cdr:cNvPr>
        <cdr:cNvSpPr txBox="1"/>
      </cdr:nvSpPr>
      <cdr:spPr>
        <a:xfrm xmlns:a="http://schemas.openxmlformats.org/drawingml/2006/main">
          <a:off x="5260123" y="431795"/>
          <a:ext cx="753326" cy="4445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solidFill>
                <a:srgbClr val="0070C0"/>
              </a:solidFill>
              <a:latin typeface="+mn-lt"/>
            </a:rPr>
            <a:t>Recovery </a:t>
          </a:r>
        </a:p>
        <a:p xmlns:a="http://schemas.openxmlformats.org/drawingml/2006/main">
          <a:pPr algn="ctr"/>
          <a:r>
            <a:rPr lang="en-US" sz="1000">
              <a:solidFill>
                <a:srgbClr val="0070C0"/>
              </a:solidFill>
              <a:latin typeface="+mn-lt"/>
            </a:rPr>
            <a:t>Forecast</a:t>
          </a:r>
        </a:p>
      </cdr:txBody>
    </cdr:sp>
  </cdr:relSizeAnchor>
</c:userShapes>
</file>

<file path=word/drawings/drawing2.xml><?xml version="1.0" encoding="utf-8"?>
<c:userShapes xmlns:c="http://schemas.openxmlformats.org/drawingml/2006/chart">
  <cdr:relSizeAnchor xmlns:cdr="http://schemas.openxmlformats.org/drawingml/2006/chartDrawing">
    <cdr:from>
      <cdr:x>0.6888</cdr:x>
      <cdr:y>0.0081</cdr:y>
    </cdr:from>
    <cdr:to>
      <cdr:x>0.99753</cdr:x>
      <cdr:y>0.13209</cdr:y>
    </cdr:to>
    <cdr:sp macro="" textlink="">
      <cdr:nvSpPr>
        <cdr:cNvPr id="2" name="TextBox 1">
          <a:extLst xmlns:a="http://schemas.openxmlformats.org/drawingml/2006/main">
            <a:ext uri="{FF2B5EF4-FFF2-40B4-BE49-F238E27FC236}">
              <a16:creationId xmlns:a16="http://schemas.microsoft.com/office/drawing/2014/main" id="{3C20AB6B-32AA-406B-9819-8C07F29D4697}"/>
            </a:ext>
          </a:extLst>
        </cdr:cNvPr>
        <cdr:cNvSpPr txBox="1"/>
      </cdr:nvSpPr>
      <cdr:spPr>
        <a:xfrm xmlns:a="http://schemas.openxmlformats.org/drawingml/2006/main">
          <a:off x="3641697" y="28013"/>
          <a:ext cx="1632241" cy="428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1000" b="0" i="0" baseline="0">
              <a:effectLst/>
              <a:latin typeface="+mn-lt"/>
              <a:ea typeface="+mn-ea"/>
              <a:cs typeface="+mn-cs"/>
            </a:rPr>
            <a:t>MDA sector allocation </a:t>
          </a:r>
        </a:p>
        <a:p xmlns:a="http://schemas.openxmlformats.org/drawingml/2006/main">
          <a:pPr algn="ctr" rtl="0"/>
          <a:r>
            <a:rPr lang="en-US" sz="1000" b="0" i="0" baseline="0">
              <a:effectLst/>
              <a:latin typeface="+mn-lt"/>
              <a:ea typeface="+mn-ea"/>
              <a:cs typeface="+mn-cs"/>
            </a:rPr>
            <a:t>change over 2020 outturn</a:t>
          </a:r>
          <a:endParaRPr lang="en-US" sz="1000" b="0">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A22CA735C32F3840975C1ABE33FC00C5" ma:contentTypeVersion="23" ma:contentTypeDescription="" ma:contentTypeScope="" ma:versionID="d296ae7f696b35d5c3335382948513ca">
  <xsd:schema xmlns:xsd="http://www.w3.org/2001/XMLSchema" xmlns:xs="http://www.w3.org/2001/XMLSchema" xmlns:p="http://schemas.microsoft.com/office/2006/metadata/properties" xmlns:ns3="3e02667f-0271-471b-bd6e-11a2e16def1d" xmlns:ns4="6385dc9c-8632-49e9-a791-b8d07731333e" xmlns:ns5="241e4cfd-0731-4eff-837c-45d1d997259a" targetNamespace="http://schemas.microsoft.com/office/2006/metadata/properties" ma:root="true" ma:fieldsID="c0b01af4db65a1a1b0526d18a5455614" ns3:_="" ns4:_="" ns5:_="">
    <xsd:import namespace="3e02667f-0271-471b-bd6e-11a2e16def1d"/>
    <xsd:import namespace="6385dc9c-8632-49e9-a791-b8d07731333e"/>
    <xsd:import namespace="241e4cfd-0731-4eff-837c-45d1d997259a"/>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3:wb_taskid" minOccurs="0"/>
                <xsd:element ref="ns3:wb_itemid" minOccurs="0"/>
                <xsd:element ref="ns5:MediaServiceAutoKeyPoints" minOccurs="0"/>
                <xsd:element ref="ns5:MediaServiceKeyPoints" minOccurs="0"/>
                <xsd:element ref="ns4:SharedWithUsers" minOccurs="0"/>
                <xsd:element ref="ns4:SharedWithDetails" minOccurs="0"/>
                <xsd:element ref="ns4:baab35ea0edf4f67bc6dbfa9e148ad9e" minOccurs="0"/>
                <xsd:element ref="ns4:wb_virtualcollection1" minOccurs="0"/>
                <xsd:element ref="ns5:MediaServiceAutoTags" minOccurs="0"/>
                <xsd:element ref="ns5:MediaServiceOCR" minOccurs="0"/>
                <xsd:element ref="ns5:MediaServiceGenerationTime" minOccurs="0"/>
                <xsd:element ref="ns5:MediaServiceEventHashCode" minOccurs="0"/>
                <xsd:element ref="ns4:WB_IDU_Comment" minOccurs="0"/>
                <xsd:element ref="ns5:MediaServiceDateTaken" minOccurs="0"/>
                <xsd:element ref="ns4:WB_Status_Folder"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format="Dropdown" ma:internalName="wb_reportno">
      <xsd:simpleType>
        <xsd:restriction base="dms:Text">
          <xsd:maxLength value="255"/>
        </xsd:restriction>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1" nillable="true" ma:displayName="Task ID" ma:internalName="wb_taskid">
      <xsd:simpleType>
        <xsd:restriction base="dms:Note">
          <xsd:maxLength value="255"/>
        </xsd:restriction>
      </xsd:simpleType>
    </xsd:element>
    <xsd:element name="wb_itemid" ma:index="102"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taxonomyMulti="true"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default="" ma:fieldId="{3a1b524f-3f53-4a9e-afb1-0c0d6b7b176f}" ma:sspId="2a6c10d7-b926-4fc0-945e-3cbf5049f6bd" ma:termSetId="151132b6-3af0-4b7a-a4e2-06d1bebb22c2"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default="" ma:fieldId="{7cd8676b-6f87-4fb3-b134-98347bded7f2}" ma:taxonomyMulti="true"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SharedWithUsers" ma:index="10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6" nillable="true" ma:displayName="Shared With Details" ma:internalName="SharedWithDetails" ma:readOnly="true">
      <xsd:simpleType>
        <xsd:restriction base="dms:Note">
          <xsd:maxLength value="255"/>
        </xsd:restriction>
      </xsd:simpleType>
    </xsd:element>
    <xsd:element name="baab35ea0edf4f67bc6dbfa9e148ad9e" ma:index="107" nillable="true" ma:taxonomy="true" ma:internalName="baab35ea0edf4f67bc6dbfa9e148ad9e" ma:taxonomyFieldName="wb_ibtopic1" ma:displayName="Topic1" ma:default="" ma:fieldId="{baab35ea-0edf-4f67-bc6d-bfa9e148ad9e}" ma:taxonomyMulti="tru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9" nillable="true" ma:displayName="Virtual Collection1" ma:internalName="wb_virtualcollection1">
      <xsd:simpleType>
        <xsd:restriction base="dms:Text">
          <xsd:maxLength value="255"/>
        </xsd:restriction>
      </xsd:simpleType>
    </xsd:element>
    <xsd:element name="WB_IDU_Comment" ma:index="114" nillable="true" ma:displayName="IDU Comment" ma:internalName="WB_IDU_Comment">
      <xsd:simpleType>
        <xsd:restriction base="dms:Note">
          <xsd:maxLength value="255"/>
        </xsd:restriction>
      </xsd:simpleType>
    </xsd:element>
    <xsd:element name="WB_Status_Folder" ma:index="116" nillable="true" ma:displayName="Folder" ma:internalName="WB_Status_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1e4cfd-0731-4eff-837c-45d1d997259a"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3" nillable="true" ma:displayName="MediaServiceAutoKeyPoints" ma:hidden="true" ma:internalName="MediaServiceAutoKeyPoints" ma:readOnly="true">
      <xsd:simpleType>
        <xsd:restriction base="dms:Note"/>
      </xsd:simpleType>
    </xsd:element>
    <xsd:element name="MediaServiceKeyPoints" ma:index="104" nillable="true" ma:displayName="KeyPoints" ma:internalName="MediaServiceKeyPoints" ma:readOnly="true">
      <xsd:simpleType>
        <xsd:restriction base="dms:Note">
          <xsd:maxLength value="255"/>
        </xsd:restriction>
      </xsd:simpleType>
    </xsd:element>
    <xsd:element name="MediaServiceAutoTags" ma:index="110" nillable="true" ma:displayName="Tags" ma:internalName="MediaServiceAutoTags" ma:readOnly="true">
      <xsd:simpleType>
        <xsd:restriction base="dms:Text"/>
      </xsd:simpleType>
    </xsd:element>
    <xsd:element name="MediaServiceOCR" ma:index="111" nillable="true" ma:displayName="Extracted Text" ma:internalName="MediaServiceOCR" ma:readOnly="true">
      <xsd:simpleType>
        <xsd:restriction base="dms:Note">
          <xsd:maxLength value="255"/>
        </xsd:restriction>
      </xsd:simpleType>
    </xsd:element>
    <xsd:element name="MediaServiceGenerationTime" ma:index="112" nillable="true" ma:displayName="MediaServiceGenerationTime" ma:hidden="true" ma:internalName="MediaServiceGenerationTime" ma:readOnly="true">
      <xsd:simpleType>
        <xsd:restriction base="dms:Text"/>
      </xsd:simpleType>
    </xsd:element>
    <xsd:element name="MediaServiceEventHashCode" ma:index="113" nillable="true" ma:displayName="MediaServiceEventHashCode" ma:hidden="true" ma:internalName="MediaServiceEventHashCode" ma:readOnly="true">
      <xsd:simpleType>
        <xsd:restriction base="dms:Text"/>
      </xsd:simpleType>
    </xsd:element>
    <xsd:element name="MediaServiceDateTaken" ma:index="115" nillable="true" ma:displayName="MediaServiceDateTaken" ma:hidden="true" ma:internalName="MediaServiceDateTaken" ma:readOnly="true">
      <xsd:simpleType>
        <xsd:restriction base="dms:Text"/>
      </xsd:simpleType>
    </xsd:element>
    <xsd:element name="lcf76f155ced4ddcb4097134ff3c332f" ma:index="1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1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a6c10d7-b926-4fc0-945e-3cbf5049f6bd" ContentTypeId="0x010100F4C63C3BD852AE468EAEFD0E6C57C64F0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Abstract xmlns="3e02667f-0271-471b-bd6e-11a2e16def1d" xsi:nil="true"/>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44753400-f018-4bed-9f10-cc396485b187</TermId>
        </TermInfo>
      </Terms>
    </o1cb080a3dca4eb8a0fd03c7cc8bf8f7>
    <wb_externalwebdecision xmlns="3e02667f-0271-471b-bd6e-11a2e16def1d">No</wb_externalwebdecision>
    <wb_ibflag xmlns="3e02667f-0271-471b-bd6e-11a2e16def1d">Review</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2022-06-30T04:00:00+00:00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P175024</wb_projectid>
    <wb_aicomments xmlns="3e02667f-0271-471b-bd6e-11a2e16def1d">Approved by  on 06/30/2022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disclosurestatus xmlns="3e02667f-0271-471b-bd6e-11a2e16def1d" xsi:nil="true"/>
    <wb_externalpublishedlink xmlns="3e02667f-0271-471b-bd6e-11a2e16def1d" xsi:nil="true"/>
    <WBDocs_Access_To_Info_Exception xmlns="3e02667f-0271-471b-bd6e-11a2e16def1d" xsi:nil="true"/>
    <WBDocs_Document_Date xmlns="3e02667f-0271-471b-bd6e-11a2e16def1d">2022-06-30T04:00:00+00:00</WBDocs_Document_Date>
    <wb_description xmlns="3e02667f-0271-471b-bd6e-11a2e16def1d" xsi:nil="true"/>
    <wb_keyword xmlns="3e02667f-0271-471b-bd6e-11a2e16def1d" xsi:nil="true"/>
    <TaxCatchAll xmlns="3e02667f-0271-471b-bd6e-11a2e16def1d">
      <Value>7</Value>
      <Value>38</Value>
      <Value>1</Value>
      <Value>231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ITM00270</wb_itemid>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EAEM1</TermName>
          <TermId xmlns="http://schemas.microsoft.com/office/infopath/2007/PartnerControls">8cf02736-da15-435e-bd57-c9145549d137</TermId>
        </TermInfo>
      </Term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Kristina Svensson</DisplayName>
        <AccountId>525</AccountId>
        <AccountType/>
      </UserInfo>
    </wb_publicapprover>
    <wb_filingapplication xmlns="3e02667f-0271-471b-bd6e-11a2e16def1d">OPS2DATASHEET</wb_filingapplication>
    <wb_ioparentid xmlns="3e02667f-0271-471b-bd6e-11a2e16def1d" xsi:nil="true"/>
    <WBDocs_Information_Classification xmlns="3e02667f-0271-471b-bd6e-11a2e16def1d">Public</WBDocs_Information_Classification>
    <wb_taskid xmlns="3e02667f-0271-471b-bd6e-11a2e16def1d">DLV0406677</wb_taskid>
    <OneCMS_Category xmlns="3e02667f-0271-471b-bd6e-11a2e16def1d" xsi:nil="true"/>
    <_dlc_DocId xmlns="3e02667f-0271-471b-bd6e-11a2e16def1d">6CYEZ5ZKJS45-2050336736-67</_dlc_DocId>
    <_dlc_DocIdUrl xmlns="3e02667f-0271-471b-bd6e-11a2e16def1d">
      <Url>https://worldbankgroup.sharepoint.com/sites/P175024/_layouts/15/DocIdRedir.aspx?ID=6CYEZ5ZKJS45-2050336736-67</Url>
      <Description>6CYEZ5ZKJS45-2050336736-67</Description>
    </_dlc_DocIdUrl>
    <wb_subfolder xmlns="3e02667f-0271-471b-bd6e-11a2e16def1d">Reports and Studies</wb_subfolder>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Status_Folder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lcf76f155ced4ddcb4097134ff3c332f xmlns="241e4cfd-0731-4eff-837c-45d1d997259a">
      <Terms xmlns="http://schemas.microsoft.com/office/infopath/2007/PartnerControls"/>
    </lcf76f155ced4ddcb4097134ff3c332f>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SharedWithUsers xmlns="6385dc9c-8632-49e9-a791-b8d07731333e">
      <UserInfo>
        <DisplayName>SRV_OPS_DOCS_PROD</DisplayName>
        <AccountId>58</AccountId>
        <AccountType/>
      </UserInfo>
      <UserInfo>
        <DisplayName>PDS Managers</DisplayName>
        <AccountId>41</AccountId>
        <AccountType/>
      </UserInfo>
      <UserInfo>
        <DisplayName>IDU Quality Control</DisplayName>
        <AccountId>42</AccountId>
        <AccountType/>
      </UserInfo>
    </SharedWithUsers>
  </documentManagement>
</p:properties>
</file>

<file path=customXml/itemProps1.xml><?xml version="1.0" encoding="utf-8"?>
<ds:datastoreItem xmlns:ds="http://schemas.openxmlformats.org/officeDocument/2006/customXml" ds:itemID="{F84CB93D-5D36-46EB-8109-A987B6AC0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6385dc9c-8632-49e9-a791-b8d07731333e"/>
    <ds:schemaRef ds:uri="241e4cfd-0731-4eff-837c-45d1d9972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00F6D-C061-464F-BB53-CF8E5F0D7A9B}">
  <ds:schemaRefs>
    <ds:schemaRef ds:uri="Microsoft.SharePoint.Taxonomy.ContentTypeSync"/>
  </ds:schemaRefs>
</ds:datastoreItem>
</file>

<file path=customXml/itemProps3.xml><?xml version="1.0" encoding="utf-8"?>
<ds:datastoreItem xmlns:ds="http://schemas.openxmlformats.org/officeDocument/2006/customXml" ds:itemID="{0B95485E-972B-43BB-A17F-7F3FEBD66B50}">
  <ds:schemaRefs>
    <ds:schemaRef ds:uri="http://schemas.microsoft.com/sharepoint/v3/contenttype/forms"/>
  </ds:schemaRefs>
</ds:datastoreItem>
</file>

<file path=customXml/itemProps4.xml><?xml version="1.0" encoding="utf-8"?>
<ds:datastoreItem xmlns:ds="http://schemas.openxmlformats.org/officeDocument/2006/customXml" ds:itemID="{EAAEF634-FFC6-488E-882B-E532AFEFF570}">
  <ds:schemaRefs>
    <ds:schemaRef ds:uri="http://schemas.openxmlformats.org/officeDocument/2006/bibliography"/>
  </ds:schemaRefs>
</ds:datastoreItem>
</file>

<file path=customXml/itemProps5.xml><?xml version="1.0" encoding="utf-8"?>
<ds:datastoreItem xmlns:ds="http://schemas.openxmlformats.org/officeDocument/2006/customXml" ds:itemID="{72020940-C028-4877-8D11-B485AE755C9E}">
  <ds:schemaRefs>
    <ds:schemaRef ds:uri="http://schemas.microsoft.com/sharepoint/events"/>
  </ds:schemaRefs>
</ds:datastoreItem>
</file>

<file path=customXml/itemProps6.xml><?xml version="1.0" encoding="utf-8"?>
<ds:datastoreItem xmlns:ds="http://schemas.openxmlformats.org/officeDocument/2006/customXml" ds:itemID="{C7342CBC-0A3F-4A2C-98C0-D16B75C3A2A9}">
  <ds:schemaRefs>
    <ds:schemaRef ds:uri="http://schemas.microsoft.com/office/2006/documentManagement/types"/>
    <ds:schemaRef ds:uri="http://www.w3.org/XML/1998/namespace"/>
    <ds:schemaRef ds:uri="3e02667f-0271-471b-bd6e-11a2e16def1d"/>
    <ds:schemaRef ds:uri="6385dc9c-8632-49e9-a791-b8d07731333e"/>
    <ds:schemaRef ds:uri="http://purl.org/dc/dcmitype/"/>
    <ds:schemaRef ds:uri="http://purl.org/dc/elements/1.1/"/>
    <ds:schemaRef ds:uri="241e4cfd-0731-4eff-837c-45d1d997259a"/>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25220</Words>
  <Characters>143756</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Somalia Economic Update</vt:lpstr>
    </vt:vector>
  </TitlesOfParts>
  <Company/>
  <LinksUpToDate>false</LinksUpToDate>
  <CharactersWithSpaces>168639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SEU6_Full draft May 12 -Decision Meeting</dc:title>
  <dc:subject>Edition 6, 2021</dc:subject>
  <dc:creator>John Randa</dc:creator>
  <cp:keywords/>
  <dc:description/>
  <cp:lastModifiedBy>Pratibha Mane</cp:lastModifiedBy>
  <cp:revision>2</cp:revision>
  <dcterms:created xsi:type="dcterms:W3CDTF">2022-07-04T10:12:00Z</dcterms:created>
  <dcterms:modified xsi:type="dcterms:W3CDTF">2022-07-04T10:12:00Z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0x010100F4C63C3BD852AE468EAEFD0E6C57C64F02002C8D7C9E701E8444AAD7038E9E130DC000A22CA735C32F3840975C1ABE33FC00C5</vt:lpwstr>
  </property>
  <property fmtid="{D5CDD505-2E9C-101B-9397-08002B2CF9AE}" pid="3" name="WbDocsObjectId">
    <vt:lpwstr/>
  </property>
  <property fmtid="{D5CDD505-2E9C-101B-9397-08002B2CF9AE}" pid="4" name="RatedBy">
    <vt:lpwstr/>
  </property>
  <property fmtid="{D5CDD505-2E9C-101B-9397-08002B2CF9AE}" pid="5" name="IsDocumentTagged">
    <vt:lpwstr/>
  </property>
  <property fmtid="{D5CDD505-2E9C-101B-9397-08002B2CF9AE}" pid="6" name="LikedBy">
    <vt:lpwstr/>
  </property>
  <property fmtid="{D5CDD505-2E9C-101B-9397-08002B2CF9AE}" pid="7" name="Ratings">
    <vt:lpwstr/>
  </property>
  <property fmtid="{D5CDD505-2E9C-101B-9397-08002B2CF9AE}" pid="8" name="WBDocs_Originating_Unit">
    <vt:lpwstr>231;#EAEM1|8cf02736-da15-435e-bd57-c9145549d137</vt:lpwstr>
  </property>
  <property fmtid="{D5CDD505-2E9C-101B-9397-08002B2CF9AE}" pid="9" name="_dlc_DocIdItemGuid">
    <vt:lpwstr>4c8f2651-d904-4fcf-81a2-ced4fd2b97f1</vt:lpwstr>
  </property>
  <property fmtid="{D5CDD505-2E9C-101B-9397-08002B2CF9AE}" pid="10" name="wb_language">
    <vt:lpwstr>7;#English|832426d7-d0f8-4cc5-a5f1-7b89f69e8f78</vt:lpwstr>
  </property>
  <property fmtid="{D5CDD505-2E9C-101B-9397-08002B2CF9AE}" pid="11" name="WBDocs_Local_Document_Type">
    <vt:lpwstr>38;#Report|44753400-f018-4bed-9f10-cc396485b187</vt:lpwstr>
  </property>
  <property fmtid="{D5CDD505-2E9C-101B-9397-08002B2CF9AE}" pid="12" name="wb_country">
    <vt:lpwstr/>
  </property>
  <property fmtid="{D5CDD505-2E9C-101B-9397-08002B2CF9AE}" pid="13" name="SharedWithUsers">
    <vt:lpwstr>58;#SRV_OPS_DOCS_PROD;#41;#PDS Managers;#42;#IDU Quality Control</vt:lpwstr>
  </property>
  <property fmtid="{D5CDD505-2E9C-101B-9397-08002B2CF9AE}" pid="14" name="n3588c81c2504f79a2ae07b8fc872de1">
    <vt:lpwstr>Official Use Only|4119b812-446b-4199-aebc-580c95bfd42a</vt:lpwstr>
  </property>
  <property fmtid="{D5CDD505-2E9C-101B-9397-08002B2CF9AE}" pid="15" name="DocumentSetDescription">
    <vt:lpwstr/>
  </property>
  <property fmtid="{D5CDD505-2E9C-101B-9397-08002B2CF9AE}" pid="16" name="TemplateUrl">
    <vt:lpwstr/>
  </property>
  <property fmtid="{D5CDD505-2E9C-101B-9397-08002B2CF9AE}" pid="17" name="WBDocs_To">
    <vt:lpwstr/>
  </property>
  <property fmtid="{D5CDD505-2E9C-101B-9397-08002B2CF9AE}" pid="18" name="_ExtendedDescription">
    <vt:lpwstr/>
  </property>
  <property fmtid="{D5CDD505-2E9C-101B-9397-08002B2CF9AE}" pid="19" name="InformationClassification">
    <vt:lpwstr>1;#Official Use Only|4119b812-446b-4199-aebc-580c95bfd42a</vt:lpwstr>
  </property>
  <property fmtid="{D5CDD505-2E9C-101B-9397-08002B2CF9AE}" pid="20" name="WBDocs_Cc">
    <vt:lpwstr/>
  </property>
  <property fmtid="{D5CDD505-2E9C-101B-9397-08002B2CF9AE}" pid="21" name="wb_bankgroupinstitution">
    <vt:lpwstr/>
  </property>
  <property fmtid="{D5CDD505-2E9C-101B-9397-08002B2CF9AE}" pid="22" name="h3c32e242b704477b7d70acf46e958ea">
    <vt:lpwstr/>
  </property>
  <property fmtid="{D5CDD505-2E9C-101B-9397-08002B2CF9AE}" pid="23" name="wb_unitowning">
    <vt:lpwstr/>
  </property>
  <property fmtid="{D5CDD505-2E9C-101B-9397-08002B2CF9AE}" pid="24" name="_CopySource">
    <vt:lpwstr>https://worldbankgroup.sharepoint.com/sites/P175024/Shared Documents/Project/SEU6_Full draft May 12 -Decision Meeting.docx</vt:lpwstr>
  </property>
  <property fmtid="{D5CDD505-2E9C-101B-9397-08002B2CF9AE}" pid="25" name="wb_virtualcollection">
    <vt:lpwstr/>
  </property>
  <property fmtid="{D5CDD505-2E9C-101B-9397-08002B2CF9AE}" pid="26" name="wb_ibtopic1">
    <vt:lpwstr/>
  </property>
  <property fmtid="{D5CDD505-2E9C-101B-9397-08002B2CF9AE}" pid="27" name="Order">
    <vt:r8>6700</vt:r8>
  </property>
  <property fmtid="{D5CDD505-2E9C-101B-9397-08002B2CF9AE}" pid="28" name="wb_iblocaldocumenttype">
    <vt:lpwstr/>
  </property>
  <property fmtid="{D5CDD505-2E9C-101B-9397-08002B2CF9AE}" pid="29" name="xd_ProgID">
    <vt:lpwstr/>
  </property>
  <property fmtid="{D5CDD505-2E9C-101B-9397-08002B2CF9AE}" pid="30" name="MediaServiceImageTags">
    <vt:lpwstr/>
  </property>
</Properties>
</file>