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E6" w:rsidRPr="007D2E12" w:rsidRDefault="007C17CB">
      <w:pPr>
        <w:rPr>
          <w:rFonts w:eastAsia="Times New Roman"/>
          <w:b/>
          <w:sz w:val="36"/>
        </w:rPr>
      </w:pPr>
      <w:r>
        <w:rPr>
          <w:rFonts w:eastAsia="Times New Roman"/>
          <w:b/>
          <w:noProof/>
          <w:sz w:val="36"/>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-819150</wp:posOffset>
                </wp:positionV>
                <wp:extent cx="185737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8573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7CB" w:rsidRPr="007C17CB" w:rsidRDefault="007C17CB">
                            <w:pPr>
                              <w:rPr>
                                <w:rFonts w:ascii="Arial" w:hAnsi="Arial" w:cs="Arial"/>
                                <w:sz w:val="44"/>
                                <w:szCs w:val="44"/>
                              </w:rPr>
                            </w:pPr>
                            <w:r>
                              <w:rPr>
                                <w:rFonts w:ascii="Arial" w:hAnsi="Arial" w:cs="Arial"/>
                                <w:sz w:val="44"/>
                                <w:szCs w:val="44"/>
                              </w:rPr>
                              <w:t>AUS7544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2.5pt;margin-top:-64.5pt;width:146.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" fillcolor="white [3201]" stroked="f" strokeweight=".5pt">
                <v:textbox>
                  <w:txbxContent>
                    <w:p w:rsidR="007C17CB" w:rsidRPr="007C17CB" w:rsidRDefault="007C17CB">
                      <w:pPr>
                        <w:rPr>
                          <w:rFonts w:ascii="Arial" w:hAnsi="Arial" w:cs="Arial"/>
                          <w:sz w:val="44"/>
                          <w:szCs w:val="44"/>
                        </w:rPr>
                      </w:pPr>
                      <w:r>
                        <w:rPr>
                          <w:rFonts w:ascii="Arial" w:hAnsi="Arial" w:cs="Arial"/>
                          <w:sz w:val="44"/>
                          <w:szCs w:val="44"/>
                        </w:rPr>
                        <w:t>AUS7544 v2</w:t>
                      </w:r>
                    </w:p>
                  </w:txbxContent>
                </v:textbox>
              </v:shape>
            </w:pict>
          </mc:Fallback>
        </mc:AlternateContent>
      </w:r>
      <w:r w:rsidR="00C63AB5" w:rsidRPr="007D2E12">
        <w:rPr>
          <w:rFonts w:eastAsia="Times New Roman"/>
          <w:b/>
          <w:sz w:val="36"/>
        </w:rPr>
        <w:t>Republic of Djibouti</w:t>
      </w:r>
      <w:bookmarkStart w:id="0" w:name="_GoBack"/>
      <w:bookmarkEnd w:id="0"/>
    </w:p>
    <w:p w:rsidR="00C63AB5" w:rsidRPr="007D2E12" w:rsidRDefault="00C63AB5">
      <w:pPr>
        <w:rPr>
          <w:rFonts w:eastAsia="Times New Roman"/>
          <w:b/>
          <w:sz w:val="36"/>
        </w:rPr>
      </w:pPr>
      <w:r w:rsidRPr="007D2E12">
        <w:rPr>
          <w:rFonts w:eastAsia="Times New Roman"/>
          <w:b/>
          <w:sz w:val="36"/>
        </w:rPr>
        <w:t>Poverty and Social Impact Analysis: Strengthening Safety Nets in Djibouti</w:t>
      </w:r>
    </w:p>
    <w:p w:rsidR="00C63AB5" w:rsidRPr="007D2E12" w:rsidRDefault="00C63AB5">
      <w:pPr>
        <w:rPr>
          <w:rFonts w:eastAsia="Times New Roman"/>
          <w:b/>
          <w:sz w:val="36"/>
        </w:rPr>
      </w:pPr>
    </w:p>
    <w:p w:rsidR="00C63AB5" w:rsidRPr="007D2E12" w:rsidRDefault="00C63AB5">
      <w:pPr>
        <w:rPr>
          <w:rFonts w:eastAsia="Times New Roman"/>
          <w:b/>
          <w:color w:val="1F497D" w:themeColor="text2"/>
          <w:sz w:val="44"/>
        </w:rPr>
      </w:pPr>
      <w:r w:rsidRPr="007D2E12">
        <w:rPr>
          <w:rFonts w:eastAsia="Times New Roman"/>
          <w:b/>
          <w:color w:val="1F497D" w:themeColor="text2"/>
          <w:sz w:val="44"/>
        </w:rPr>
        <w:t>EXECUTIVE SUMMARY</w:t>
      </w:r>
    </w:p>
    <w:p w:rsidR="00C63AB5" w:rsidRDefault="00C63AB5">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Pr="00097665" w:rsidRDefault="00097665">
      <w:pPr>
        <w:rPr>
          <w:rFonts w:eastAsia="Times New Roman"/>
        </w:rPr>
      </w:pPr>
      <w:r w:rsidRPr="00097665">
        <w:rPr>
          <w:rFonts w:eastAsia="Times New Roman"/>
        </w:rPr>
        <w:t>February 2015</w:t>
      </w: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155F5C" w:rsidRDefault="00155F5C">
      <w:pPr>
        <w:rPr>
          <w:rFonts w:eastAsia="Times New Roman"/>
          <w:b/>
        </w:rPr>
      </w:pPr>
    </w:p>
    <w:p w:rsidR="00D62C41" w:rsidRDefault="00155F5C">
      <w:pPr>
        <w:rPr>
          <w:rFonts w:eastAsia="Times New Roman"/>
          <w:b/>
        </w:rPr>
      </w:pPr>
      <w:r>
        <w:rPr>
          <w:rFonts w:eastAsia="Times New Roman"/>
          <w:b/>
          <w:noProof/>
        </w:rPr>
        <w:drawing>
          <wp:inline distT="0" distB="0" distL="0" distR="0" wp14:anchorId="5345B4FA" wp14:editId="343CA9DF">
            <wp:extent cx="3068955" cy="604520"/>
            <wp:effectExtent l="0" t="0" r="0" b="5080"/>
            <wp:docPr id="1" name="Picture 1" descr="C:\Users\wb361464\AppData\Local\Temp\Rar$DI59.944\WBG_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b361464\AppData\Local\Temp\Rar$DI59.944\WBG_Horizontal-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955" cy="604520"/>
                    </a:xfrm>
                    <a:prstGeom prst="rect">
                      <a:avLst/>
                    </a:prstGeom>
                    <a:noFill/>
                    <a:ln>
                      <a:noFill/>
                    </a:ln>
                  </pic:spPr>
                </pic:pic>
              </a:graphicData>
            </a:graphic>
          </wp:inline>
        </w:drawing>
      </w:r>
      <w:r w:rsidR="00D62C41">
        <w:rPr>
          <w:rFonts w:eastAsia="Times New Roman"/>
          <w:b/>
        </w:rPr>
        <w:br w:type="page"/>
      </w:r>
    </w:p>
    <w:sdt>
      <w:sdtPr>
        <w:rPr>
          <w:rFonts w:ascii="Times New Roman" w:eastAsiaTheme="minorEastAsia" w:hAnsi="Times New Roman" w:cs="Times New Roman"/>
          <w:b w:val="0"/>
          <w:bCs w:val="0"/>
          <w:color w:val="auto"/>
          <w:sz w:val="22"/>
          <w:szCs w:val="22"/>
          <w:lang w:eastAsia="en-US"/>
        </w:rPr>
        <w:id w:val="156510148"/>
        <w:docPartObj>
          <w:docPartGallery w:val="Table of Contents"/>
          <w:docPartUnique/>
        </w:docPartObj>
      </w:sdtPr>
      <w:sdtEndPr>
        <w:rPr>
          <w:noProof/>
        </w:rPr>
      </w:sdtEndPr>
      <w:sdtContent>
        <w:p w:rsidR="00C63AB5" w:rsidRPr="00F116CC" w:rsidRDefault="00C63AB5">
          <w:pPr>
            <w:pStyle w:val="TOCHeading"/>
            <w:rPr>
              <w:rFonts w:ascii="Times New Roman" w:hAnsi="Times New Roman" w:cs="Times New Roman"/>
              <w:sz w:val="22"/>
              <w:szCs w:val="22"/>
            </w:rPr>
          </w:pPr>
          <w:r w:rsidRPr="00F116CC">
            <w:rPr>
              <w:rFonts w:ascii="Times New Roman" w:hAnsi="Times New Roman" w:cs="Times New Roman"/>
              <w:sz w:val="22"/>
              <w:szCs w:val="22"/>
            </w:rPr>
            <w:t>Contents</w:t>
          </w:r>
        </w:p>
        <w:p w:rsidR="00F116CC" w:rsidRPr="00F116CC" w:rsidRDefault="00D62C41">
          <w:pPr>
            <w:pStyle w:val="TOC1"/>
            <w:tabs>
              <w:tab w:val="right" w:leader="dot" w:pos="9350"/>
            </w:tabs>
            <w:rPr>
              <w:rFonts w:ascii="Times New Roman" w:eastAsiaTheme="minorEastAsia" w:hAnsi="Times New Roman" w:cs="Times New Roman"/>
              <w:noProof/>
            </w:rPr>
          </w:pPr>
          <w:r w:rsidRPr="00F116CC">
            <w:rPr>
              <w:rFonts w:ascii="Times New Roman" w:hAnsi="Times New Roman" w:cs="Times New Roman"/>
            </w:rPr>
            <w:fldChar w:fldCharType="begin"/>
          </w:r>
          <w:r w:rsidRPr="00F116CC">
            <w:rPr>
              <w:rFonts w:ascii="Times New Roman" w:hAnsi="Times New Roman" w:cs="Times New Roman"/>
            </w:rPr>
            <w:instrText xml:space="preserve"> TOC \o "1-3" \h \z \u </w:instrText>
          </w:r>
          <w:r w:rsidRPr="00F116CC">
            <w:rPr>
              <w:rFonts w:ascii="Times New Roman" w:hAnsi="Times New Roman" w:cs="Times New Roman"/>
            </w:rPr>
            <w:fldChar w:fldCharType="separate"/>
          </w:r>
          <w:hyperlink w:anchor="_Toc412105851" w:history="1">
            <w:r w:rsidR="00F116CC" w:rsidRPr="00F116CC">
              <w:rPr>
                <w:rStyle w:val="Hyperlink"/>
                <w:rFonts w:ascii="Times New Roman" w:eastAsia="Times New Roman" w:hAnsi="Times New Roman" w:cs="Times New Roman"/>
                <w:noProof/>
              </w:rPr>
              <w:t>Motivation</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_Toc412105851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w:t>
            </w:r>
            <w:r w:rsidR="00F116CC" w:rsidRPr="00F116CC">
              <w:rPr>
                <w:rFonts w:ascii="Times New Roman" w:hAnsi="Times New Roman" w:cs="Times New Roman"/>
                <w:noProof/>
                <w:webHidden/>
              </w:rPr>
              <w:fldChar w:fldCharType="end"/>
            </w:r>
          </w:hyperlink>
        </w:p>
        <w:p w:rsidR="00F116CC" w:rsidRPr="00F116CC" w:rsidRDefault="007C17CB">
          <w:pPr>
            <w:pStyle w:val="TOC1"/>
            <w:tabs>
              <w:tab w:val="right" w:leader="dot" w:pos="9350"/>
            </w:tabs>
            <w:rPr>
              <w:rFonts w:ascii="Times New Roman" w:eastAsiaTheme="minorEastAsia" w:hAnsi="Times New Roman" w:cs="Times New Roman"/>
              <w:noProof/>
            </w:rPr>
          </w:pPr>
          <w:hyperlink w:anchor="_Toc412105852" w:history="1">
            <w:r w:rsidR="00F116CC" w:rsidRPr="00F116CC">
              <w:rPr>
                <w:rStyle w:val="Hyperlink"/>
                <w:rFonts w:ascii="Times New Roman" w:eastAsia="Times New Roman" w:hAnsi="Times New Roman" w:cs="Times New Roman"/>
                <w:noProof/>
              </w:rPr>
              <w:t>What is the Current Nature of Tax Exemptions in Djibouti?</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_Toc412105852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2</w:t>
            </w:r>
            <w:r w:rsidR="00F116CC" w:rsidRPr="00F116CC">
              <w:rPr>
                <w:rFonts w:ascii="Times New Roman" w:hAnsi="Times New Roman" w:cs="Times New Roman"/>
                <w:noProof/>
                <w:webHidden/>
              </w:rPr>
              <w:fldChar w:fldCharType="end"/>
            </w:r>
          </w:hyperlink>
        </w:p>
        <w:p w:rsidR="00F116CC" w:rsidRPr="00F116CC" w:rsidRDefault="007C17CB">
          <w:pPr>
            <w:pStyle w:val="TOC1"/>
            <w:tabs>
              <w:tab w:val="right" w:leader="dot" w:pos="9350"/>
            </w:tabs>
            <w:rPr>
              <w:rFonts w:ascii="Times New Roman" w:eastAsiaTheme="minorEastAsia" w:hAnsi="Times New Roman" w:cs="Times New Roman"/>
              <w:noProof/>
            </w:rPr>
          </w:pPr>
          <w:hyperlink w:anchor="_Toc412105853" w:history="1">
            <w:r w:rsidR="00F116CC" w:rsidRPr="00F116CC">
              <w:rPr>
                <w:rStyle w:val="Hyperlink"/>
                <w:rFonts w:ascii="Times New Roman" w:eastAsia="Times New Roman" w:hAnsi="Times New Roman" w:cs="Times New Roman"/>
                <w:noProof/>
              </w:rPr>
              <w:t>What is the Impact of the Current Tax Exemptions on Household Welfare?</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_Toc412105853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3</w:t>
            </w:r>
            <w:r w:rsidR="00F116CC" w:rsidRPr="00F116CC">
              <w:rPr>
                <w:rFonts w:ascii="Times New Roman" w:hAnsi="Times New Roman" w:cs="Times New Roman"/>
                <w:noProof/>
                <w:webHidden/>
              </w:rPr>
              <w:fldChar w:fldCharType="end"/>
            </w:r>
          </w:hyperlink>
        </w:p>
        <w:p w:rsidR="00F116CC" w:rsidRPr="00F116CC" w:rsidRDefault="007C17CB">
          <w:pPr>
            <w:pStyle w:val="TOC2"/>
            <w:tabs>
              <w:tab w:val="right" w:leader="dot" w:pos="9350"/>
            </w:tabs>
            <w:rPr>
              <w:rFonts w:ascii="Times New Roman" w:eastAsiaTheme="minorEastAsia" w:hAnsi="Times New Roman" w:cs="Times New Roman"/>
              <w:noProof/>
            </w:rPr>
          </w:pPr>
          <w:hyperlink w:anchor="_Toc412105854" w:history="1">
            <w:r w:rsidR="00F116CC" w:rsidRPr="00F116CC">
              <w:rPr>
                <w:rStyle w:val="Hyperlink"/>
                <w:rFonts w:ascii="Times New Roman" w:hAnsi="Times New Roman" w:cs="Times New Roman"/>
                <w:noProof/>
              </w:rPr>
              <w:t>Distribution of Subsidies on Energy Products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_Toc412105854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3</w:t>
            </w:r>
            <w:r w:rsidR="00F116CC" w:rsidRPr="00F116CC">
              <w:rPr>
                <w:rFonts w:ascii="Times New Roman" w:hAnsi="Times New Roman" w:cs="Times New Roman"/>
                <w:noProof/>
                <w:webHidden/>
              </w:rPr>
              <w:fldChar w:fldCharType="end"/>
            </w:r>
          </w:hyperlink>
        </w:p>
        <w:p w:rsidR="00F116CC" w:rsidRPr="00F116CC" w:rsidRDefault="007C17CB">
          <w:pPr>
            <w:pStyle w:val="TOC2"/>
            <w:tabs>
              <w:tab w:val="right" w:leader="dot" w:pos="9350"/>
            </w:tabs>
            <w:rPr>
              <w:rFonts w:ascii="Times New Roman" w:eastAsiaTheme="minorEastAsia" w:hAnsi="Times New Roman" w:cs="Times New Roman"/>
              <w:noProof/>
            </w:rPr>
          </w:pPr>
          <w:hyperlink w:anchor="_Toc412105855" w:history="1">
            <w:r w:rsidR="00F116CC" w:rsidRPr="00F116CC">
              <w:rPr>
                <w:rStyle w:val="Hyperlink"/>
                <w:rFonts w:ascii="Times New Roman" w:hAnsi="Times New Roman" w:cs="Times New Roman"/>
                <w:noProof/>
              </w:rPr>
              <w:t>Distribution of Subsidies on Food Products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_Toc412105855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5</w:t>
            </w:r>
            <w:r w:rsidR="00F116CC" w:rsidRPr="00F116CC">
              <w:rPr>
                <w:rFonts w:ascii="Times New Roman" w:hAnsi="Times New Roman" w:cs="Times New Roman"/>
                <w:noProof/>
                <w:webHidden/>
              </w:rPr>
              <w:fldChar w:fldCharType="end"/>
            </w:r>
          </w:hyperlink>
        </w:p>
        <w:p w:rsidR="00F116CC" w:rsidRPr="00F116CC" w:rsidRDefault="007C17CB">
          <w:pPr>
            <w:pStyle w:val="TOC1"/>
            <w:tabs>
              <w:tab w:val="right" w:leader="dot" w:pos="9350"/>
            </w:tabs>
            <w:rPr>
              <w:rFonts w:ascii="Times New Roman" w:eastAsiaTheme="minorEastAsia" w:hAnsi="Times New Roman" w:cs="Times New Roman"/>
              <w:noProof/>
            </w:rPr>
          </w:pPr>
          <w:hyperlink w:anchor="_Toc412105856" w:history="1">
            <w:r w:rsidR="00F116CC" w:rsidRPr="00F116CC">
              <w:rPr>
                <w:rStyle w:val="Hyperlink"/>
                <w:rFonts w:ascii="Times New Roman" w:eastAsia="Times New Roman" w:hAnsi="Times New Roman" w:cs="Times New Roman"/>
                <w:noProof/>
              </w:rPr>
              <w:t>What is the Context of such Reform: Winners and Losers?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_Toc412105856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5</w:t>
            </w:r>
            <w:r w:rsidR="00F116CC" w:rsidRPr="00F116CC">
              <w:rPr>
                <w:rFonts w:ascii="Times New Roman" w:hAnsi="Times New Roman" w:cs="Times New Roman"/>
                <w:noProof/>
                <w:webHidden/>
              </w:rPr>
              <w:fldChar w:fldCharType="end"/>
            </w:r>
          </w:hyperlink>
        </w:p>
        <w:p w:rsidR="00F116CC" w:rsidRPr="00F116CC" w:rsidRDefault="007C17CB">
          <w:pPr>
            <w:pStyle w:val="TOC2"/>
            <w:tabs>
              <w:tab w:val="right" w:leader="dot" w:pos="9350"/>
            </w:tabs>
            <w:rPr>
              <w:rFonts w:ascii="Times New Roman" w:eastAsiaTheme="minorEastAsia" w:hAnsi="Times New Roman" w:cs="Times New Roman"/>
              <w:noProof/>
            </w:rPr>
          </w:pPr>
          <w:hyperlink w:anchor="_Toc412105857" w:history="1">
            <w:r w:rsidR="00F116CC" w:rsidRPr="00F116CC">
              <w:rPr>
                <w:rStyle w:val="Hyperlink"/>
                <w:rFonts w:ascii="Times New Roman" w:hAnsi="Times New Roman" w:cs="Times New Roman"/>
                <w:noProof/>
              </w:rPr>
              <w:t>Impact of Abandoning the Discretionary Tax on Retail Prices of Fuel Products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_Toc412105857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5</w:t>
            </w:r>
            <w:r w:rsidR="00F116CC" w:rsidRPr="00F116CC">
              <w:rPr>
                <w:rFonts w:ascii="Times New Roman" w:hAnsi="Times New Roman" w:cs="Times New Roman"/>
                <w:noProof/>
                <w:webHidden/>
              </w:rPr>
              <w:fldChar w:fldCharType="end"/>
            </w:r>
          </w:hyperlink>
        </w:p>
        <w:p w:rsidR="00F116CC" w:rsidRPr="00F116CC" w:rsidRDefault="007C17CB">
          <w:pPr>
            <w:pStyle w:val="TOC2"/>
            <w:tabs>
              <w:tab w:val="right" w:leader="dot" w:pos="9350"/>
            </w:tabs>
            <w:rPr>
              <w:rFonts w:ascii="Times New Roman" w:eastAsiaTheme="minorEastAsia" w:hAnsi="Times New Roman" w:cs="Times New Roman"/>
              <w:noProof/>
            </w:rPr>
          </w:pPr>
          <w:hyperlink w:anchor="_Toc412105858" w:history="1">
            <w:r w:rsidR="00F116CC" w:rsidRPr="00F116CC">
              <w:rPr>
                <w:rStyle w:val="Hyperlink"/>
                <w:rFonts w:ascii="Times New Roman" w:hAnsi="Times New Roman" w:cs="Times New Roman"/>
                <w:noProof/>
              </w:rPr>
              <w:t>Impact of Introducing Consumer Tax on Basic Food Items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_Toc412105858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7</w:t>
            </w:r>
            <w:r w:rsidR="00F116CC" w:rsidRPr="00F116CC">
              <w:rPr>
                <w:rFonts w:ascii="Times New Roman" w:hAnsi="Times New Roman" w:cs="Times New Roman"/>
                <w:noProof/>
                <w:webHidden/>
              </w:rPr>
              <w:fldChar w:fldCharType="end"/>
            </w:r>
          </w:hyperlink>
        </w:p>
        <w:p w:rsidR="00F116CC" w:rsidRPr="00F116CC" w:rsidRDefault="007C17CB">
          <w:pPr>
            <w:pStyle w:val="TOC1"/>
            <w:tabs>
              <w:tab w:val="right" w:leader="dot" w:pos="9350"/>
            </w:tabs>
            <w:rPr>
              <w:rFonts w:ascii="Times New Roman" w:eastAsiaTheme="minorEastAsia" w:hAnsi="Times New Roman" w:cs="Times New Roman"/>
              <w:noProof/>
            </w:rPr>
          </w:pPr>
          <w:hyperlink w:anchor="_Toc412105859" w:history="1">
            <w:r w:rsidR="00F116CC" w:rsidRPr="00F116CC">
              <w:rPr>
                <w:rStyle w:val="Hyperlink"/>
                <w:rFonts w:ascii="Times New Roman" w:eastAsia="Times New Roman" w:hAnsi="Times New Roman" w:cs="Times New Roman"/>
                <w:noProof/>
              </w:rPr>
              <w:t>What is the Current Role of Social Safety Nets in Djibouti?</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_Toc412105859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9</w:t>
            </w:r>
            <w:r w:rsidR="00F116CC" w:rsidRPr="00F116CC">
              <w:rPr>
                <w:rFonts w:ascii="Times New Roman" w:hAnsi="Times New Roman" w:cs="Times New Roman"/>
                <w:noProof/>
                <w:webHidden/>
              </w:rPr>
              <w:fldChar w:fldCharType="end"/>
            </w:r>
          </w:hyperlink>
        </w:p>
        <w:p w:rsidR="00F116CC" w:rsidRPr="00F116CC" w:rsidRDefault="007C17CB">
          <w:pPr>
            <w:pStyle w:val="TOC1"/>
            <w:tabs>
              <w:tab w:val="right" w:leader="dot" w:pos="9350"/>
            </w:tabs>
            <w:rPr>
              <w:rFonts w:ascii="Times New Roman" w:eastAsiaTheme="minorEastAsia" w:hAnsi="Times New Roman" w:cs="Times New Roman"/>
              <w:noProof/>
            </w:rPr>
          </w:pPr>
          <w:hyperlink w:anchor="_Toc412105860" w:history="1">
            <w:r w:rsidR="00F116CC" w:rsidRPr="00F116CC">
              <w:rPr>
                <w:rStyle w:val="Hyperlink"/>
                <w:rFonts w:ascii="Times New Roman" w:eastAsia="Times New Roman" w:hAnsi="Times New Roman" w:cs="Times New Roman"/>
                <w:noProof/>
              </w:rPr>
              <w:t>What is the Impact of the Reforming Tax Exemptions and Safety Nets on Poverty?</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_Toc412105860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11</w:t>
            </w:r>
            <w:r w:rsidR="00F116CC" w:rsidRPr="00F116CC">
              <w:rPr>
                <w:rFonts w:ascii="Times New Roman" w:hAnsi="Times New Roman" w:cs="Times New Roman"/>
                <w:noProof/>
                <w:webHidden/>
              </w:rPr>
              <w:fldChar w:fldCharType="end"/>
            </w:r>
          </w:hyperlink>
        </w:p>
        <w:p w:rsidR="00F116CC" w:rsidRPr="00F116CC" w:rsidRDefault="007C17CB">
          <w:pPr>
            <w:pStyle w:val="TOC2"/>
            <w:tabs>
              <w:tab w:val="right" w:leader="dot" w:pos="9350"/>
            </w:tabs>
            <w:rPr>
              <w:rFonts w:ascii="Times New Roman" w:eastAsiaTheme="minorEastAsia" w:hAnsi="Times New Roman" w:cs="Times New Roman"/>
              <w:noProof/>
            </w:rPr>
          </w:pPr>
          <w:hyperlink w:anchor="_Toc412105861" w:history="1">
            <w:r w:rsidR="00F116CC" w:rsidRPr="00F116CC">
              <w:rPr>
                <w:rStyle w:val="Hyperlink"/>
                <w:rFonts w:ascii="Times New Roman" w:hAnsi="Times New Roman" w:cs="Times New Roman"/>
                <w:noProof/>
              </w:rPr>
              <w:t>Impact of Tax Reform on Household Welfare and Government Revenue</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_Toc412105861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12</w:t>
            </w:r>
            <w:r w:rsidR="00F116CC" w:rsidRPr="00F116CC">
              <w:rPr>
                <w:rFonts w:ascii="Times New Roman" w:hAnsi="Times New Roman" w:cs="Times New Roman"/>
                <w:noProof/>
                <w:webHidden/>
              </w:rPr>
              <w:fldChar w:fldCharType="end"/>
            </w:r>
          </w:hyperlink>
        </w:p>
        <w:p w:rsidR="00F116CC" w:rsidRPr="00F116CC" w:rsidRDefault="007C17CB">
          <w:pPr>
            <w:pStyle w:val="TOC2"/>
            <w:tabs>
              <w:tab w:val="right" w:leader="dot" w:pos="9350"/>
            </w:tabs>
            <w:rPr>
              <w:rFonts w:ascii="Times New Roman" w:eastAsiaTheme="minorEastAsia" w:hAnsi="Times New Roman" w:cs="Times New Roman"/>
              <w:noProof/>
            </w:rPr>
          </w:pPr>
          <w:hyperlink w:anchor="_Toc412105862" w:history="1">
            <w:r w:rsidR="00F116CC" w:rsidRPr="00F116CC">
              <w:rPr>
                <w:rStyle w:val="Hyperlink"/>
                <w:rFonts w:ascii="Times New Roman" w:eastAsia="Times New Roman" w:hAnsi="Times New Roman" w:cs="Times New Roman"/>
                <w:noProof/>
              </w:rPr>
              <w:t>Likely Impact of Compensation Policies through Social Safety Nets Programs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_Toc412105862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13</w:t>
            </w:r>
            <w:r w:rsidR="00F116CC" w:rsidRPr="00F116CC">
              <w:rPr>
                <w:rFonts w:ascii="Times New Roman" w:hAnsi="Times New Roman" w:cs="Times New Roman"/>
                <w:noProof/>
                <w:webHidden/>
              </w:rPr>
              <w:fldChar w:fldCharType="end"/>
            </w:r>
          </w:hyperlink>
        </w:p>
        <w:p w:rsidR="00C63AB5" w:rsidRPr="00F116CC" w:rsidRDefault="00D62C41">
          <w:pPr>
            <w:rPr>
              <w:rFonts w:ascii="Times New Roman" w:hAnsi="Times New Roman" w:cs="Times New Roman"/>
            </w:rPr>
          </w:pPr>
          <w:r w:rsidRPr="00F116CC">
            <w:rPr>
              <w:rFonts w:ascii="Times New Roman" w:eastAsiaTheme="minorHAnsi" w:hAnsi="Times New Roman" w:cs="Times New Roman"/>
            </w:rPr>
            <w:fldChar w:fldCharType="end"/>
          </w:r>
        </w:p>
      </w:sdtContent>
    </w:sdt>
    <w:p w:rsidR="00D62C41" w:rsidRPr="00F116CC" w:rsidRDefault="00D62C41">
      <w:pPr>
        <w:pStyle w:val="TableofFigures"/>
        <w:tabs>
          <w:tab w:val="right" w:leader="dot" w:pos="9350"/>
        </w:tabs>
        <w:rPr>
          <w:rFonts w:ascii="Times New Roman" w:eastAsia="Times New Roman" w:hAnsi="Times New Roman" w:cs="Times New Roman"/>
          <w:b/>
        </w:rPr>
      </w:pPr>
    </w:p>
    <w:p w:rsidR="00D62C41" w:rsidRPr="00F116CC" w:rsidRDefault="00D62C41">
      <w:pPr>
        <w:pStyle w:val="TableofFigures"/>
        <w:tabs>
          <w:tab w:val="right" w:leader="dot" w:pos="9350"/>
        </w:tabs>
        <w:rPr>
          <w:rFonts w:ascii="Times New Roman" w:eastAsia="Times New Roman" w:hAnsi="Times New Roman" w:cs="Times New Roman"/>
          <w:b/>
        </w:rPr>
      </w:pPr>
    </w:p>
    <w:p w:rsidR="00D62C41" w:rsidRPr="00F116CC" w:rsidRDefault="00D62C41" w:rsidP="00D62C41">
      <w:pPr>
        <w:rPr>
          <w:rFonts w:ascii="Times New Roman" w:hAnsi="Times New Roman" w:cs="Times New Roman"/>
          <w:b/>
        </w:rPr>
      </w:pPr>
      <w:r w:rsidRPr="00F116CC">
        <w:rPr>
          <w:rFonts w:ascii="Times New Roman" w:hAnsi="Times New Roman" w:cs="Times New Roman"/>
          <w:b/>
        </w:rPr>
        <w:t>Tables</w:t>
      </w:r>
    </w:p>
    <w:p w:rsidR="00F116CC" w:rsidRPr="00F116CC" w:rsidRDefault="00D62C41">
      <w:pPr>
        <w:pStyle w:val="TableofFigures"/>
        <w:tabs>
          <w:tab w:val="right" w:leader="dot" w:pos="9350"/>
        </w:tabs>
        <w:rPr>
          <w:rFonts w:ascii="Times New Roman" w:eastAsiaTheme="minorEastAsia" w:hAnsi="Times New Roman" w:cs="Times New Roman"/>
          <w:noProof/>
        </w:rPr>
      </w:pPr>
      <w:r w:rsidRPr="00F116CC">
        <w:rPr>
          <w:rFonts w:ascii="Times New Roman" w:eastAsia="Times New Roman" w:hAnsi="Times New Roman" w:cs="Times New Roman"/>
          <w:b/>
        </w:rPr>
        <w:fldChar w:fldCharType="begin"/>
      </w:r>
      <w:r w:rsidRPr="00F116CC">
        <w:rPr>
          <w:rFonts w:ascii="Times New Roman" w:eastAsia="Times New Roman" w:hAnsi="Times New Roman" w:cs="Times New Roman"/>
          <w:b/>
        </w:rPr>
        <w:instrText xml:space="preserve"> TOC \h \z \c "Table" </w:instrText>
      </w:r>
      <w:r w:rsidRPr="00F116CC">
        <w:rPr>
          <w:rFonts w:ascii="Times New Roman" w:eastAsia="Times New Roman" w:hAnsi="Times New Roman" w:cs="Times New Roman"/>
          <w:b/>
        </w:rPr>
        <w:fldChar w:fldCharType="separate"/>
      </w:r>
      <w:hyperlink w:anchor="_Toc412105832" w:history="1">
        <w:r w:rsidR="00F116CC" w:rsidRPr="00F116CC">
          <w:rPr>
            <w:rStyle w:val="Hyperlink"/>
            <w:rFonts w:ascii="Times New Roman" w:hAnsi="Times New Roman" w:cs="Times New Roman"/>
            <w:noProof/>
          </w:rPr>
          <w:t>Table 1: Percentage of Households Owning a Car or Motorbike, or Using Buses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_Toc412105832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4</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33" w:history="1">
        <w:r w:rsidR="00F116CC" w:rsidRPr="00F116CC">
          <w:rPr>
            <w:rStyle w:val="Hyperlink"/>
            <w:rFonts w:ascii="Times New Roman" w:hAnsi="Times New Roman" w:cs="Times New Roman"/>
            <w:noProof/>
          </w:rPr>
          <w:t>Table 2: Expenditures per Household (in 2014, DF)</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_Toc412105833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4</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34" w:history="1">
        <w:r w:rsidR="00F116CC" w:rsidRPr="00F116CC">
          <w:rPr>
            <w:rStyle w:val="Hyperlink"/>
            <w:rFonts w:ascii="Times New Roman" w:hAnsi="Times New Roman" w:cs="Times New Roman"/>
            <w:noProof/>
          </w:rPr>
          <w:t>Table 3: Expenditure on Subsidized Products over Total Expenditures (in %)</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_Toc412105834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4</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35" w:history="1">
        <w:r w:rsidR="00F116CC" w:rsidRPr="00F116CC">
          <w:rPr>
            <w:rStyle w:val="Hyperlink"/>
            <w:rFonts w:ascii="Times New Roman" w:hAnsi="Times New Roman" w:cs="Times New Roman"/>
            <w:noProof/>
          </w:rPr>
          <w:t>Table 4: Expenditures per Household (in DF)</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_Toc412105835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5</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36" w:history="1">
        <w:r w:rsidR="00F116CC" w:rsidRPr="00F116CC">
          <w:rPr>
            <w:rStyle w:val="Hyperlink"/>
            <w:rFonts w:ascii="Times New Roman" w:hAnsi="Times New Roman" w:cs="Times New Roman"/>
            <w:noProof/>
          </w:rPr>
          <w:t>Table 5: Expenditure on Subsidized Products over Total Expenditures (in %)</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_Toc412105836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5</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37" w:history="1">
        <w:r w:rsidR="00F116CC" w:rsidRPr="00F116CC">
          <w:rPr>
            <w:rStyle w:val="Hyperlink"/>
            <w:rFonts w:ascii="Times New Roman" w:hAnsi="Times New Roman" w:cs="Times New Roman"/>
            <w:noProof/>
          </w:rPr>
          <w:t>Table 6: The Total Impact on the Population’s Well-Being (in DF, millions)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_Toc412105837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6</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38" w:history="1">
        <w:r w:rsidR="00F116CC" w:rsidRPr="00F116CC">
          <w:rPr>
            <w:rStyle w:val="Hyperlink"/>
            <w:rFonts w:ascii="Times New Roman" w:hAnsi="Times New Roman" w:cs="Times New Roman"/>
            <w:noProof/>
          </w:rPr>
          <w:t>Table 7: The Impact on the Per Capita Well-Being (in DF)</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_Toc412105838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6</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39" w:history="1">
        <w:r w:rsidR="00F116CC" w:rsidRPr="00F116CC">
          <w:rPr>
            <w:rStyle w:val="Hyperlink"/>
            <w:rFonts w:ascii="Times New Roman" w:hAnsi="Times New Roman" w:cs="Times New Roman"/>
            <w:noProof/>
          </w:rPr>
          <w:t>Table 8: The Impact on Well-Being (in %)</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_Toc412105839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7</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0" w:history="1">
        <w:r w:rsidR="00F116CC" w:rsidRPr="00F116CC">
          <w:rPr>
            <w:rStyle w:val="Hyperlink"/>
            <w:rFonts w:ascii="Times New Roman" w:hAnsi="Times New Roman" w:cs="Times New Roman"/>
            <w:noProof/>
          </w:rPr>
          <w:t>Table 9: The Impact of the Reform on the Government Revenue (in DF, millions)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_Toc412105840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7</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1" w:history="1">
        <w:r w:rsidR="00F116CC" w:rsidRPr="00F116CC">
          <w:rPr>
            <w:rStyle w:val="Hyperlink"/>
            <w:rFonts w:ascii="Times New Roman" w:hAnsi="Times New Roman" w:cs="Times New Roman"/>
            <w:noProof/>
          </w:rPr>
          <w:t>Table 10: The Total Impact on the Population’s Well-Being (in DF, millions)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_Toc412105841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8</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2" w:history="1">
        <w:r w:rsidR="00F116CC" w:rsidRPr="00F116CC">
          <w:rPr>
            <w:rStyle w:val="Hyperlink"/>
            <w:rFonts w:ascii="Times New Roman" w:hAnsi="Times New Roman" w:cs="Times New Roman"/>
            <w:noProof/>
          </w:rPr>
          <w:t>Table 11: The Impact on the Per Capita Well-Being (in DF)</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_Toc412105842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8</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3" w:history="1">
        <w:r w:rsidR="00F116CC" w:rsidRPr="00F116CC">
          <w:rPr>
            <w:rStyle w:val="Hyperlink"/>
            <w:rFonts w:ascii="Times New Roman" w:hAnsi="Times New Roman" w:cs="Times New Roman"/>
            <w:noProof/>
          </w:rPr>
          <w:t>Table 12: The Impact on Well-Being (in %)</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_Toc412105843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8</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4" w:history="1">
        <w:r w:rsidR="00F116CC" w:rsidRPr="00F116CC">
          <w:rPr>
            <w:rStyle w:val="Hyperlink"/>
            <w:rFonts w:ascii="Times New Roman" w:hAnsi="Times New Roman" w:cs="Times New Roman"/>
            <w:noProof/>
          </w:rPr>
          <w:t>Table 13: The Impact of the Reform on the Government Revenue (in DF, millions)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_Toc412105844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9</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5" w:history="1">
        <w:r w:rsidR="00F116CC" w:rsidRPr="00F116CC">
          <w:rPr>
            <w:rStyle w:val="Hyperlink"/>
            <w:rFonts w:ascii="Times New Roman" w:hAnsi="Times New Roman" w:cs="Times New Roman"/>
            <w:noProof/>
          </w:rPr>
          <w:t>Table 14: Coverage of Transfer Programs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_Toc412105845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9</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6" w:history="1">
        <w:r w:rsidR="00F116CC" w:rsidRPr="00F116CC">
          <w:rPr>
            <w:rStyle w:val="Hyperlink"/>
            <w:rFonts w:ascii="Times New Roman" w:hAnsi="Times New Roman" w:cs="Times New Roman"/>
            <w:noProof/>
          </w:rPr>
          <w:t>Table 15. Distribution of Benefits (Targeting Accuracy)</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_Toc412105846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10</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7" w:history="1">
        <w:r w:rsidR="00F116CC" w:rsidRPr="00F116CC">
          <w:rPr>
            <w:rStyle w:val="Hyperlink"/>
            <w:rFonts w:ascii="Times New Roman" w:hAnsi="Times New Roman" w:cs="Times New Roman"/>
            <w:noProof/>
          </w:rPr>
          <w:t>Table 16. Decomposition of the Impact of the Different Programs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_Toc412105847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11</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8" w:history="1">
        <w:r w:rsidR="00F116CC" w:rsidRPr="00F116CC">
          <w:rPr>
            <w:rStyle w:val="Hyperlink"/>
            <w:rFonts w:ascii="Times New Roman" w:hAnsi="Times New Roman" w:cs="Times New Roman"/>
            <w:noProof/>
          </w:rPr>
          <w:t>Table 17: The Reform, the Destitution Head Count, and the Gini Index</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_Toc412105848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12</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49" w:history="1">
        <w:r w:rsidR="00F116CC" w:rsidRPr="00F116CC">
          <w:rPr>
            <w:rStyle w:val="Hyperlink"/>
            <w:rFonts w:ascii="Times New Roman" w:hAnsi="Times New Roman" w:cs="Times New Roman"/>
            <w:noProof/>
          </w:rPr>
          <w:t>Table 18: Definition of the Different Transfer Schemes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_Toc412105849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14</w:t>
        </w:r>
        <w:r w:rsidR="00F116CC" w:rsidRPr="00F116CC">
          <w:rPr>
            <w:rFonts w:ascii="Times New Roman" w:hAnsi="Times New Roman" w:cs="Times New Roman"/>
            <w:noProof/>
            <w:webHidden/>
          </w:rPr>
          <w:fldChar w:fldCharType="end"/>
        </w:r>
      </w:hyperlink>
    </w:p>
    <w:p w:rsidR="00F116CC" w:rsidRPr="00F116CC" w:rsidRDefault="007C17CB">
      <w:pPr>
        <w:pStyle w:val="TableofFigures"/>
        <w:tabs>
          <w:tab w:val="right" w:leader="dot" w:pos="9350"/>
        </w:tabs>
        <w:rPr>
          <w:rFonts w:ascii="Times New Roman" w:eastAsiaTheme="minorEastAsia" w:hAnsi="Times New Roman" w:cs="Times New Roman"/>
          <w:noProof/>
        </w:rPr>
      </w:pPr>
      <w:hyperlink w:anchor="_Toc412105850" w:history="1">
        <w:r w:rsidR="00F116CC" w:rsidRPr="00F116CC">
          <w:rPr>
            <w:rStyle w:val="Hyperlink"/>
            <w:rFonts w:ascii="Times New Roman" w:hAnsi="Times New Roman" w:cs="Times New Roman"/>
            <w:noProof/>
          </w:rPr>
          <w:t>Table 19: Effect on Destitution Gap of the Different Transfer Schemes</w:t>
        </w:r>
        <w:r w:rsidR="00F116CC" w:rsidRPr="00F116CC">
          <w:rPr>
            <w:rFonts w:ascii="Times New Roman" w:hAnsi="Times New Roman" w:cs="Times New Roman"/>
            <w:noProof/>
            <w:webHidden/>
          </w:rPr>
          <w:tab/>
        </w:r>
        <w:r w:rsidR="00F116CC" w:rsidRPr="00F116CC">
          <w:rPr>
            <w:rFonts w:ascii="Times New Roman" w:hAnsi="Times New Roman" w:cs="Times New Roman"/>
            <w:noProof/>
            <w:webHidden/>
          </w:rPr>
          <w:fldChar w:fldCharType="begin"/>
        </w:r>
        <w:r w:rsidR="00F116CC" w:rsidRPr="00F116CC">
          <w:rPr>
            <w:rFonts w:ascii="Times New Roman" w:hAnsi="Times New Roman" w:cs="Times New Roman"/>
            <w:noProof/>
            <w:webHidden/>
          </w:rPr>
          <w:instrText xml:space="preserve"> PAGEREF _Toc412105850 \h </w:instrText>
        </w:r>
        <w:r w:rsidR="00F116CC" w:rsidRPr="00F116CC">
          <w:rPr>
            <w:rFonts w:ascii="Times New Roman" w:hAnsi="Times New Roman" w:cs="Times New Roman"/>
            <w:noProof/>
            <w:webHidden/>
          </w:rPr>
        </w:r>
        <w:r w:rsidR="00F116CC" w:rsidRPr="00F116CC">
          <w:rPr>
            <w:rFonts w:ascii="Times New Roman" w:hAnsi="Times New Roman" w:cs="Times New Roman"/>
            <w:noProof/>
            <w:webHidden/>
          </w:rPr>
          <w:fldChar w:fldCharType="separate"/>
        </w:r>
        <w:r w:rsidR="00F116CC" w:rsidRPr="00F116CC">
          <w:rPr>
            <w:rFonts w:ascii="Times New Roman" w:hAnsi="Times New Roman" w:cs="Times New Roman"/>
            <w:noProof/>
            <w:webHidden/>
          </w:rPr>
          <w:t>15</w:t>
        </w:r>
        <w:r w:rsidR="00F116CC" w:rsidRPr="00F116CC">
          <w:rPr>
            <w:rFonts w:ascii="Times New Roman" w:hAnsi="Times New Roman" w:cs="Times New Roman"/>
            <w:noProof/>
            <w:webHidden/>
          </w:rPr>
          <w:fldChar w:fldCharType="end"/>
        </w:r>
      </w:hyperlink>
    </w:p>
    <w:p w:rsidR="00C63AB5" w:rsidRPr="00D62C41" w:rsidRDefault="00D62C41">
      <w:pPr>
        <w:rPr>
          <w:rFonts w:ascii="Times New Roman" w:eastAsia="Times New Roman" w:hAnsi="Times New Roman" w:cs="Times New Roman"/>
          <w:b/>
        </w:rPr>
      </w:pPr>
      <w:r w:rsidRPr="00F116CC">
        <w:rPr>
          <w:rFonts w:ascii="Times New Roman" w:eastAsia="Times New Roman" w:hAnsi="Times New Roman" w:cs="Times New Roman"/>
          <w:b/>
        </w:rPr>
        <w:fldChar w:fldCharType="end"/>
      </w:r>
    </w:p>
    <w:p w:rsidR="00097665" w:rsidRDefault="00097665" w:rsidP="00097665">
      <w:pPr>
        <w:pStyle w:val="Heading1"/>
        <w:rPr>
          <w:lang w:val="en"/>
        </w:rPr>
      </w:pPr>
      <w:r>
        <w:rPr>
          <w:rFonts w:eastAsia="Times New Roman"/>
        </w:rPr>
        <w:br w:type="page"/>
      </w:r>
      <w:r>
        <w:rPr>
          <w:lang w:val="en"/>
        </w:rPr>
        <w:lastRenderedPageBreak/>
        <w:t>Acknowledgements</w:t>
      </w:r>
    </w:p>
    <w:p w:rsidR="00097665" w:rsidRDefault="00097665" w:rsidP="00097665">
      <w:pPr>
        <w:rPr>
          <w:rFonts w:ascii="Arial" w:hAnsi="Arial" w:cs="Arial"/>
          <w:color w:val="222222"/>
          <w:lang w:val="en"/>
        </w:rPr>
      </w:pPr>
    </w:p>
    <w:p w:rsidR="00097665" w:rsidRPr="00097665" w:rsidRDefault="00097665" w:rsidP="00097665">
      <w:pPr>
        <w:rPr>
          <w:rFonts w:ascii="Times New Roman" w:hAnsi="Times New Roman" w:cs="Times New Roman"/>
          <w:color w:val="222222"/>
          <w:lang w:val="en"/>
        </w:rPr>
      </w:pPr>
      <w:r w:rsidRPr="00097665">
        <w:rPr>
          <w:rFonts w:ascii="Times New Roman" w:hAnsi="Times New Roman" w:cs="Times New Roman"/>
          <w:color w:val="222222"/>
          <w:lang w:val="en"/>
        </w:rPr>
        <w:t>The PSIA team from the World Bank comprises Stefanie Brodmann, (Senior Economist and task team leader), Harold Coulombe (Consultant), Robert Bacon (Consultant), Ines Rodriguez Caillava (Consultant) and Angela Elzir (Junior Professional Associate). Paolo Verme (Senior Economist), Abdoulaye Sy (Country Economist) and Ilhelm Salamon (Senior Economist) are part of the extended team. The International Monetary Fund (IMF) is represented by Abdurahman Aden.</w:t>
      </w:r>
    </w:p>
    <w:p w:rsidR="00097665" w:rsidRPr="00097665" w:rsidRDefault="00097665" w:rsidP="00097665">
      <w:pPr>
        <w:rPr>
          <w:rFonts w:ascii="Times New Roman" w:hAnsi="Times New Roman" w:cs="Times New Roman"/>
          <w:color w:val="222222"/>
          <w:lang w:val="en"/>
        </w:rPr>
      </w:pPr>
      <w:r w:rsidRPr="00097665">
        <w:rPr>
          <w:rFonts w:ascii="Times New Roman" w:hAnsi="Times New Roman" w:cs="Times New Roman"/>
          <w:color w:val="222222"/>
          <w:lang w:val="en"/>
        </w:rPr>
        <w:br/>
        <w:t>On the Djibouti side, the national technical committee was composed of Amina Warsama, Mouna Ahmed Ragueh, et Zeinab Ahmed Houssein (</w:t>
      </w:r>
      <w:r w:rsidRPr="00097665">
        <w:rPr>
          <w:rFonts w:ascii="Times New Roman" w:eastAsia="Times New Roman" w:hAnsi="Times New Roman" w:cs="Times New Roman"/>
        </w:rPr>
        <w:t>Secretary of State responsible for National Solidarity</w:t>
      </w:r>
      <w:r w:rsidRPr="00097665">
        <w:rPr>
          <w:rFonts w:ascii="Times New Roman" w:hAnsi="Times New Roman" w:cs="Times New Roman"/>
          <w:color w:val="222222"/>
          <w:lang w:val="en"/>
        </w:rPr>
        <w:t>), Almis Mohamed Abdillahi and gentlemen (Ministry of Budget), Idriss Abdillahi Orah (Ministry of Economy and Finance, responsible for Industry) Houmed Gaba-Omar (Ministry of Energy), Aref Omar Wahib (Ministry of Transport) and Yacin Abdi Farid (Department of Statistics and Demographic Studies, DISED).</w:t>
      </w:r>
    </w:p>
    <w:p w:rsidR="00097665" w:rsidRPr="00097665" w:rsidRDefault="00097665" w:rsidP="00097665">
      <w:pPr>
        <w:rPr>
          <w:rFonts w:ascii="Times New Roman" w:hAnsi="Times New Roman" w:cs="Times New Roman"/>
        </w:rPr>
      </w:pPr>
      <w:r w:rsidRPr="00097665">
        <w:rPr>
          <w:rFonts w:ascii="Times New Roman" w:hAnsi="Times New Roman" w:cs="Times New Roman"/>
          <w:color w:val="222222"/>
          <w:lang w:val="en"/>
        </w:rPr>
        <w:t>The team is grateful to HE Zahra Youssouf Kayad (</w:t>
      </w:r>
      <w:r w:rsidRPr="00097665">
        <w:rPr>
          <w:rFonts w:ascii="Times New Roman" w:eastAsia="Times New Roman" w:hAnsi="Times New Roman" w:cs="Times New Roman"/>
        </w:rPr>
        <w:t>Secretary of State responsible for National Solidarity</w:t>
      </w:r>
      <w:r w:rsidRPr="00097665">
        <w:rPr>
          <w:rFonts w:ascii="Times New Roman" w:hAnsi="Times New Roman" w:cs="Times New Roman"/>
          <w:color w:val="222222"/>
          <w:lang w:val="en"/>
        </w:rPr>
        <w:t>), Simon Mibrathu (Secretary General, Ministry of Budget), Idriss Ali Sultan (Director, DISED), Sekou Konate Tidiani (Statistician, DISED) Homa Fotouhi (Resident Representative, World Bank) and Yasser El-Gammal (Manager Social Protection, World Bank) for their guidance in the preparation of this study.</w:t>
      </w:r>
    </w:p>
    <w:p w:rsidR="00097665" w:rsidRDefault="00097665">
      <w:pPr>
        <w:rPr>
          <w:rFonts w:eastAsia="Times New Roman"/>
          <w:b/>
        </w:rPr>
      </w:pPr>
    </w:p>
    <w:p w:rsidR="00097665" w:rsidRDefault="00097665">
      <w:pPr>
        <w:rPr>
          <w:rFonts w:eastAsia="Times New Roman"/>
          <w:b/>
        </w:rPr>
      </w:pPr>
    </w:p>
    <w:p w:rsidR="00D56EDF" w:rsidRDefault="00D56EDF">
      <w:pPr>
        <w:rPr>
          <w:rFonts w:eastAsia="Times New Roman"/>
          <w:b/>
        </w:rPr>
        <w:sectPr w:rsidR="00D56EDF" w:rsidSect="00D62C41">
          <w:footerReference w:type="default" r:id="rId9"/>
          <w:footerReference w:type="first" r:id="rId10"/>
          <w:pgSz w:w="12240" w:h="15840"/>
          <w:pgMar w:top="1440" w:right="1440" w:bottom="1440" w:left="1440" w:header="720" w:footer="720" w:gutter="0"/>
          <w:cols w:space="720"/>
          <w:titlePg/>
          <w:docGrid w:linePitch="360"/>
        </w:sectPr>
      </w:pPr>
    </w:p>
    <w:p w:rsidR="00504398" w:rsidRDefault="00C63AB5" w:rsidP="00C63AB5">
      <w:pPr>
        <w:pStyle w:val="Heading1"/>
        <w:rPr>
          <w:rFonts w:eastAsia="Times New Roman"/>
        </w:rPr>
      </w:pPr>
      <w:bookmarkStart w:id="1" w:name="_Toc412105851"/>
      <w:r>
        <w:rPr>
          <w:rFonts w:eastAsia="Times New Roman"/>
        </w:rPr>
        <w:lastRenderedPageBreak/>
        <w:t>Motivation</w:t>
      </w:r>
      <w:bookmarkEnd w:id="1"/>
    </w:p>
    <w:p w:rsidR="00D62C41" w:rsidRPr="00D62C41" w:rsidRDefault="00D62C41" w:rsidP="00D62C41">
      <w:pPr>
        <w:spacing w:after="0"/>
        <w:jc w:val="both"/>
        <w:rPr>
          <w:rFonts w:ascii="Times New Roman" w:hAnsi="Times New Roman"/>
          <w:color w:val="131313"/>
        </w:rPr>
      </w:pPr>
    </w:p>
    <w:p w:rsidR="00D62C41" w:rsidRDefault="00DF0CE6" w:rsidP="00600CD2">
      <w:pPr>
        <w:widowControl w:val="0"/>
        <w:numPr>
          <w:ilvl w:val="0"/>
          <w:numId w:val="1"/>
        </w:numPr>
        <w:autoSpaceDE w:val="0"/>
        <w:autoSpaceDN w:val="0"/>
        <w:adjustRightInd w:val="0"/>
        <w:spacing w:after="240" w:line="240" w:lineRule="auto"/>
        <w:ind w:left="0" w:firstLine="0"/>
        <w:jc w:val="both"/>
        <w:rPr>
          <w:rFonts w:ascii="Times New Roman" w:hAnsi="Times New Roman"/>
          <w:bCs/>
        </w:rPr>
      </w:pPr>
      <w:r>
        <w:rPr>
          <w:rFonts w:ascii="Times New Roman" w:hAnsi="Times New Roman"/>
          <w:bCs/>
        </w:rPr>
        <w:t>This</w:t>
      </w:r>
      <w:r w:rsidRPr="00D62C41">
        <w:rPr>
          <w:rFonts w:ascii="Times New Roman" w:hAnsi="Times New Roman"/>
          <w:bCs/>
        </w:rPr>
        <w:t xml:space="preserve"> Poverty and Social Impact Analysis (PSIA) is part of </w:t>
      </w:r>
      <w:r w:rsidR="00677031">
        <w:rPr>
          <w:rFonts w:ascii="Times New Roman" w:hAnsi="Times New Roman"/>
          <w:bCs/>
        </w:rPr>
        <w:t xml:space="preserve">a </w:t>
      </w:r>
      <w:r w:rsidRPr="00D62C41">
        <w:rPr>
          <w:rFonts w:ascii="Times New Roman" w:hAnsi="Times New Roman"/>
          <w:bCs/>
        </w:rPr>
        <w:t xml:space="preserve">broader dialogue on </w:t>
      </w:r>
      <w:r>
        <w:rPr>
          <w:rFonts w:ascii="Times New Roman" w:hAnsi="Times New Roman"/>
          <w:bCs/>
        </w:rPr>
        <w:t xml:space="preserve">energy </w:t>
      </w:r>
      <w:r w:rsidRPr="00D62C41">
        <w:rPr>
          <w:rFonts w:ascii="Times New Roman" w:hAnsi="Times New Roman"/>
          <w:bCs/>
        </w:rPr>
        <w:t xml:space="preserve">tax reform and strengthening social safety nets in Djibouti. </w:t>
      </w:r>
      <w:r w:rsidR="00D62C41" w:rsidRPr="00D62C41">
        <w:rPr>
          <w:rFonts w:ascii="Times New Roman" w:hAnsi="Times New Roman"/>
          <w:bCs/>
        </w:rPr>
        <w:t>As part of a possible</w:t>
      </w:r>
      <w:r w:rsidR="00D62C41">
        <w:rPr>
          <w:rFonts w:ascii="Times New Roman" w:hAnsi="Times New Roman"/>
          <w:bCs/>
        </w:rPr>
        <w:t xml:space="preserve"> reform of energy taxes </w:t>
      </w:r>
      <w:r w:rsidR="00D62C41" w:rsidRPr="00D62C41">
        <w:rPr>
          <w:rFonts w:ascii="Times New Roman" w:hAnsi="Times New Roman"/>
          <w:bCs/>
        </w:rPr>
        <w:t xml:space="preserve">in Djibouti, the </w:t>
      </w:r>
      <w:r w:rsidR="00EF6B01">
        <w:rPr>
          <w:rFonts w:ascii="Times New Roman" w:hAnsi="Times New Roman"/>
          <w:bCs/>
        </w:rPr>
        <w:t>g</w:t>
      </w:r>
      <w:r w:rsidR="00D62C41" w:rsidRPr="00D62C41">
        <w:rPr>
          <w:rFonts w:ascii="Times New Roman" w:hAnsi="Times New Roman"/>
          <w:bCs/>
        </w:rPr>
        <w:t>overnment</w:t>
      </w:r>
      <w:r w:rsidR="00D62C41">
        <w:rPr>
          <w:rFonts w:ascii="Times New Roman" w:hAnsi="Times New Roman"/>
          <w:bCs/>
        </w:rPr>
        <w:t xml:space="preserve"> of Djibouti has sought </w:t>
      </w:r>
      <w:r w:rsidR="00D62C41" w:rsidRPr="00D62C41">
        <w:rPr>
          <w:rFonts w:ascii="Times New Roman" w:hAnsi="Times New Roman"/>
          <w:bCs/>
        </w:rPr>
        <w:t xml:space="preserve">the support of the World Bank to better understand </w:t>
      </w:r>
      <w:r w:rsidR="00D62C41">
        <w:rPr>
          <w:rFonts w:ascii="Times New Roman" w:hAnsi="Times New Roman"/>
          <w:bCs/>
        </w:rPr>
        <w:t>how</w:t>
      </w:r>
      <w:r>
        <w:rPr>
          <w:rFonts w:ascii="Times New Roman" w:hAnsi="Times New Roman"/>
          <w:bCs/>
        </w:rPr>
        <w:t xml:space="preserve"> such a policy reform can be </w:t>
      </w:r>
      <w:r w:rsidR="00D62C41">
        <w:rPr>
          <w:rFonts w:ascii="Times New Roman" w:hAnsi="Times New Roman"/>
          <w:bCs/>
        </w:rPr>
        <w:t xml:space="preserve">pro-poor. </w:t>
      </w:r>
      <w:r w:rsidR="00D62C41" w:rsidRPr="00D62C41">
        <w:rPr>
          <w:rFonts w:ascii="Times New Roman" w:hAnsi="Times New Roman"/>
          <w:bCs/>
        </w:rPr>
        <w:t>Through this technical assistance,</w:t>
      </w:r>
      <w:r w:rsidR="00D62C41">
        <w:rPr>
          <w:rFonts w:ascii="Times New Roman" w:hAnsi="Times New Roman"/>
          <w:bCs/>
        </w:rPr>
        <w:t xml:space="preserve"> a</w:t>
      </w:r>
      <w:r w:rsidR="00D62C41" w:rsidRPr="00D62C41">
        <w:rPr>
          <w:rFonts w:ascii="Times New Roman" w:hAnsi="Times New Roman"/>
          <w:bCs/>
        </w:rPr>
        <w:t xml:space="preserve"> cross-sectoral Bank team</w:t>
      </w:r>
      <w:r w:rsidR="00677031">
        <w:rPr>
          <w:rFonts w:ascii="Times New Roman" w:hAnsi="Times New Roman"/>
          <w:bCs/>
        </w:rPr>
        <w:t>,</w:t>
      </w:r>
      <w:r w:rsidR="00D62C41" w:rsidRPr="00D62C41">
        <w:rPr>
          <w:rFonts w:ascii="Times New Roman" w:hAnsi="Times New Roman"/>
          <w:bCs/>
        </w:rPr>
        <w:t xml:space="preserve"> in close cooperation with the </w:t>
      </w:r>
      <w:r w:rsidR="00677031">
        <w:rPr>
          <w:rFonts w:ascii="Times New Roman" w:hAnsi="Times New Roman"/>
          <w:bCs/>
        </w:rPr>
        <w:t>International Monetary Fund (</w:t>
      </w:r>
      <w:r w:rsidR="00D62C41" w:rsidRPr="00D62C41">
        <w:rPr>
          <w:rFonts w:ascii="Times New Roman" w:hAnsi="Times New Roman"/>
          <w:bCs/>
        </w:rPr>
        <w:t>IMF</w:t>
      </w:r>
      <w:r w:rsidR="00677031">
        <w:rPr>
          <w:rFonts w:ascii="Times New Roman" w:hAnsi="Times New Roman"/>
          <w:bCs/>
        </w:rPr>
        <w:t>),</w:t>
      </w:r>
      <w:r w:rsidR="00D62C41" w:rsidRPr="00D62C41">
        <w:rPr>
          <w:rFonts w:ascii="Times New Roman" w:hAnsi="Times New Roman"/>
          <w:bCs/>
        </w:rPr>
        <w:t xml:space="preserve"> </w:t>
      </w:r>
      <w:r w:rsidR="00D62C41">
        <w:rPr>
          <w:rFonts w:ascii="Times New Roman" w:hAnsi="Times New Roman"/>
          <w:bCs/>
        </w:rPr>
        <w:t xml:space="preserve">has </w:t>
      </w:r>
      <w:r w:rsidR="00D62C41" w:rsidRPr="00D62C41">
        <w:rPr>
          <w:rFonts w:ascii="Times New Roman" w:hAnsi="Times New Roman"/>
          <w:bCs/>
        </w:rPr>
        <w:t>support</w:t>
      </w:r>
      <w:r w:rsidR="00D62C41">
        <w:rPr>
          <w:rFonts w:ascii="Times New Roman" w:hAnsi="Times New Roman"/>
          <w:bCs/>
        </w:rPr>
        <w:t>ed</w:t>
      </w:r>
      <w:r w:rsidR="00D62C41" w:rsidRPr="00D62C41">
        <w:rPr>
          <w:rFonts w:ascii="Times New Roman" w:hAnsi="Times New Roman"/>
          <w:bCs/>
        </w:rPr>
        <w:t xml:space="preserve"> the</w:t>
      </w:r>
      <w:r w:rsidR="00D62C41">
        <w:rPr>
          <w:rFonts w:ascii="Times New Roman" w:hAnsi="Times New Roman"/>
          <w:bCs/>
        </w:rPr>
        <w:t xml:space="preserve"> </w:t>
      </w:r>
      <w:r w:rsidR="00677031">
        <w:rPr>
          <w:rFonts w:ascii="Times New Roman" w:hAnsi="Times New Roman"/>
          <w:bCs/>
        </w:rPr>
        <w:t>g</w:t>
      </w:r>
      <w:r w:rsidR="00D62C41">
        <w:rPr>
          <w:rFonts w:ascii="Times New Roman" w:hAnsi="Times New Roman"/>
          <w:bCs/>
        </w:rPr>
        <w:t>overnment of Djibouti to help understand</w:t>
      </w:r>
      <w:r w:rsidR="00677031">
        <w:rPr>
          <w:rFonts w:ascii="Times New Roman" w:hAnsi="Times New Roman"/>
          <w:bCs/>
        </w:rPr>
        <w:t xml:space="preserve"> the following questions</w:t>
      </w:r>
      <w:r w:rsidR="00D62C41">
        <w:rPr>
          <w:rFonts w:ascii="Times New Roman" w:hAnsi="Times New Roman"/>
          <w:bCs/>
        </w:rPr>
        <w:t>:</w:t>
      </w:r>
    </w:p>
    <w:p w:rsidR="00D62C41" w:rsidRPr="00D62C41" w:rsidRDefault="00D62C41" w:rsidP="00EF6B01">
      <w:pPr>
        <w:widowControl w:val="0"/>
        <w:numPr>
          <w:ilvl w:val="0"/>
          <w:numId w:val="4"/>
        </w:numPr>
        <w:autoSpaceDE w:val="0"/>
        <w:autoSpaceDN w:val="0"/>
        <w:adjustRightInd w:val="0"/>
        <w:spacing w:after="0" w:line="240" w:lineRule="auto"/>
        <w:ind w:left="1080"/>
        <w:contextualSpacing/>
        <w:jc w:val="both"/>
        <w:rPr>
          <w:rFonts w:ascii="Times New Roman" w:hAnsi="Times New Roman"/>
          <w:bCs/>
        </w:rPr>
      </w:pPr>
      <w:r w:rsidRPr="00D62C41">
        <w:rPr>
          <w:rFonts w:ascii="Times New Roman" w:hAnsi="Times New Roman"/>
          <w:bCs/>
        </w:rPr>
        <w:t xml:space="preserve">What is the Current Nature </w:t>
      </w:r>
      <w:r>
        <w:rPr>
          <w:rFonts w:ascii="Times New Roman" w:hAnsi="Times New Roman"/>
          <w:bCs/>
        </w:rPr>
        <w:t>of Tax Exemptions in Djibouti?</w:t>
      </w:r>
      <w:r>
        <w:rPr>
          <w:rFonts w:ascii="Times New Roman" w:hAnsi="Times New Roman"/>
          <w:bCs/>
        </w:rPr>
        <w:tab/>
      </w:r>
    </w:p>
    <w:p w:rsidR="00D62C41" w:rsidRPr="00D62C41" w:rsidRDefault="00D62C41" w:rsidP="00EF6B01">
      <w:pPr>
        <w:widowControl w:val="0"/>
        <w:numPr>
          <w:ilvl w:val="0"/>
          <w:numId w:val="4"/>
        </w:numPr>
        <w:autoSpaceDE w:val="0"/>
        <w:autoSpaceDN w:val="0"/>
        <w:adjustRightInd w:val="0"/>
        <w:spacing w:after="0" w:line="240" w:lineRule="auto"/>
        <w:ind w:left="1080"/>
        <w:contextualSpacing/>
        <w:jc w:val="both"/>
        <w:rPr>
          <w:rFonts w:ascii="Times New Roman" w:hAnsi="Times New Roman"/>
          <w:bCs/>
        </w:rPr>
      </w:pPr>
      <w:r w:rsidRPr="00D62C41">
        <w:rPr>
          <w:rFonts w:ascii="Times New Roman" w:hAnsi="Times New Roman"/>
          <w:bCs/>
        </w:rPr>
        <w:t>What is the Impact of the Current Tax Ex</w:t>
      </w:r>
      <w:r>
        <w:rPr>
          <w:rFonts w:ascii="Times New Roman" w:hAnsi="Times New Roman"/>
          <w:bCs/>
        </w:rPr>
        <w:t>emptions on Household Welfare?</w:t>
      </w:r>
      <w:r>
        <w:rPr>
          <w:rFonts w:ascii="Times New Roman" w:hAnsi="Times New Roman"/>
          <w:bCs/>
        </w:rPr>
        <w:tab/>
      </w:r>
    </w:p>
    <w:p w:rsidR="00D62C41" w:rsidRPr="00D62C41" w:rsidRDefault="00D62C41" w:rsidP="00EF6B01">
      <w:pPr>
        <w:widowControl w:val="0"/>
        <w:numPr>
          <w:ilvl w:val="0"/>
          <w:numId w:val="4"/>
        </w:numPr>
        <w:autoSpaceDE w:val="0"/>
        <w:autoSpaceDN w:val="0"/>
        <w:adjustRightInd w:val="0"/>
        <w:spacing w:after="0" w:line="240" w:lineRule="auto"/>
        <w:ind w:left="1080"/>
        <w:contextualSpacing/>
        <w:jc w:val="both"/>
        <w:rPr>
          <w:rFonts w:ascii="Times New Roman" w:hAnsi="Times New Roman"/>
          <w:bCs/>
        </w:rPr>
      </w:pPr>
      <w:r w:rsidRPr="00D62C41">
        <w:rPr>
          <w:rFonts w:ascii="Times New Roman" w:hAnsi="Times New Roman"/>
          <w:bCs/>
        </w:rPr>
        <w:t>What is the Context of su</w:t>
      </w:r>
      <w:r>
        <w:rPr>
          <w:rFonts w:ascii="Times New Roman" w:hAnsi="Times New Roman"/>
          <w:bCs/>
        </w:rPr>
        <w:t>ch Reform: Winners and Losers?</w:t>
      </w:r>
      <w:r>
        <w:rPr>
          <w:rFonts w:ascii="Times New Roman" w:hAnsi="Times New Roman"/>
          <w:bCs/>
        </w:rPr>
        <w:tab/>
      </w:r>
    </w:p>
    <w:p w:rsidR="00D62C41" w:rsidRPr="00D62C41" w:rsidRDefault="00D62C41" w:rsidP="00EF6B01">
      <w:pPr>
        <w:widowControl w:val="0"/>
        <w:numPr>
          <w:ilvl w:val="0"/>
          <w:numId w:val="4"/>
        </w:numPr>
        <w:autoSpaceDE w:val="0"/>
        <w:autoSpaceDN w:val="0"/>
        <w:adjustRightInd w:val="0"/>
        <w:spacing w:after="0" w:line="240" w:lineRule="auto"/>
        <w:ind w:left="1080"/>
        <w:contextualSpacing/>
        <w:jc w:val="both"/>
        <w:rPr>
          <w:rFonts w:ascii="Times New Roman" w:hAnsi="Times New Roman"/>
          <w:bCs/>
        </w:rPr>
      </w:pPr>
      <w:r w:rsidRPr="00D62C41">
        <w:rPr>
          <w:rFonts w:ascii="Times New Roman" w:hAnsi="Times New Roman"/>
          <w:bCs/>
        </w:rPr>
        <w:t>What is the Current Role of So</w:t>
      </w:r>
      <w:r>
        <w:rPr>
          <w:rFonts w:ascii="Times New Roman" w:hAnsi="Times New Roman"/>
          <w:bCs/>
        </w:rPr>
        <w:t>cial Safety Nets in Djibouti?</w:t>
      </w:r>
      <w:r>
        <w:rPr>
          <w:rFonts w:ascii="Times New Roman" w:hAnsi="Times New Roman"/>
          <w:bCs/>
        </w:rPr>
        <w:tab/>
      </w:r>
    </w:p>
    <w:p w:rsidR="00D62C41" w:rsidRPr="00D62C41" w:rsidRDefault="00D62C41" w:rsidP="00EF6B01">
      <w:pPr>
        <w:widowControl w:val="0"/>
        <w:numPr>
          <w:ilvl w:val="0"/>
          <w:numId w:val="4"/>
        </w:numPr>
        <w:autoSpaceDE w:val="0"/>
        <w:autoSpaceDN w:val="0"/>
        <w:adjustRightInd w:val="0"/>
        <w:spacing w:after="240" w:line="240" w:lineRule="auto"/>
        <w:ind w:left="1080"/>
        <w:jc w:val="both"/>
        <w:rPr>
          <w:rFonts w:ascii="Times New Roman" w:hAnsi="Times New Roman"/>
          <w:bCs/>
        </w:rPr>
      </w:pPr>
      <w:r w:rsidRPr="00D62C41">
        <w:rPr>
          <w:rFonts w:ascii="Times New Roman" w:hAnsi="Times New Roman"/>
          <w:bCs/>
        </w:rPr>
        <w:t>What is the Impact of the Reforming Tax Exemption</w:t>
      </w:r>
      <w:r>
        <w:rPr>
          <w:rFonts w:ascii="Times New Roman" w:hAnsi="Times New Roman"/>
          <w:bCs/>
        </w:rPr>
        <w:t>s and Safety Nets on Poverty?</w:t>
      </w:r>
      <w:r>
        <w:rPr>
          <w:rFonts w:ascii="Times New Roman" w:hAnsi="Times New Roman"/>
          <w:bCs/>
        </w:rPr>
        <w:tab/>
      </w:r>
    </w:p>
    <w:p w:rsidR="0072385D" w:rsidRPr="0072385D" w:rsidRDefault="00D62C41" w:rsidP="00600CD2">
      <w:pPr>
        <w:widowControl w:val="0"/>
        <w:numPr>
          <w:ilvl w:val="0"/>
          <w:numId w:val="1"/>
        </w:numPr>
        <w:autoSpaceDE w:val="0"/>
        <w:autoSpaceDN w:val="0"/>
        <w:adjustRightInd w:val="0"/>
        <w:spacing w:after="240" w:line="240" w:lineRule="auto"/>
        <w:ind w:left="0" w:firstLine="0"/>
        <w:jc w:val="both"/>
        <w:rPr>
          <w:rFonts w:ascii="Times New Roman" w:hAnsi="Times New Roman"/>
          <w:bCs/>
        </w:rPr>
      </w:pPr>
      <w:r w:rsidRPr="00D62C41">
        <w:rPr>
          <w:rFonts w:ascii="Times New Roman" w:eastAsia="Times New Roman" w:hAnsi="Times New Roman"/>
        </w:rPr>
        <w:t>The study was designed and implemented by a multisectoral committee composed of various stakeholder institutions, including the Ministry of Economy and Finance, the Ministry of Budget, the Secretary of State responsible for National Solidarity (SESN), the Department of Statistics and Demographic Studies (DISED), the Ministry of Energy, and the Ministry of Transport, with whom the teams of the Bank and the IMF collaborated throughout the process of preparation of the study. Technical meetings were held on January 30, February 2, May 25, May 28, and May 29</w:t>
      </w:r>
      <w:r w:rsidR="00DF0CE6">
        <w:rPr>
          <w:rFonts w:ascii="Times New Roman" w:eastAsia="Times New Roman" w:hAnsi="Times New Roman"/>
        </w:rPr>
        <w:t>,</w:t>
      </w:r>
      <w:r w:rsidRPr="00D62C41">
        <w:rPr>
          <w:rFonts w:ascii="Times New Roman" w:eastAsia="Times New Roman" w:hAnsi="Times New Roman"/>
        </w:rPr>
        <w:t xml:space="preserve"> </w:t>
      </w:r>
      <w:r w:rsidR="00962ADE">
        <w:rPr>
          <w:rFonts w:ascii="Times New Roman" w:eastAsia="Times New Roman" w:hAnsi="Times New Roman"/>
        </w:rPr>
        <w:t>2014</w:t>
      </w:r>
      <w:r w:rsidR="00677031">
        <w:rPr>
          <w:rFonts w:ascii="Times New Roman" w:eastAsia="Times New Roman" w:hAnsi="Times New Roman"/>
        </w:rPr>
        <w:t>,</w:t>
      </w:r>
      <w:r w:rsidR="00962ADE">
        <w:rPr>
          <w:rFonts w:ascii="Times New Roman" w:eastAsia="Times New Roman" w:hAnsi="Times New Roman"/>
        </w:rPr>
        <w:t xml:space="preserve"> </w:t>
      </w:r>
      <w:r w:rsidRPr="00D62C41">
        <w:rPr>
          <w:rFonts w:ascii="Times New Roman" w:eastAsia="Times New Roman" w:hAnsi="Times New Roman"/>
        </w:rPr>
        <w:t>in Djibouti to discuss the various scenarios of reform, obtain additional information, and present preliminary quantitative results. Consultation meetings were held on July 2 and November 15</w:t>
      </w:r>
      <w:r w:rsidR="00962ADE">
        <w:rPr>
          <w:rFonts w:ascii="Times New Roman" w:eastAsia="Times New Roman" w:hAnsi="Times New Roman"/>
        </w:rPr>
        <w:t>, 2014</w:t>
      </w:r>
      <w:r w:rsidR="00677031">
        <w:rPr>
          <w:rFonts w:ascii="Times New Roman" w:eastAsia="Times New Roman" w:hAnsi="Times New Roman"/>
        </w:rPr>
        <w:t>,</w:t>
      </w:r>
      <w:r w:rsidRPr="00D62C41">
        <w:rPr>
          <w:rFonts w:ascii="Times New Roman" w:eastAsia="Times New Roman" w:hAnsi="Times New Roman"/>
        </w:rPr>
        <w:t xml:space="preserve"> to present the findings and discuss possible reform options.</w:t>
      </w:r>
    </w:p>
    <w:p w:rsidR="000E4797" w:rsidRPr="0072385D" w:rsidRDefault="000E4797" w:rsidP="00600CD2">
      <w:pPr>
        <w:widowControl w:val="0"/>
        <w:numPr>
          <w:ilvl w:val="0"/>
          <w:numId w:val="1"/>
        </w:numPr>
        <w:autoSpaceDE w:val="0"/>
        <w:autoSpaceDN w:val="0"/>
        <w:adjustRightInd w:val="0"/>
        <w:spacing w:after="240" w:line="240" w:lineRule="auto"/>
        <w:ind w:left="0" w:firstLine="0"/>
        <w:jc w:val="both"/>
        <w:rPr>
          <w:rFonts w:ascii="Times New Roman" w:hAnsi="Times New Roman"/>
          <w:bCs/>
        </w:rPr>
      </w:pPr>
      <w:r w:rsidRPr="0072385D">
        <w:rPr>
          <w:rFonts w:ascii="Times New Roman" w:eastAsia="Times New Roman" w:hAnsi="Times New Roman"/>
        </w:rPr>
        <w:t xml:space="preserve">This executive summary </w:t>
      </w:r>
      <w:r w:rsidR="003A50D2">
        <w:rPr>
          <w:rFonts w:ascii="Times New Roman" w:eastAsia="Times New Roman" w:hAnsi="Times New Roman"/>
        </w:rPr>
        <w:t>condens</w:t>
      </w:r>
      <w:r w:rsidR="003A50D2" w:rsidRPr="003A50D2">
        <w:rPr>
          <w:rFonts w:ascii="Times New Roman" w:eastAsia="Times New Roman" w:hAnsi="Times New Roman"/>
        </w:rPr>
        <w:t>es</w:t>
      </w:r>
      <w:r w:rsidR="003A50D2" w:rsidRPr="0072385D">
        <w:rPr>
          <w:rFonts w:ascii="Times New Roman" w:eastAsia="Times New Roman" w:hAnsi="Times New Roman"/>
        </w:rPr>
        <w:t xml:space="preserve"> </w:t>
      </w:r>
      <w:r w:rsidRPr="0072385D">
        <w:rPr>
          <w:rFonts w:ascii="Times New Roman" w:eastAsia="Times New Roman" w:hAnsi="Times New Roman"/>
        </w:rPr>
        <w:t xml:space="preserve">the main findings of the study. The study is available as a separate report with </w:t>
      </w:r>
      <w:r w:rsidR="00677031">
        <w:rPr>
          <w:rFonts w:ascii="Times New Roman" w:eastAsia="Times New Roman" w:hAnsi="Times New Roman"/>
        </w:rPr>
        <w:t>more</w:t>
      </w:r>
      <w:r w:rsidRPr="0072385D">
        <w:rPr>
          <w:rFonts w:ascii="Times New Roman" w:eastAsia="Times New Roman" w:hAnsi="Times New Roman"/>
        </w:rPr>
        <w:t xml:space="preserve"> analys</w:t>
      </w:r>
      <w:r w:rsidR="00677031">
        <w:rPr>
          <w:rFonts w:ascii="Times New Roman" w:eastAsia="Times New Roman" w:hAnsi="Times New Roman"/>
        </w:rPr>
        <w:t>e</w:t>
      </w:r>
      <w:r w:rsidRPr="0072385D">
        <w:rPr>
          <w:rFonts w:ascii="Times New Roman" w:eastAsia="Times New Roman" w:hAnsi="Times New Roman"/>
        </w:rPr>
        <w:t>s and background information.</w:t>
      </w:r>
      <w:r w:rsidR="0072385D" w:rsidRPr="0072385D">
        <w:rPr>
          <w:rFonts w:ascii="Times New Roman" w:eastAsia="Times New Roman" w:hAnsi="Times New Roman"/>
        </w:rPr>
        <w:t xml:space="preserve"> </w:t>
      </w:r>
      <w:r w:rsidR="00DF0CE6" w:rsidRPr="00E054B2">
        <w:rPr>
          <w:rFonts w:ascii="Times New Roman" w:hAnsi="Times New Roman"/>
        </w:rPr>
        <w:t>The study is based on data from a repres</w:t>
      </w:r>
      <w:r w:rsidR="00DF0CE6">
        <w:rPr>
          <w:rFonts w:ascii="Times New Roman" w:hAnsi="Times New Roman"/>
        </w:rPr>
        <w:t>entative household survey</w:t>
      </w:r>
      <w:r w:rsidR="00DF0CE6" w:rsidRPr="00E054B2">
        <w:rPr>
          <w:rFonts w:ascii="Times New Roman" w:hAnsi="Times New Roman"/>
        </w:rPr>
        <w:t xml:space="preserve"> which includes detailed information on household expenditures </w:t>
      </w:r>
      <w:r w:rsidR="006F432E">
        <w:rPr>
          <w:rFonts w:ascii="Times New Roman" w:hAnsi="Times New Roman"/>
        </w:rPr>
        <w:t>and</w:t>
      </w:r>
      <w:r w:rsidR="00DF0CE6" w:rsidRPr="00E054B2">
        <w:rPr>
          <w:rFonts w:ascii="Times New Roman" w:hAnsi="Times New Roman"/>
        </w:rPr>
        <w:t xml:space="preserve"> receipt of certain cash and in-kind benefits </w:t>
      </w:r>
      <w:r w:rsidR="00DF0CE6">
        <w:rPr>
          <w:rFonts w:ascii="Times New Roman" w:hAnsi="Times New Roman"/>
        </w:rPr>
        <w:t>(EDAM</w:t>
      </w:r>
      <w:r w:rsidR="00686CC9">
        <w:rPr>
          <w:rFonts w:ascii="Times New Roman" w:hAnsi="Times New Roman"/>
        </w:rPr>
        <w:t xml:space="preserve"> </w:t>
      </w:r>
      <w:r w:rsidR="00DF0CE6">
        <w:rPr>
          <w:rFonts w:ascii="Times New Roman" w:hAnsi="Times New Roman"/>
        </w:rPr>
        <w:t xml:space="preserve">3-2012). </w:t>
      </w:r>
      <w:r w:rsidR="0072385D" w:rsidRPr="0072385D">
        <w:rPr>
          <w:rFonts w:ascii="Times New Roman" w:eastAsia="Times New Roman" w:hAnsi="Times New Roman"/>
        </w:rPr>
        <w:t xml:space="preserve">The tables in this executive summary </w:t>
      </w:r>
      <w:r w:rsidR="0072385D" w:rsidRPr="003A50D2">
        <w:rPr>
          <w:rFonts w:ascii="Times New Roman" w:eastAsia="Times New Roman" w:hAnsi="Times New Roman"/>
        </w:rPr>
        <w:t>show 2014</w:t>
      </w:r>
      <w:r w:rsidR="0072385D" w:rsidRPr="0072385D">
        <w:rPr>
          <w:rFonts w:ascii="Times New Roman" w:eastAsia="Times New Roman" w:hAnsi="Times New Roman"/>
        </w:rPr>
        <w:t xml:space="preserve"> prices, with </w:t>
      </w:r>
      <w:r w:rsidR="001F5A38">
        <w:rPr>
          <w:rFonts w:ascii="Times New Roman" w:eastAsia="Times New Roman" w:hAnsi="Times New Roman"/>
        </w:rPr>
        <w:t xml:space="preserve">inflation rates of </w:t>
      </w:r>
      <w:r w:rsidR="0072385D" w:rsidRPr="0072385D">
        <w:rPr>
          <w:rFonts w:ascii="Times New Roman" w:eastAsia="Times New Roman" w:hAnsi="Times New Roman"/>
        </w:rPr>
        <w:t>2.5 and 2.9 for 2013 and 2014</w:t>
      </w:r>
      <w:r w:rsidR="00686CC9">
        <w:rPr>
          <w:rFonts w:ascii="Times New Roman" w:eastAsia="Times New Roman" w:hAnsi="Times New Roman"/>
        </w:rPr>
        <w:t>,</w:t>
      </w:r>
      <w:r w:rsidR="00686CC9" w:rsidRPr="00686CC9">
        <w:rPr>
          <w:rFonts w:ascii="Times New Roman" w:eastAsia="Times New Roman" w:hAnsi="Times New Roman"/>
        </w:rPr>
        <w:t xml:space="preserve"> </w:t>
      </w:r>
      <w:r w:rsidR="00686CC9" w:rsidRPr="0072385D">
        <w:rPr>
          <w:rFonts w:ascii="Times New Roman" w:eastAsia="Times New Roman" w:hAnsi="Times New Roman"/>
        </w:rPr>
        <w:t>respectively</w:t>
      </w:r>
      <w:r w:rsidR="0072385D" w:rsidRPr="0072385D">
        <w:rPr>
          <w:rFonts w:ascii="Times New Roman" w:eastAsia="Times New Roman" w:hAnsi="Times New Roman"/>
        </w:rPr>
        <w:t>.</w:t>
      </w:r>
    </w:p>
    <w:p w:rsidR="00D62C41" w:rsidRDefault="00D62C41" w:rsidP="00600CD2">
      <w:pPr>
        <w:widowControl w:val="0"/>
        <w:numPr>
          <w:ilvl w:val="0"/>
          <w:numId w:val="1"/>
        </w:numPr>
        <w:autoSpaceDE w:val="0"/>
        <w:autoSpaceDN w:val="0"/>
        <w:adjustRightInd w:val="0"/>
        <w:spacing w:after="240" w:line="240" w:lineRule="auto"/>
        <w:ind w:left="0" w:firstLine="0"/>
        <w:jc w:val="both"/>
        <w:rPr>
          <w:rFonts w:ascii="Times New Roman" w:hAnsi="Times New Roman"/>
        </w:rPr>
      </w:pPr>
      <w:r w:rsidRPr="00E054B2">
        <w:rPr>
          <w:rFonts w:ascii="Times New Roman" w:hAnsi="Times New Roman"/>
        </w:rPr>
        <w:t xml:space="preserve">The third </w:t>
      </w:r>
      <w:r w:rsidRPr="00D87CC6">
        <w:rPr>
          <w:rFonts w:ascii="Times New Roman" w:hAnsi="Times New Roman"/>
          <w:i/>
        </w:rPr>
        <w:t>Enquête Djiboutienne auprès des ménages</w:t>
      </w:r>
      <w:r w:rsidRPr="00E054B2">
        <w:rPr>
          <w:rFonts w:ascii="Times New Roman" w:hAnsi="Times New Roman"/>
        </w:rPr>
        <w:t xml:space="preserve"> (EDAM 3) was conducted in 2012 </w:t>
      </w:r>
      <w:r w:rsidR="00DF0CE6">
        <w:rPr>
          <w:rFonts w:ascii="Times New Roman" w:hAnsi="Times New Roman"/>
        </w:rPr>
        <w:t>and has</w:t>
      </w:r>
      <w:r w:rsidRPr="00E054B2">
        <w:rPr>
          <w:rFonts w:ascii="Times New Roman" w:hAnsi="Times New Roman"/>
        </w:rPr>
        <w:t xml:space="preserve"> a nationally representative sample of the sedentary population composed of 5,880 households with 31,686 individuals. The EDAM 3 questionnaire covers many aspects: demography, education, employment, mortality, governance, housing, access to basic social services, durable goods ownership, and finally, expenditures and revenues. Of particular importance for this study is information on household expenditure on tax-exempt food (flour, rice, oil, sugar, and milk); certain fuel items (kerosene, butane, and fuel expenditure on transport); and electricity</w:t>
      </w:r>
      <w:r w:rsidR="00686CC9">
        <w:rPr>
          <w:rFonts w:ascii="Times New Roman" w:hAnsi="Times New Roman"/>
        </w:rPr>
        <w:t>,</w:t>
      </w:r>
      <w:r w:rsidRPr="00E054B2">
        <w:rPr>
          <w:rFonts w:ascii="Times New Roman" w:hAnsi="Times New Roman"/>
        </w:rPr>
        <w:t xml:space="preserve"> as well as information on cash and in-kind benefits. </w:t>
      </w:r>
      <w:r w:rsidRPr="007A15CA">
        <w:rPr>
          <w:rFonts w:ascii="Times New Roman" w:hAnsi="Times New Roman"/>
        </w:rPr>
        <w:t>The EDAM 3 dataset has been used to compute total expenditure aggregates of households based on which the DISED has produced their recent poverty profile, yielding 40.8 percent of poverty and 23 percent of extreme poverty.</w:t>
      </w:r>
      <w:r w:rsidR="00DF0CE6">
        <w:rPr>
          <w:rStyle w:val="FootnoteReference"/>
          <w:rFonts w:ascii="Times New Roman" w:hAnsi="Times New Roman"/>
        </w:rPr>
        <w:footnoteReference w:id="1"/>
      </w:r>
    </w:p>
    <w:p w:rsidR="00D62C41" w:rsidRDefault="00D62C41" w:rsidP="00600CD2">
      <w:pPr>
        <w:widowControl w:val="0"/>
        <w:numPr>
          <w:ilvl w:val="0"/>
          <w:numId w:val="1"/>
        </w:numPr>
        <w:autoSpaceDE w:val="0"/>
        <w:autoSpaceDN w:val="0"/>
        <w:adjustRightInd w:val="0"/>
        <w:spacing w:after="240" w:line="240" w:lineRule="auto"/>
        <w:ind w:left="0" w:firstLine="0"/>
        <w:jc w:val="both"/>
        <w:rPr>
          <w:rFonts w:ascii="Times New Roman" w:hAnsi="Times New Roman"/>
        </w:rPr>
      </w:pPr>
      <w:r w:rsidRPr="00E054B2">
        <w:rPr>
          <w:rFonts w:ascii="Times New Roman" w:hAnsi="Times New Roman"/>
        </w:rPr>
        <w:lastRenderedPageBreak/>
        <w:t xml:space="preserve">As is common for household surveys, the EDAM 3 data is representative </w:t>
      </w:r>
      <w:r w:rsidR="003039A5">
        <w:rPr>
          <w:rFonts w:ascii="Times New Roman" w:hAnsi="Times New Roman"/>
        </w:rPr>
        <w:t xml:space="preserve">only </w:t>
      </w:r>
      <w:r w:rsidRPr="00E054B2">
        <w:rPr>
          <w:rFonts w:ascii="Times New Roman" w:hAnsi="Times New Roman"/>
        </w:rPr>
        <w:t>of the sedentary population.</w:t>
      </w:r>
      <w:r w:rsidRPr="00E054B2">
        <w:rPr>
          <w:rFonts w:ascii="Times New Roman" w:hAnsi="Times New Roman"/>
          <w:b/>
        </w:rPr>
        <w:t xml:space="preserve"> </w:t>
      </w:r>
      <w:r w:rsidRPr="00E054B2">
        <w:rPr>
          <w:rFonts w:ascii="Times New Roman" w:hAnsi="Times New Roman"/>
        </w:rPr>
        <w:t>The EDAM 3 sample leav</w:t>
      </w:r>
      <w:r w:rsidR="005F242B">
        <w:rPr>
          <w:rFonts w:ascii="Times New Roman" w:hAnsi="Times New Roman"/>
        </w:rPr>
        <w:t>es</w:t>
      </w:r>
      <w:r w:rsidRPr="00E054B2">
        <w:rPr>
          <w:rFonts w:ascii="Times New Roman" w:hAnsi="Times New Roman"/>
        </w:rPr>
        <w:t xml:space="preserve"> out the nomad and homeless populations (</w:t>
      </w:r>
      <w:r w:rsidRPr="00E054B2">
        <w:rPr>
          <w:rFonts w:ascii="Times New Roman" w:hAnsi="Times New Roman"/>
          <w:i/>
        </w:rPr>
        <w:t>population flo</w:t>
      </w:r>
      <w:r>
        <w:rPr>
          <w:rFonts w:ascii="Times New Roman" w:hAnsi="Times New Roman"/>
          <w:i/>
        </w:rPr>
        <w:t>t</w:t>
      </w:r>
      <w:r w:rsidRPr="00E054B2">
        <w:rPr>
          <w:rFonts w:ascii="Times New Roman" w:hAnsi="Times New Roman"/>
          <w:i/>
        </w:rPr>
        <w:t>tante</w:t>
      </w:r>
      <w:r w:rsidRPr="00E054B2">
        <w:rPr>
          <w:rFonts w:ascii="Times New Roman" w:hAnsi="Times New Roman"/>
        </w:rPr>
        <w:t xml:space="preserve">) </w:t>
      </w:r>
      <w:r w:rsidR="005F242B">
        <w:rPr>
          <w:rFonts w:ascii="Times New Roman" w:hAnsi="Times New Roman"/>
        </w:rPr>
        <w:t>and</w:t>
      </w:r>
      <w:r w:rsidRPr="00E054B2">
        <w:rPr>
          <w:rFonts w:ascii="Times New Roman" w:hAnsi="Times New Roman"/>
        </w:rPr>
        <w:t xml:space="preserve"> individuals living in collective households (hotels, prison, military camps, </w:t>
      </w:r>
      <w:r w:rsidR="005F242B">
        <w:rPr>
          <w:rFonts w:ascii="Times New Roman" w:hAnsi="Times New Roman"/>
        </w:rPr>
        <w:t xml:space="preserve">and </w:t>
      </w:r>
      <w:r w:rsidRPr="00E054B2">
        <w:rPr>
          <w:rFonts w:ascii="Times New Roman" w:hAnsi="Times New Roman"/>
        </w:rPr>
        <w:t xml:space="preserve">orphanages). According to the most recent census conducted in 2009, Djibouti’s total population was 818,159 individuals, of which 161,132 were nomads and 149,022 either lived in collective households or were homeless. Having household surveys </w:t>
      </w:r>
      <w:r w:rsidR="003039A5">
        <w:rPr>
          <w:rFonts w:ascii="Times New Roman" w:hAnsi="Times New Roman"/>
        </w:rPr>
        <w:t xml:space="preserve">solely </w:t>
      </w:r>
      <w:r w:rsidRPr="00E054B2">
        <w:rPr>
          <w:rFonts w:ascii="Times New Roman" w:hAnsi="Times New Roman"/>
        </w:rPr>
        <w:t xml:space="preserve">covering </w:t>
      </w:r>
      <w:r w:rsidR="003039A5">
        <w:rPr>
          <w:rFonts w:ascii="Times New Roman" w:hAnsi="Times New Roman"/>
        </w:rPr>
        <w:t xml:space="preserve">the </w:t>
      </w:r>
      <w:r w:rsidRPr="00E054B2">
        <w:rPr>
          <w:rFonts w:ascii="Times New Roman" w:hAnsi="Times New Roman"/>
        </w:rPr>
        <w:t>sedentary population is standard practice since surveying nomad and homeless populations creates important conceptual and logistic issues.</w:t>
      </w:r>
    </w:p>
    <w:p w:rsidR="00D62C41" w:rsidRPr="00D62C41" w:rsidRDefault="00D62C41" w:rsidP="00600CD2">
      <w:pPr>
        <w:widowControl w:val="0"/>
        <w:numPr>
          <w:ilvl w:val="0"/>
          <w:numId w:val="1"/>
        </w:numPr>
        <w:autoSpaceDE w:val="0"/>
        <w:autoSpaceDN w:val="0"/>
        <w:adjustRightInd w:val="0"/>
        <w:spacing w:after="240" w:line="240" w:lineRule="auto"/>
        <w:ind w:left="0" w:firstLine="0"/>
        <w:jc w:val="both"/>
        <w:rPr>
          <w:rFonts w:ascii="Times New Roman" w:hAnsi="Times New Roman"/>
        </w:rPr>
      </w:pPr>
      <w:r w:rsidRPr="00D62C41">
        <w:rPr>
          <w:rFonts w:ascii="Times New Roman" w:eastAsia="Times New Roman" w:hAnsi="Times New Roman"/>
        </w:rPr>
        <w:t>Five quintiles based on per capita expenditure have been constructed based on the per capita expenditure welfare index. The first quintile includes the poorest 20 percent of the sedentary Djibouti population</w:t>
      </w:r>
      <w:r w:rsidR="00727CAC">
        <w:rPr>
          <w:rFonts w:ascii="Times New Roman" w:eastAsia="Times New Roman" w:hAnsi="Times New Roman"/>
        </w:rPr>
        <w:t>;</w:t>
      </w:r>
      <w:r w:rsidRPr="00D62C41">
        <w:rPr>
          <w:rFonts w:ascii="Times New Roman" w:eastAsia="Times New Roman" w:hAnsi="Times New Roman"/>
        </w:rPr>
        <w:t xml:space="preserve"> the second quintile includes the next 20 percent, and so on up to the top quintile with the richest 20 percent of the population. </w:t>
      </w:r>
      <w:r w:rsidRPr="008C39B4">
        <w:rPr>
          <w:rFonts w:ascii="Times New Roman" w:hAnsi="Times New Roman"/>
          <w:lang w:val="en-CA"/>
        </w:rPr>
        <w:t xml:space="preserve">For the purpose of this study, the </w:t>
      </w:r>
      <w:r w:rsidR="008C39B4" w:rsidRPr="008C39B4">
        <w:rPr>
          <w:rFonts w:ascii="Times New Roman" w:hAnsi="Times New Roman"/>
          <w:lang w:val="en-CA"/>
        </w:rPr>
        <w:t>destitution</w:t>
      </w:r>
      <w:r w:rsidR="008C39B4" w:rsidRPr="008C39B4">
        <w:rPr>
          <w:rStyle w:val="FootnoteReference"/>
          <w:rFonts w:ascii="Times New Roman" w:hAnsi="Times New Roman"/>
          <w:lang w:val="en-CA"/>
        </w:rPr>
        <w:footnoteReference w:id="2"/>
      </w:r>
      <w:r w:rsidR="008C39B4" w:rsidRPr="008C39B4">
        <w:rPr>
          <w:rFonts w:ascii="Times New Roman" w:hAnsi="Times New Roman"/>
          <w:lang w:val="en-CA"/>
        </w:rPr>
        <w:t xml:space="preserve"> </w:t>
      </w:r>
      <w:r w:rsidRPr="008C39B4">
        <w:rPr>
          <w:rFonts w:ascii="Times New Roman" w:hAnsi="Times New Roman"/>
          <w:lang w:val="en-CA"/>
        </w:rPr>
        <w:t xml:space="preserve">line is defined as the upper limit of the first quintile. Therefore the </w:t>
      </w:r>
      <w:r w:rsidR="008C39B4" w:rsidRPr="008C39B4">
        <w:rPr>
          <w:rFonts w:ascii="Times New Roman" w:hAnsi="Times New Roman"/>
          <w:lang w:val="en-CA"/>
        </w:rPr>
        <w:t xml:space="preserve">destitution </w:t>
      </w:r>
      <w:r w:rsidRPr="008C39B4">
        <w:rPr>
          <w:rFonts w:ascii="Times New Roman" w:hAnsi="Times New Roman"/>
          <w:lang w:val="en-CA"/>
        </w:rPr>
        <w:t>head</w:t>
      </w:r>
      <w:r w:rsidR="00767D76" w:rsidRPr="008C39B4">
        <w:rPr>
          <w:rFonts w:ascii="Times New Roman" w:hAnsi="Times New Roman"/>
          <w:lang w:val="en-CA"/>
        </w:rPr>
        <w:t>-</w:t>
      </w:r>
      <w:r w:rsidRPr="008C39B4">
        <w:rPr>
          <w:rFonts w:ascii="Times New Roman" w:hAnsi="Times New Roman"/>
          <w:lang w:val="en-CA"/>
        </w:rPr>
        <w:t>count rate is de facto set to 20</w:t>
      </w:r>
      <w:r w:rsidR="00727CAC" w:rsidRPr="008C39B4">
        <w:rPr>
          <w:rFonts w:ascii="Times New Roman" w:hAnsi="Times New Roman"/>
          <w:lang w:val="en-CA"/>
        </w:rPr>
        <w:t xml:space="preserve"> percent</w:t>
      </w:r>
      <w:r w:rsidRPr="008C39B4">
        <w:rPr>
          <w:rFonts w:ascii="Times New Roman" w:hAnsi="Times New Roman"/>
          <w:lang w:val="en-CA"/>
        </w:rPr>
        <w:t>.</w:t>
      </w:r>
    </w:p>
    <w:p w:rsidR="00504398" w:rsidRDefault="00504398" w:rsidP="00962ADE">
      <w:pPr>
        <w:pStyle w:val="Heading1"/>
        <w:spacing w:after="240"/>
        <w:rPr>
          <w:rFonts w:eastAsia="Times New Roman"/>
        </w:rPr>
      </w:pPr>
      <w:bookmarkStart w:id="2" w:name="_Toc412105852"/>
      <w:r w:rsidRPr="00504398">
        <w:rPr>
          <w:rFonts w:eastAsia="Times New Roman"/>
        </w:rPr>
        <w:t xml:space="preserve">What is the </w:t>
      </w:r>
      <w:r w:rsidR="00C63AB5">
        <w:rPr>
          <w:rFonts w:eastAsia="Times New Roman"/>
        </w:rPr>
        <w:t>Current N</w:t>
      </w:r>
      <w:r w:rsidRPr="00504398">
        <w:rPr>
          <w:rFonts w:eastAsia="Times New Roman"/>
        </w:rPr>
        <w:t xml:space="preserve">ature of </w:t>
      </w:r>
      <w:r w:rsidR="00C63AB5">
        <w:rPr>
          <w:rFonts w:eastAsia="Times New Roman"/>
        </w:rPr>
        <w:t>Tax E</w:t>
      </w:r>
      <w:r w:rsidRPr="00504398">
        <w:rPr>
          <w:rFonts w:eastAsia="Times New Roman"/>
        </w:rPr>
        <w:t>xemptions in Djibouti?</w:t>
      </w:r>
      <w:bookmarkEnd w:id="2"/>
    </w:p>
    <w:p w:rsidR="00AB1A0B" w:rsidRPr="007855A2" w:rsidRDefault="00AB1A0B" w:rsidP="00600CD2">
      <w:pPr>
        <w:widowControl w:val="0"/>
        <w:numPr>
          <w:ilvl w:val="0"/>
          <w:numId w:val="1"/>
        </w:numPr>
        <w:autoSpaceDE w:val="0"/>
        <w:autoSpaceDN w:val="0"/>
        <w:adjustRightInd w:val="0"/>
        <w:spacing w:after="240" w:line="240" w:lineRule="auto"/>
        <w:ind w:left="0" w:firstLine="0"/>
        <w:jc w:val="both"/>
        <w:rPr>
          <w:rFonts w:ascii="Times New Roman" w:hAnsi="Times New Roman"/>
          <w:bCs/>
        </w:rPr>
      </w:pPr>
      <w:r w:rsidRPr="007855A2">
        <w:rPr>
          <w:rFonts w:ascii="Times New Roman" w:hAnsi="Times New Roman"/>
          <w:bCs/>
        </w:rPr>
        <w:t>Djibouti is vulnerable to major risks to growth and macroeconomic stability</w:t>
      </w:r>
      <w:r w:rsidR="00767D76">
        <w:rPr>
          <w:rFonts w:ascii="Times New Roman" w:hAnsi="Times New Roman"/>
          <w:bCs/>
        </w:rPr>
        <w:t>,</w:t>
      </w:r>
      <w:r w:rsidRPr="007855A2">
        <w:rPr>
          <w:rFonts w:ascii="Times New Roman" w:hAnsi="Times New Roman"/>
          <w:bCs/>
        </w:rPr>
        <w:t xml:space="preserve"> </w:t>
      </w:r>
      <w:r w:rsidRPr="007855A2">
        <w:rPr>
          <w:rFonts w:ascii="Times New Roman" w:hAnsi="Times New Roman"/>
        </w:rPr>
        <w:t xml:space="preserve">including fuel and food price shocks and natural disasters such as droughts and floods. Poverty has been exacerbated by drought conditions since 2007—the worst in 60 years. The drought is estimated to have affected at least half the rural population, with annual economic losses of 3.9 percent of </w:t>
      </w:r>
      <w:r w:rsidR="00767D76">
        <w:rPr>
          <w:rFonts w:ascii="Times New Roman" w:hAnsi="Times New Roman"/>
        </w:rPr>
        <w:t>gross domestic product (</w:t>
      </w:r>
      <w:r w:rsidRPr="007855A2">
        <w:rPr>
          <w:rFonts w:ascii="Times New Roman" w:hAnsi="Times New Roman"/>
        </w:rPr>
        <w:t>GDP</w:t>
      </w:r>
      <w:r w:rsidR="00767D76">
        <w:rPr>
          <w:rFonts w:ascii="Times New Roman" w:hAnsi="Times New Roman"/>
        </w:rPr>
        <w:t>)</w:t>
      </w:r>
      <w:r w:rsidRPr="007855A2">
        <w:rPr>
          <w:rFonts w:ascii="Times New Roman" w:hAnsi="Times New Roman"/>
        </w:rPr>
        <w:t xml:space="preserve"> over the period 2008–2011 and a substantial flow of refugees from neighboring countries that also suffer from drought.</w:t>
      </w:r>
    </w:p>
    <w:p w:rsidR="00AB1A0B" w:rsidRPr="00A55210" w:rsidRDefault="00AB1A0B"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bCs/>
        </w:rPr>
      </w:pPr>
      <w:r w:rsidRPr="00A55210">
        <w:rPr>
          <w:rFonts w:ascii="Times New Roman" w:hAnsi="Times New Roman"/>
          <w:bCs/>
        </w:rPr>
        <w:t xml:space="preserve">Universal tax exemptions were introduced in response to the food crisis and to shield the population from price shocks on essential food products. Djibouti depends massively on imports to meet its food needs and a large fraction of the population faces food insecurity. Practically all food items are imported and increases in international food prices directly affect Djibouti’s poor people, who spend up to three-quarters of their income on food. Due to severe and prolonged droughts, at least 20 percent of the capital’s population and three-quarters of rural households are vulnerable to severe </w:t>
      </w:r>
      <w:r w:rsidR="00200909">
        <w:rPr>
          <w:rFonts w:ascii="Times New Roman" w:hAnsi="Times New Roman"/>
          <w:bCs/>
        </w:rPr>
        <w:t>or</w:t>
      </w:r>
      <w:r w:rsidR="00200909" w:rsidRPr="00A55210">
        <w:rPr>
          <w:rFonts w:ascii="Times New Roman" w:hAnsi="Times New Roman"/>
          <w:bCs/>
        </w:rPr>
        <w:t xml:space="preserve"> </w:t>
      </w:r>
      <w:r w:rsidRPr="00A55210">
        <w:rPr>
          <w:rFonts w:ascii="Times New Roman" w:hAnsi="Times New Roman"/>
          <w:bCs/>
        </w:rPr>
        <w:t xml:space="preserve">moderate food insecurity, according </w:t>
      </w:r>
      <w:r w:rsidR="00BD7521">
        <w:rPr>
          <w:rFonts w:ascii="Times New Roman" w:hAnsi="Times New Roman"/>
          <w:bCs/>
        </w:rPr>
        <w:t xml:space="preserve">to </w:t>
      </w:r>
      <w:r w:rsidRPr="00A55210">
        <w:rPr>
          <w:rFonts w:ascii="Times New Roman" w:hAnsi="Times New Roman"/>
          <w:bCs/>
        </w:rPr>
        <w:t xml:space="preserve">the Emergency Food Security Assessment </w:t>
      </w:r>
      <w:r>
        <w:rPr>
          <w:rFonts w:ascii="Times New Roman" w:hAnsi="Times New Roman"/>
          <w:bCs/>
        </w:rPr>
        <w:t>carried out by the World Food Programme in 2013</w:t>
      </w:r>
      <w:r w:rsidRPr="00A55210">
        <w:rPr>
          <w:rFonts w:ascii="Times New Roman" w:hAnsi="Times New Roman"/>
          <w:bCs/>
        </w:rPr>
        <w:t xml:space="preserve">. In response to the stark food price increases, the government has exempt five essential food items from domestic consumption tax since 2008. </w:t>
      </w:r>
    </w:p>
    <w:p w:rsidR="00AB1A0B" w:rsidRDefault="00AB1A0B" w:rsidP="00600CD2">
      <w:pPr>
        <w:widowControl w:val="0"/>
        <w:numPr>
          <w:ilvl w:val="0"/>
          <w:numId w:val="1"/>
        </w:numPr>
        <w:autoSpaceDE w:val="0"/>
        <w:autoSpaceDN w:val="0"/>
        <w:adjustRightInd w:val="0"/>
        <w:spacing w:after="240" w:line="240" w:lineRule="auto"/>
        <w:ind w:left="0" w:firstLine="0"/>
        <w:jc w:val="both"/>
        <w:rPr>
          <w:rFonts w:ascii="Times New Roman" w:hAnsi="Times New Roman"/>
          <w:bCs/>
        </w:rPr>
      </w:pPr>
      <w:r w:rsidRPr="00E054B2">
        <w:rPr>
          <w:rFonts w:ascii="Times New Roman" w:hAnsi="Times New Roman"/>
          <w:bCs/>
        </w:rPr>
        <w:t xml:space="preserve">Similarly, discretionary price adjustments on certain energy products (super, kerosene, and diesel) have been in operation since 2009. The </w:t>
      </w:r>
      <w:r w:rsidR="00DF0CE6">
        <w:rPr>
          <w:rFonts w:ascii="Times New Roman" w:hAnsi="Times New Roman"/>
          <w:bCs/>
        </w:rPr>
        <w:t>g</w:t>
      </w:r>
      <w:r w:rsidRPr="00E054B2">
        <w:rPr>
          <w:rFonts w:ascii="Times New Roman" w:hAnsi="Times New Roman"/>
          <w:bCs/>
        </w:rPr>
        <w:t xml:space="preserve">overnment’s Department of Customs and Excise, after consultation with oil companies, </w:t>
      </w:r>
      <w:r w:rsidR="00200909">
        <w:rPr>
          <w:rFonts w:ascii="Times New Roman" w:hAnsi="Times New Roman"/>
          <w:bCs/>
        </w:rPr>
        <w:t>performs</w:t>
      </w:r>
      <w:r w:rsidR="00BD7521" w:rsidRPr="00E054B2">
        <w:rPr>
          <w:rFonts w:ascii="Times New Roman" w:hAnsi="Times New Roman"/>
          <w:bCs/>
        </w:rPr>
        <w:t xml:space="preserve"> </w:t>
      </w:r>
      <w:r w:rsidRPr="00E054B2">
        <w:rPr>
          <w:rFonts w:ascii="Times New Roman" w:hAnsi="Times New Roman"/>
          <w:bCs/>
        </w:rPr>
        <w:t>a monthly adjustment of prices at the pump to minimize the negative impact of fluctuating international prices of super, kerosene, and diesel. According to estimates of the IMF, Djibouti foregoes an estimated 2 percent of GDP (2011) on certain energy products.</w:t>
      </w:r>
      <w:r>
        <w:rPr>
          <w:rStyle w:val="FootnoteReference"/>
          <w:rFonts w:ascii="Times New Roman" w:hAnsi="Times New Roman"/>
          <w:bCs/>
        </w:rPr>
        <w:footnoteReference w:id="3"/>
      </w:r>
    </w:p>
    <w:p w:rsidR="00AB1A0B" w:rsidRPr="00AB1A0B" w:rsidRDefault="00AB1A0B"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7230D9">
        <w:rPr>
          <w:rFonts w:ascii="Times New Roman" w:hAnsi="Times New Roman"/>
          <w:bCs/>
        </w:rPr>
        <w:t xml:space="preserve">The government is currently considering </w:t>
      </w:r>
      <w:r w:rsidRPr="007230D9">
        <w:rPr>
          <w:rFonts w:ascii="Times New Roman" w:hAnsi="Times New Roman"/>
        </w:rPr>
        <w:t>abandoning the use of the discretionary tax element on certain fuel products (super and diesel) for private consumers</w:t>
      </w:r>
      <w:r w:rsidR="0063508F">
        <w:rPr>
          <w:rFonts w:ascii="Times New Roman" w:hAnsi="Times New Roman"/>
        </w:rPr>
        <w:t>;</w:t>
      </w:r>
      <w:r w:rsidRPr="007230D9">
        <w:rPr>
          <w:rFonts w:ascii="Times New Roman" w:hAnsi="Times New Roman"/>
        </w:rPr>
        <w:t xml:space="preserve"> the privileges f</w:t>
      </w:r>
      <w:r w:rsidR="0063508F">
        <w:rPr>
          <w:rFonts w:ascii="Times New Roman" w:hAnsi="Times New Roman"/>
        </w:rPr>
        <w:t>or</w:t>
      </w:r>
      <w:r>
        <w:rPr>
          <w:rFonts w:ascii="Times New Roman" w:hAnsi="Times New Roman"/>
          <w:b/>
        </w:rPr>
        <w:t xml:space="preserve"> </w:t>
      </w:r>
      <w:r>
        <w:rPr>
          <w:rFonts w:ascii="Times New Roman" w:hAnsi="Times New Roman"/>
        </w:rPr>
        <w:t xml:space="preserve">other exempt groups such as the military </w:t>
      </w:r>
      <w:r w:rsidR="0063508F">
        <w:rPr>
          <w:rFonts w:ascii="Times New Roman" w:hAnsi="Times New Roman"/>
        </w:rPr>
        <w:t>and</w:t>
      </w:r>
      <w:r>
        <w:rPr>
          <w:rFonts w:ascii="Times New Roman" w:hAnsi="Times New Roman"/>
        </w:rPr>
        <w:t xml:space="preserve"> embassies would remain. </w:t>
      </w:r>
      <w:r w:rsidRPr="0005044D">
        <w:rPr>
          <w:rFonts w:ascii="Times New Roman" w:hAnsi="Times New Roman"/>
        </w:rPr>
        <w:t>At the time of analysis</w:t>
      </w:r>
      <w:r>
        <w:rPr>
          <w:rFonts w:ascii="Times New Roman" w:hAnsi="Times New Roman"/>
        </w:rPr>
        <w:t xml:space="preserve"> (based on prices of December 2013)</w:t>
      </w:r>
      <w:r w:rsidRPr="0005044D">
        <w:rPr>
          <w:rFonts w:ascii="Times New Roman" w:hAnsi="Times New Roman"/>
        </w:rPr>
        <w:t xml:space="preserve">, such a reform would have resulted in a small fall in super prices and an increase of around 13 percent for diesel. </w:t>
      </w:r>
      <w:r w:rsidRPr="007230D9">
        <w:rPr>
          <w:rFonts w:ascii="Times New Roman" w:hAnsi="Times New Roman"/>
        </w:rPr>
        <w:t>Crude oil prices have recently fallen substantially and this is relevant to the calculations shown. In December 2013</w:t>
      </w:r>
      <w:r w:rsidR="0063508F">
        <w:rPr>
          <w:rFonts w:ascii="Times New Roman" w:hAnsi="Times New Roman"/>
        </w:rPr>
        <w:t>,</w:t>
      </w:r>
      <w:r w:rsidRPr="007230D9">
        <w:rPr>
          <w:rFonts w:ascii="Times New Roman" w:hAnsi="Times New Roman"/>
        </w:rPr>
        <w:t xml:space="preserve"> Brent crude sold for about </w:t>
      </w:r>
      <w:r w:rsidR="0063508F">
        <w:rPr>
          <w:rFonts w:ascii="Times New Roman" w:hAnsi="Times New Roman"/>
        </w:rPr>
        <w:t>US</w:t>
      </w:r>
      <w:r w:rsidRPr="007230D9">
        <w:rPr>
          <w:rFonts w:ascii="Times New Roman" w:hAnsi="Times New Roman"/>
        </w:rPr>
        <w:t xml:space="preserve">$110 a barrel and it remained around that level until July 2014. Since then it has steadily declined until falling to around </w:t>
      </w:r>
      <w:r w:rsidR="0063508F">
        <w:rPr>
          <w:rFonts w:ascii="Times New Roman" w:hAnsi="Times New Roman"/>
        </w:rPr>
        <w:t>US</w:t>
      </w:r>
      <w:r w:rsidRPr="00CB7222">
        <w:rPr>
          <w:rFonts w:ascii="Times New Roman" w:hAnsi="Times New Roman"/>
        </w:rPr>
        <w:t xml:space="preserve">$50 a barrel in </w:t>
      </w:r>
      <w:r>
        <w:rPr>
          <w:rFonts w:ascii="Times New Roman" w:hAnsi="Times New Roman"/>
        </w:rPr>
        <w:t>January</w:t>
      </w:r>
      <w:r w:rsidRPr="00CB7222">
        <w:rPr>
          <w:rFonts w:ascii="Times New Roman" w:hAnsi="Times New Roman"/>
        </w:rPr>
        <w:t xml:space="preserve"> 201</w:t>
      </w:r>
      <w:r>
        <w:rPr>
          <w:rFonts w:ascii="Times New Roman" w:hAnsi="Times New Roman"/>
        </w:rPr>
        <w:t>5</w:t>
      </w:r>
      <w:r w:rsidRPr="007230D9">
        <w:rPr>
          <w:rFonts w:ascii="Times New Roman" w:hAnsi="Times New Roman"/>
        </w:rPr>
        <w:t>.</w:t>
      </w:r>
      <w:r>
        <w:rPr>
          <w:rFonts w:ascii="Times New Roman" w:hAnsi="Times New Roman"/>
        </w:rPr>
        <w:t xml:space="preserve"> There is </w:t>
      </w:r>
      <w:r>
        <w:rPr>
          <w:rFonts w:ascii="Times New Roman" w:hAnsi="Times New Roman"/>
        </w:rPr>
        <w:lastRenderedPageBreak/>
        <w:t>consi</w:t>
      </w:r>
      <w:r w:rsidRPr="007230D9">
        <w:rPr>
          <w:rFonts w:ascii="Times New Roman" w:hAnsi="Times New Roman"/>
        </w:rPr>
        <w:t>derable uncertainty about th</w:t>
      </w:r>
      <w:r>
        <w:rPr>
          <w:rFonts w:ascii="Times New Roman" w:hAnsi="Times New Roman"/>
        </w:rPr>
        <w:t>e course of prices in 2015</w:t>
      </w:r>
      <w:r w:rsidRPr="007230D9">
        <w:rPr>
          <w:rFonts w:ascii="Times New Roman" w:hAnsi="Times New Roman"/>
        </w:rPr>
        <w:t>.</w:t>
      </w:r>
    </w:p>
    <w:p w:rsidR="00AB1A0B" w:rsidRPr="0072385D" w:rsidRDefault="0063508F"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Pr>
          <w:rFonts w:ascii="Times New Roman" w:hAnsi="Times New Roman"/>
        </w:rPr>
        <w:t>Before</w:t>
      </w:r>
      <w:r w:rsidR="00DF0CE6">
        <w:rPr>
          <w:rFonts w:ascii="Times New Roman" w:hAnsi="Times New Roman"/>
        </w:rPr>
        <w:t xml:space="preserve"> the drop in oil prices, </w:t>
      </w:r>
      <w:r w:rsidR="00AB1A0B" w:rsidRPr="0005044D">
        <w:rPr>
          <w:rFonts w:ascii="Times New Roman" w:hAnsi="Times New Roman"/>
        </w:rPr>
        <w:t xml:space="preserve">the government </w:t>
      </w:r>
      <w:r w:rsidR="00DF0CE6">
        <w:rPr>
          <w:rFonts w:ascii="Times New Roman" w:hAnsi="Times New Roman"/>
        </w:rPr>
        <w:t>had</w:t>
      </w:r>
      <w:r w:rsidR="00AB1A0B" w:rsidRPr="0005044D">
        <w:rPr>
          <w:rFonts w:ascii="Times New Roman" w:hAnsi="Times New Roman"/>
        </w:rPr>
        <w:t xml:space="preserve"> not taken any </w:t>
      </w:r>
      <w:r w:rsidR="00DF0CE6">
        <w:rPr>
          <w:rFonts w:ascii="Times New Roman" w:hAnsi="Times New Roman"/>
        </w:rPr>
        <w:t xml:space="preserve">firm </w:t>
      </w:r>
      <w:r w:rsidR="00AB1A0B" w:rsidRPr="0005044D">
        <w:rPr>
          <w:rFonts w:ascii="Times New Roman" w:hAnsi="Times New Roman"/>
        </w:rPr>
        <w:t xml:space="preserve">decision, in part due to fears of </w:t>
      </w:r>
      <w:r w:rsidR="00AB1A0B" w:rsidRPr="00200909">
        <w:rPr>
          <w:rFonts w:ascii="Times New Roman" w:hAnsi="Times New Roman"/>
        </w:rPr>
        <w:t>increasing inflation</w:t>
      </w:r>
      <w:r w:rsidR="00AB1A0B" w:rsidRPr="0005044D">
        <w:rPr>
          <w:rFonts w:ascii="Times New Roman" w:hAnsi="Times New Roman"/>
        </w:rPr>
        <w:t xml:space="preserve"> with increasing fuel prices</w:t>
      </w:r>
      <w:r w:rsidR="00AB1A0B">
        <w:rPr>
          <w:rFonts w:ascii="Times New Roman" w:hAnsi="Times New Roman"/>
        </w:rPr>
        <w:t xml:space="preserve"> (based on the previously higher oil prices)</w:t>
      </w:r>
      <w:r w:rsidR="00AB1A0B" w:rsidRPr="0005044D">
        <w:rPr>
          <w:rFonts w:ascii="Times New Roman" w:hAnsi="Times New Roman"/>
        </w:rPr>
        <w:t>. In addition, there are concerns over the impact on the poor</w:t>
      </w:r>
      <w:r w:rsidR="00AB1A0B">
        <w:rPr>
          <w:rFonts w:ascii="Times New Roman" w:hAnsi="Times New Roman"/>
        </w:rPr>
        <w:t xml:space="preserve"> as well as the middle class</w:t>
      </w:r>
      <w:r w:rsidR="00AB1A0B" w:rsidRPr="0005044D">
        <w:rPr>
          <w:rFonts w:ascii="Times New Roman" w:hAnsi="Times New Roman"/>
        </w:rPr>
        <w:t xml:space="preserve"> and on certain sectors (transport, fisheries, and bakeries) in particular. </w:t>
      </w:r>
      <w:r w:rsidR="00AB1A0B" w:rsidRPr="007230D9">
        <w:rPr>
          <w:rFonts w:ascii="Times New Roman" w:hAnsi="Times New Roman"/>
        </w:rPr>
        <w:t>The impact of fuel subsidy reforms on the transport sector is of particular concern to the government.</w:t>
      </w:r>
      <w:r w:rsidR="00AB1A0B" w:rsidRPr="007230D9">
        <w:rPr>
          <w:rFonts w:ascii="Times New Roman" w:hAnsi="Times New Roman"/>
          <w:b/>
        </w:rPr>
        <w:t xml:space="preserve"> </w:t>
      </w:r>
      <w:r w:rsidR="00AB1A0B" w:rsidRPr="007230D9">
        <w:rPr>
          <w:rFonts w:ascii="Times New Roman" w:hAnsi="Times New Roman"/>
        </w:rPr>
        <w:t>Ticket prices for public transport</w:t>
      </w:r>
      <w:r w:rsidR="00AB1A0B" w:rsidRPr="007230D9">
        <w:rPr>
          <w:rFonts w:ascii="Times New Roman" w:hAnsi="Times New Roman"/>
          <w:b/>
        </w:rPr>
        <w:t xml:space="preserve"> </w:t>
      </w:r>
      <w:r w:rsidR="00AB1A0B" w:rsidRPr="007230D9">
        <w:rPr>
          <w:rFonts w:ascii="Times New Roman" w:hAnsi="Times New Roman"/>
        </w:rPr>
        <w:t>are set by the state and have more or less been stable since 2006. The bus and taxi fleet is outdated and current discussions center on decreasing the cost of transport by updating the fleet. The government is considering pre-financing new vehicles, which the bus and taxi operators would pay back over time</w:t>
      </w:r>
      <w:r w:rsidR="00AB1A0B" w:rsidRPr="00200909">
        <w:rPr>
          <w:rFonts w:ascii="Times New Roman" w:hAnsi="Times New Roman"/>
        </w:rPr>
        <w:t>,</w:t>
      </w:r>
      <w:r w:rsidR="00AB1A0B" w:rsidRPr="007230D9">
        <w:rPr>
          <w:rFonts w:ascii="Times New Roman" w:hAnsi="Times New Roman"/>
        </w:rPr>
        <w:t xml:space="preserve"> thereby reducing the consumption of fuel.</w:t>
      </w:r>
    </w:p>
    <w:p w:rsidR="00AB1A0B" w:rsidRPr="00AB1A0B" w:rsidRDefault="00AB1A0B"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Pr>
          <w:rFonts w:ascii="Times New Roman" w:hAnsi="Times New Roman"/>
        </w:rPr>
        <w:t xml:space="preserve">If the government </w:t>
      </w:r>
      <w:r w:rsidR="00F371C6">
        <w:rPr>
          <w:rFonts w:ascii="Times New Roman" w:hAnsi="Times New Roman"/>
        </w:rPr>
        <w:t>wanted to abandon</w:t>
      </w:r>
      <w:r>
        <w:rPr>
          <w:rFonts w:ascii="Times New Roman" w:hAnsi="Times New Roman"/>
        </w:rPr>
        <w:t xml:space="preserve"> the discretionary tax, this would be the time for action. </w:t>
      </w:r>
      <w:r w:rsidRPr="00AB1A0B">
        <w:rPr>
          <w:rFonts w:ascii="Times New Roman" w:hAnsi="Times New Roman"/>
        </w:rPr>
        <w:t xml:space="preserve">With falling oil prices, an elimination of the discretionary tax elements would not necessarily lead to higher prices for consumers. In fact, given the low prices seen in early 2015, removal of discretionary </w:t>
      </w:r>
      <w:r>
        <w:rPr>
          <w:rFonts w:ascii="Times New Roman" w:hAnsi="Times New Roman"/>
        </w:rPr>
        <w:t>tax</w:t>
      </w:r>
      <w:r w:rsidRPr="00AB1A0B">
        <w:rPr>
          <w:rFonts w:ascii="Times New Roman" w:hAnsi="Times New Roman"/>
        </w:rPr>
        <w:t xml:space="preserve"> </w:t>
      </w:r>
      <w:r w:rsidR="007F19AD">
        <w:rPr>
          <w:rFonts w:ascii="Times New Roman" w:hAnsi="Times New Roman"/>
        </w:rPr>
        <w:t>on</w:t>
      </w:r>
      <w:r w:rsidRPr="00AB1A0B">
        <w:rPr>
          <w:rFonts w:ascii="Times New Roman" w:hAnsi="Times New Roman"/>
        </w:rPr>
        <w:t xml:space="preserve"> diesel </w:t>
      </w:r>
      <w:r>
        <w:rPr>
          <w:rFonts w:ascii="Times New Roman" w:hAnsi="Times New Roman"/>
        </w:rPr>
        <w:t>would</w:t>
      </w:r>
      <w:r w:rsidRPr="00AB1A0B">
        <w:rPr>
          <w:rFonts w:ascii="Times New Roman" w:hAnsi="Times New Roman"/>
        </w:rPr>
        <w:t xml:space="preserve"> be small in comparison to the fall in underlying costs</w:t>
      </w:r>
      <w:r w:rsidR="007F19AD">
        <w:rPr>
          <w:rFonts w:ascii="Times New Roman" w:hAnsi="Times New Roman"/>
        </w:rPr>
        <w:t>—</w:t>
      </w:r>
      <w:r w:rsidRPr="00AB1A0B">
        <w:rPr>
          <w:rFonts w:ascii="Times New Roman" w:hAnsi="Times New Roman"/>
        </w:rPr>
        <w:t>so that the effect of its removal w</w:t>
      </w:r>
      <w:r w:rsidR="007F19AD">
        <w:rPr>
          <w:rFonts w:ascii="Times New Roman" w:hAnsi="Times New Roman"/>
        </w:rPr>
        <w:t>ill</w:t>
      </w:r>
      <w:r w:rsidRPr="00AB1A0B">
        <w:rPr>
          <w:rFonts w:ascii="Times New Roman" w:hAnsi="Times New Roman"/>
        </w:rPr>
        <w:t xml:space="preserve"> be negligible and the effect on bus prices </w:t>
      </w:r>
      <w:r w:rsidR="007F19AD">
        <w:rPr>
          <w:rFonts w:ascii="Times New Roman" w:hAnsi="Times New Roman"/>
        </w:rPr>
        <w:t xml:space="preserve">will be </w:t>
      </w:r>
      <w:r w:rsidRPr="00AB1A0B">
        <w:rPr>
          <w:rFonts w:ascii="Times New Roman" w:hAnsi="Times New Roman"/>
        </w:rPr>
        <w:t xml:space="preserve">easily absorbed. If bus operators </w:t>
      </w:r>
      <w:r w:rsidR="008D56ED">
        <w:rPr>
          <w:rFonts w:ascii="Times New Roman" w:hAnsi="Times New Roman"/>
        </w:rPr>
        <w:t xml:space="preserve">do </w:t>
      </w:r>
      <w:r w:rsidRPr="00AB1A0B">
        <w:rPr>
          <w:rFonts w:ascii="Times New Roman" w:hAnsi="Times New Roman"/>
        </w:rPr>
        <w:t>not lower their prices at all then their margins will increase</w:t>
      </w:r>
      <w:r>
        <w:rPr>
          <w:rFonts w:ascii="Times New Roman" w:hAnsi="Times New Roman"/>
        </w:rPr>
        <w:t>.</w:t>
      </w:r>
    </w:p>
    <w:p w:rsidR="00DF0CE6" w:rsidRPr="00DF0CE6" w:rsidRDefault="00DF0CE6"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DF0CE6">
        <w:rPr>
          <w:rFonts w:ascii="Times New Roman" w:hAnsi="Times New Roman"/>
        </w:rPr>
        <w:t>However, w</w:t>
      </w:r>
      <w:r w:rsidR="00AB1A0B" w:rsidRPr="00DF0CE6">
        <w:rPr>
          <w:rFonts w:ascii="Times New Roman" w:hAnsi="Times New Roman"/>
        </w:rPr>
        <w:t>ith the elimination of discretionary tax on fuel products, the government would relinquish a tool to smooth fuel prices in times of price increases and decreases. With falling oil prices, government tax revenues will decrease accordingly. The removal of discretionary tax at this point would lower the tax revenue further.</w:t>
      </w:r>
      <w:r w:rsidRPr="00DF0CE6">
        <w:rPr>
          <w:rFonts w:ascii="Times New Roman" w:hAnsi="Times New Roman"/>
        </w:rPr>
        <w:t xml:space="preserve"> It is likely that the government has adjusted the magnitude of the discretionary tax since January 2014, which would warrant further analysis. </w:t>
      </w:r>
      <w:r>
        <w:rPr>
          <w:rFonts w:ascii="Times New Roman" w:hAnsi="Times New Roman"/>
        </w:rPr>
        <w:t>Furthermore</w:t>
      </w:r>
      <w:r w:rsidR="008D56ED">
        <w:rPr>
          <w:rFonts w:ascii="Times New Roman" w:hAnsi="Times New Roman"/>
        </w:rPr>
        <w:t>,</w:t>
      </w:r>
      <w:r w:rsidRPr="00DF0CE6">
        <w:rPr>
          <w:rFonts w:ascii="Times New Roman" w:hAnsi="Times New Roman"/>
        </w:rPr>
        <w:t xml:space="preserve"> </w:t>
      </w:r>
      <w:r>
        <w:rPr>
          <w:rFonts w:ascii="Times New Roman" w:hAnsi="Times New Roman"/>
        </w:rPr>
        <w:t>g</w:t>
      </w:r>
      <w:r w:rsidR="00AB1A0B" w:rsidRPr="00DF0CE6">
        <w:rPr>
          <w:rFonts w:ascii="Times New Roman" w:hAnsi="Times New Roman"/>
        </w:rPr>
        <w:t>oing forward, an analysis of the optimal tax structure would be warranted.</w:t>
      </w:r>
    </w:p>
    <w:p w:rsidR="00AB1A0B" w:rsidRPr="00DF0CE6" w:rsidRDefault="00AB1A0B"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DF0CE6">
        <w:rPr>
          <w:rFonts w:ascii="Times New Roman" w:hAnsi="Times New Roman"/>
        </w:rPr>
        <w:t>Overall, the following analysis</w:t>
      </w:r>
      <w:r w:rsidR="00DF0CE6">
        <w:rPr>
          <w:rFonts w:ascii="Times New Roman" w:hAnsi="Times New Roman"/>
        </w:rPr>
        <w:t xml:space="preserve"> based on December 2013 prices</w:t>
      </w:r>
      <w:r w:rsidRPr="00DF0CE6">
        <w:rPr>
          <w:rFonts w:ascii="Times New Roman" w:hAnsi="Times New Roman"/>
        </w:rPr>
        <w:t xml:space="preserve"> confirms that a negative tax on fuel products effectively subsid</w:t>
      </w:r>
      <w:r w:rsidR="00DF0CE6">
        <w:rPr>
          <w:rFonts w:ascii="Times New Roman" w:hAnsi="Times New Roman"/>
        </w:rPr>
        <w:t>izes</w:t>
      </w:r>
      <w:r w:rsidRPr="00DF0CE6">
        <w:rPr>
          <w:rFonts w:ascii="Times New Roman" w:hAnsi="Times New Roman"/>
        </w:rPr>
        <w:t xml:space="preserve"> the better-off. Any reform of the current energy </w:t>
      </w:r>
      <w:r w:rsidR="00DF0CE6">
        <w:rPr>
          <w:rFonts w:ascii="Times New Roman" w:hAnsi="Times New Roman"/>
        </w:rPr>
        <w:t xml:space="preserve">tax </w:t>
      </w:r>
      <w:r w:rsidRPr="00DF0CE6">
        <w:rPr>
          <w:rFonts w:ascii="Times New Roman" w:hAnsi="Times New Roman"/>
        </w:rPr>
        <w:t>system should be pro-poor and social safety nets would be the channel to reinvest savings in pro-poor policies.</w:t>
      </w:r>
    </w:p>
    <w:p w:rsidR="00504398" w:rsidRPr="00504398" w:rsidRDefault="008D71E6" w:rsidP="00450D29">
      <w:pPr>
        <w:pStyle w:val="Heading1"/>
        <w:rPr>
          <w:rFonts w:eastAsia="Times New Roman"/>
        </w:rPr>
      </w:pPr>
      <w:bookmarkStart w:id="3" w:name="_Toc410901644"/>
      <w:bookmarkStart w:id="4" w:name="_Toc412105853"/>
      <w:r>
        <w:rPr>
          <w:rFonts w:eastAsia="Times New Roman"/>
        </w:rPr>
        <w:t>What is the I</w:t>
      </w:r>
      <w:r w:rsidR="00504398" w:rsidRPr="00504398">
        <w:rPr>
          <w:rFonts w:eastAsia="Times New Roman"/>
        </w:rPr>
        <w:t xml:space="preserve">mpact of the </w:t>
      </w:r>
      <w:r>
        <w:rPr>
          <w:rFonts w:eastAsia="Times New Roman"/>
        </w:rPr>
        <w:t>C</w:t>
      </w:r>
      <w:r w:rsidR="00504398" w:rsidRPr="00504398">
        <w:rPr>
          <w:rFonts w:eastAsia="Times New Roman"/>
        </w:rPr>
        <w:t xml:space="preserve">urrent </w:t>
      </w:r>
      <w:r>
        <w:rPr>
          <w:rFonts w:eastAsia="Times New Roman"/>
        </w:rPr>
        <w:t>Tax E</w:t>
      </w:r>
      <w:r w:rsidR="00504398" w:rsidRPr="00504398">
        <w:rPr>
          <w:rFonts w:eastAsia="Times New Roman"/>
        </w:rPr>
        <w:t xml:space="preserve">xemptions </w:t>
      </w:r>
      <w:r>
        <w:rPr>
          <w:rFonts w:eastAsia="Times New Roman"/>
        </w:rPr>
        <w:t>on</w:t>
      </w:r>
      <w:r w:rsidR="00504398" w:rsidRPr="00504398">
        <w:rPr>
          <w:rFonts w:eastAsia="Times New Roman"/>
        </w:rPr>
        <w:t xml:space="preserve"> Household </w:t>
      </w:r>
      <w:r>
        <w:rPr>
          <w:rFonts w:eastAsia="Times New Roman"/>
        </w:rPr>
        <w:t>W</w:t>
      </w:r>
      <w:r w:rsidR="00504398" w:rsidRPr="00504398">
        <w:rPr>
          <w:rFonts w:eastAsia="Times New Roman"/>
        </w:rPr>
        <w:t>elfare</w:t>
      </w:r>
      <w:r w:rsidR="00504398">
        <w:rPr>
          <w:rFonts w:eastAsia="Times New Roman"/>
        </w:rPr>
        <w:t>?</w:t>
      </w:r>
      <w:bookmarkEnd w:id="3"/>
      <w:bookmarkEnd w:id="4"/>
    </w:p>
    <w:p w:rsidR="00504398" w:rsidRPr="00130506" w:rsidRDefault="00504398" w:rsidP="00504398">
      <w:pPr>
        <w:pStyle w:val="Heading2"/>
      </w:pPr>
      <w:bookmarkStart w:id="5" w:name="_Toc410901645"/>
      <w:bookmarkStart w:id="6" w:name="_Toc412105854"/>
      <w:r>
        <w:t>Distribution of Subsidies on Energy Products</w:t>
      </w:r>
      <w:bookmarkEnd w:id="5"/>
      <w:bookmarkEnd w:id="6"/>
      <w:r>
        <w:t xml:space="preserve"> </w:t>
      </w:r>
    </w:p>
    <w:p w:rsidR="00504398" w:rsidRPr="00130506" w:rsidRDefault="00504398" w:rsidP="00504398">
      <w:pPr>
        <w:widowControl w:val="0"/>
        <w:autoSpaceDE w:val="0"/>
        <w:autoSpaceDN w:val="0"/>
        <w:adjustRightInd w:val="0"/>
        <w:spacing w:after="0" w:line="240" w:lineRule="auto"/>
        <w:jc w:val="both"/>
        <w:rPr>
          <w:rFonts w:ascii="Times New Roman" w:hAnsi="Times New Roman"/>
          <w:b/>
        </w:rPr>
      </w:pPr>
    </w:p>
    <w:p w:rsidR="00504398"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E054B2">
        <w:rPr>
          <w:rFonts w:ascii="Times New Roman" w:hAnsi="Times New Roman"/>
        </w:rPr>
        <w:t>The following analysis includes all the tax-exempt fuel products available in the household survey.</w:t>
      </w:r>
      <w:r w:rsidRPr="00130506">
        <w:rPr>
          <w:rFonts w:ascii="Times New Roman" w:hAnsi="Times New Roman"/>
        </w:rPr>
        <w:t xml:space="preserve"> The survey does not differentiate between diesel and super (lumped together as carburant</w:t>
      </w:r>
      <w:r>
        <w:rPr>
          <w:rFonts w:ascii="Times New Roman" w:hAnsi="Times New Roman"/>
        </w:rPr>
        <w:t xml:space="preserve"> in </w:t>
      </w:r>
      <w:r w:rsidR="008D56ED">
        <w:rPr>
          <w:rFonts w:ascii="Times New Roman" w:hAnsi="Times New Roman"/>
        </w:rPr>
        <w:t xml:space="preserve">the </w:t>
      </w:r>
      <w:r>
        <w:rPr>
          <w:rFonts w:ascii="Times New Roman" w:hAnsi="Times New Roman"/>
        </w:rPr>
        <w:t>EDAM 3 questionnaire</w:t>
      </w:r>
      <w:r w:rsidRPr="00130506">
        <w:rPr>
          <w:rFonts w:ascii="Times New Roman" w:hAnsi="Times New Roman"/>
        </w:rPr>
        <w:t xml:space="preserve">), but data from the </w:t>
      </w:r>
      <w:r>
        <w:rPr>
          <w:rFonts w:ascii="Times New Roman" w:hAnsi="Times New Roman"/>
          <w:i/>
        </w:rPr>
        <w:t>Enquê</w:t>
      </w:r>
      <w:r w:rsidRPr="00130506">
        <w:rPr>
          <w:rFonts w:ascii="Times New Roman" w:hAnsi="Times New Roman"/>
          <w:i/>
        </w:rPr>
        <w:t>te de Budget et Conso</w:t>
      </w:r>
      <w:r>
        <w:rPr>
          <w:rFonts w:ascii="Times New Roman" w:hAnsi="Times New Roman"/>
          <w:i/>
        </w:rPr>
        <w:t>m</w:t>
      </w:r>
      <w:r w:rsidRPr="00130506">
        <w:rPr>
          <w:rFonts w:ascii="Times New Roman" w:hAnsi="Times New Roman"/>
          <w:i/>
        </w:rPr>
        <w:t>mation</w:t>
      </w:r>
      <w:r w:rsidRPr="008C39B4">
        <w:rPr>
          <w:rFonts w:ascii="Times New Roman" w:hAnsi="Times New Roman"/>
        </w:rPr>
        <w:t xml:space="preserve"> (EBC)</w:t>
      </w:r>
      <w:r w:rsidRPr="00130506">
        <w:rPr>
          <w:rFonts w:ascii="Times New Roman" w:hAnsi="Times New Roman"/>
        </w:rPr>
        <w:t xml:space="preserve"> survey (an urban</w:t>
      </w:r>
      <w:r w:rsidR="008D56ED">
        <w:rPr>
          <w:rFonts w:ascii="Times New Roman" w:hAnsi="Times New Roman"/>
        </w:rPr>
        <w:t>-</w:t>
      </w:r>
      <w:r w:rsidRPr="00130506">
        <w:rPr>
          <w:rFonts w:ascii="Times New Roman" w:hAnsi="Times New Roman"/>
        </w:rPr>
        <w:t>only survey done in 2013) show that around two-thirds of spending by households on carburant is on diesel. Furthermore, the survey shows that almost all direct spending on carburant is by the richest quintile</w:t>
      </w:r>
      <w:r>
        <w:rPr>
          <w:rFonts w:ascii="Times New Roman" w:hAnsi="Times New Roman"/>
        </w:rPr>
        <w:t>. T</w:t>
      </w:r>
      <w:r w:rsidRPr="00130506">
        <w:rPr>
          <w:rFonts w:ascii="Times New Roman" w:hAnsi="Times New Roman"/>
        </w:rPr>
        <w:t>he simulations assume that the price of fuel purchases will increase from DF 215 to D</w:t>
      </w:r>
      <w:r>
        <w:rPr>
          <w:rFonts w:ascii="Times New Roman" w:hAnsi="Times New Roman"/>
        </w:rPr>
        <w:t>F 242 per liter</w:t>
      </w:r>
      <w:r w:rsidRPr="00130506">
        <w:rPr>
          <w:rFonts w:ascii="Times New Roman" w:hAnsi="Times New Roman"/>
        </w:rPr>
        <w:t>.</w:t>
      </w:r>
    </w:p>
    <w:p w:rsidR="00504398" w:rsidRPr="00504398"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E054B2">
        <w:rPr>
          <w:rFonts w:ascii="Times New Roman" w:hAnsi="Times New Roman"/>
        </w:rPr>
        <w:t>Car ownership and utilization of public transport is a strong indication of welfare.</w:t>
      </w:r>
      <w:r w:rsidRPr="00E054B2">
        <w:rPr>
          <w:rFonts w:ascii="Times New Roman" w:hAnsi="Times New Roman"/>
          <w:b/>
        </w:rPr>
        <w:t xml:space="preserve"> </w:t>
      </w:r>
      <w:r w:rsidRPr="00E054B2">
        <w:rPr>
          <w:rFonts w:ascii="Times New Roman" w:hAnsi="Times New Roman"/>
        </w:rPr>
        <w:t>Car ownership is no</w:t>
      </w:r>
      <w:r>
        <w:rPr>
          <w:rFonts w:ascii="Times New Roman" w:hAnsi="Times New Roman"/>
        </w:rPr>
        <w:t>t widespread in Djibouti</w:t>
      </w:r>
      <w:r w:rsidR="006723E9">
        <w:rPr>
          <w:rFonts w:ascii="Times New Roman" w:hAnsi="Times New Roman"/>
        </w:rPr>
        <w:t>—</w:t>
      </w:r>
      <w:r>
        <w:rPr>
          <w:rFonts w:ascii="Times New Roman" w:hAnsi="Times New Roman"/>
        </w:rPr>
        <w:t xml:space="preserve">only </w:t>
      </w:r>
      <w:r w:rsidR="006723E9">
        <w:rPr>
          <w:rFonts w:ascii="Times New Roman" w:hAnsi="Times New Roman"/>
        </w:rPr>
        <w:t>6</w:t>
      </w:r>
      <w:r w:rsidRPr="00E054B2">
        <w:rPr>
          <w:rFonts w:ascii="Times New Roman" w:hAnsi="Times New Roman"/>
        </w:rPr>
        <w:t xml:space="preserve"> perce</w:t>
      </w:r>
      <w:r>
        <w:rPr>
          <w:rFonts w:ascii="Times New Roman" w:hAnsi="Times New Roman"/>
        </w:rPr>
        <w:t xml:space="preserve">nt of households own a car and </w:t>
      </w:r>
      <w:r w:rsidR="006723E9">
        <w:rPr>
          <w:rFonts w:ascii="Times New Roman" w:hAnsi="Times New Roman"/>
        </w:rPr>
        <w:t>1</w:t>
      </w:r>
      <w:r w:rsidRPr="00E054B2">
        <w:rPr>
          <w:rFonts w:ascii="Times New Roman" w:hAnsi="Times New Roman"/>
        </w:rPr>
        <w:t xml:space="preserve"> percent owns a motorcycle. One-fourth of the richest quintile owns a car while car ownership is basically negligible in the other quintiles (see</w:t>
      </w:r>
      <w:r>
        <w:rPr>
          <w:rFonts w:ascii="Times New Roman" w:hAnsi="Times New Roman"/>
        </w:rPr>
        <w:t xml:space="preserve"> </w:t>
      </w:r>
      <w:r w:rsidR="000E78EB" w:rsidRPr="000E78EB">
        <w:rPr>
          <w:rFonts w:ascii="Times New Roman" w:hAnsi="Times New Roman" w:cs="Times New Roman"/>
        </w:rPr>
        <w:fldChar w:fldCharType="begin"/>
      </w:r>
      <w:r w:rsidR="000E78EB" w:rsidRPr="000E78EB">
        <w:rPr>
          <w:rFonts w:ascii="Times New Roman" w:hAnsi="Times New Roman" w:cs="Times New Roman"/>
        </w:rPr>
        <w:instrText xml:space="preserve"> REF _Ref412113726 \h </w:instrText>
      </w:r>
      <w:r w:rsidR="000E78EB">
        <w:rPr>
          <w:rFonts w:ascii="Times New Roman" w:hAnsi="Times New Roman" w:cs="Times New Roman"/>
        </w:rPr>
        <w:instrText xml:space="preserve"> \* MERGEFORMAT </w:instrText>
      </w:r>
      <w:r w:rsidR="000E78EB" w:rsidRPr="000E78EB">
        <w:rPr>
          <w:rFonts w:ascii="Times New Roman" w:hAnsi="Times New Roman" w:cs="Times New Roman"/>
        </w:rPr>
      </w:r>
      <w:r w:rsidR="000E78EB" w:rsidRPr="000E78EB">
        <w:rPr>
          <w:rFonts w:ascii="Times New Roman" w:hAnsi="Times New Roman" w:cs="Times New Roman"/>
        </w:rPr>
        <w:fldChar w:fldCharType="separate"/>
      </w:r>
      <w:r w:rsidR="000E78EB">
        <w:rPr>
          <w:rFonts w:ascii="Times New Roman" w:hAnsi="Times New Roman" w:cs="Times New Roman"/>
        </w:rPr>
        <w:t>t</w:t>
      </w:r>
      <w:r w:rsidR="000E78EB" w:rsidRPr="000E78EB">
        <w:rPr>
          <w:rFonts w:ascii="Times New Roman" w:hAnsi="Times New Roman" w:cs="Times New Roman"/>
        </w:rPr>
        <w:t xml:space="preserve">able </w:t>
      </w:r>
      <w:r w:rsidR="000E78EB" w:rsidRPr="000E78EB">
        <w:rPr>
          <w:rFonts w:ascii="Times New Roman" w:hAnsi="Times New Roman" w:cs="Times New Roman"/>
          <w:noProof/>
        </w:rPr>
        <w:t>1</w:t>
      </w:r>
      <w:r w:rsidR="000E78EB" w:rsidRPr="000E78EB">
        <w:rPr>
          <w:rFonts w:ascii="Times New Roman" w:hAnsi="Times New Roman" w:cs="Times New Roman"/>
        </w:rPr>
        <w:fldChar w:fldCharType="end"/>
      </w:r>
      <w:r>
        <w:rPr>
          <w:rFonts w:ascii="Times New Roman" w:hAnsi="Times New Roman"/>
        </w:rPr>
        <w:t>)</w:t>
      </w:r>
      <w:r w:rsidRPr="00E054B2">
        <w:rPr>
          <w:rFonts w:ascii="Times New Roman" w:hAnsi="Times New Roman"/>
        </w:rPr>
        <w:t>. Mo</w:t>
      </w:r>
      <w:r>
        <w:rPr>
          <w:rFonts w:ascii="Times New Roman" w:hAnsi="Times New Roman"/>
        </w:rPr>
        <w:t>st cars are owned by urbanites</w:t>
      </w:r>
      <w:r w:rsidRPr="00E054B2">
        <w:rPr>
          <w:rFonts w:ascii="Times New Roman" w:hAnsi="Times New Roman"/>
        </w:rPr>
        <w:t xml:space="preserve">. Not surprisingly, carburant is </w:t>
      </w:r>
      <w:r>
        <w:rPr>
          <w:rFonts w:ascii="Times New Roman" w:hAnsi="Times New Roman"/>
        </w:rPr>
        <w:t>essentially</w:t>
      </w:r>
      <w:r w:rsidRPr="00E054B2">
        <w:rPr>
          <w:rFonts w:ascii="Times New Roman" w:hAnsi="Times New Roman"/>
        </w:rPr>
        <w:t xml:space="preserve"> consumed by </w:t>
      </w:r>
      <w:r>
        <w:rPr>
          <w:rFonts w:ascii="Times New Roman" w:hAnsi="Times New Roman"/>
        </w:rPr>
        <w:t xml:space="preserve">urban households </w:t>
      </w:r>
      <w:r w:rsidRPr="00E054B2">
        <w:rPr>
          <w:rFonts w:ascii="Times New Roman" w:hAnsi="Times New Roman"/>
        </w:rPr>
        <w:t>and the richest quintile</w:t>
      </w:r>
      <w:r>
        <w:rPr>
          <w:rFonts w:ascii="Times New Roman" w:hAnsi="Times New Roman"/>
        </w:rPr>
        <w:t xml:space="preserve"> (see </w:t>
      </w:r>
      <w:r w:rsidR="000E78EB" w:rsidRPr="000E78EB">
        <w:rPr>
          <w:rFonts w:ascii="Times New Roman" w:hAnsi="Times New Roman" w:cs="Times New Roman"/>
        </w:rPr>
        <w:fldChar w:fldCharType="begin"/>
      </w:r>
      <w:r w:rsidR="000E78EB" w:rsidRPr="000E78EB">
        <w:rPr>
          <w:rFonts w:ascii="Times New Roman" w:hAnsi="Times New Roman" w:cs="Times New Roman"/>
        </w:rPr>
        <w:instrText xml:space="preserve"> REF _Ref412113807 \h </w:instrText>
      </w:r>
      <w:r w:rsidR="000E78EB">
        <w:rPr>
          <w:rFonts w:ascii="Times New Roman" w:hAnsi="Times New Roman" w:cs="Times New Roman"/>
        </w:rPr>
        <w:instrText xml:space="preserve"> \* MERGEFORMAT </w:instrText>
      </w:r>
      <w:r w:rsidR="000E78EB" w:rsidRPr="000E78EB">
        <w:rPr>
          <w:rFonts w:ascii="Times New Roman" w:hAnsi="Times New Roman" w:cs="Times New Roman"/>
        </w:rPr>
      </w:r>
      <w:r w:rsidR="000E78EB" w:rsidRPr="000E78EB">
        <w:rPr>
          <w:rFonts w:ascii="Times New Roman" w:hAnsi="Times New Roman" w:cs="Times New Roman"/>
        </w:rPr>
        <w:fldChar w:fldCharType="separate"/>
      </w:r>
      <w:r w:rsidR="000E78EB" w:rsidRPr="000E78EB">
        <w:rPr>
          <w:rFonts w:ascii="Times New Roman" w:hAnsi="Times New Roman" w:cs="Times New Roman"/>
        </w:rPr>
        <w:t xml:space="preserve">table </w:t>
      </w:r>
      <w:r w:rsidR="000E78EB" w:rsidRPr="000E78EB">
        <w:rPr>
          <w:rFonts w:ascii="Times New Roman" w:hAnsi="Times New Roman" w:cs="Times New Roman"/>
          <w:noProof/>
        </w:rPr>
        <w:t>2</w:t>
      </w:r>
      <w:r w:rsidR="000E78EB" w:rsidRPr="000E78EB">
        <w:rPr>
          <w:rFonts w:ascii="Times New Roman" w:hAnsi="Times New Roman" w:cs="Times New Roman"/>
        </w:rPr>
        <w:fldChar w:fldCharType="end"/>
      </w:r>
      <w:r>
        <w:rPr>
          <w:rFonts w:ascii="Times New Roman" w:hAnsi="Times New Roman"/>
        </w:rPr>
        <w:t>)</w:t>
      </w:r>
      <w:r w:rsidRPr="00E054B2">
        <w:rPr>
          <w:rFonts w:ascii="Times New Roman" w:hAnsi="Times New Roman"/>
        </w:rPr>
        <w:t>. Utilization of public transport (bus</w:t>
      </w:r>
      <w:r w:rsidR="006723E9">
        <w:rPr>
          <w:rFonts w:ascii="Times New Roman" w:hAnsi="Times New Roman"/>
        </w:rPr>
        <w:t>es</w:t>
      </w:r>
      <w:r w:rsidRPr="00E054B2">
        <w:rPr>
          <w:rFonts w:ascii="Times New Roman" w:hAnsi="Times New Roman"/>
        </w:rPr>
        <w:t>, taxis, and school buses) is also highest amo</w:t>
      </w:r>
      <w:r>
        <w:rPr>
          <w:rFonts w:ascii="Times New Roman" w:hAnsi="Times New Roman"/>
        </w:rPr>
        <w:t>ng the richer quintiles. Only 12</w:t>
      </w:r>
      <w:r w:rsidRPr="00E054B2">
        <w:rPr>
          <w:rFonts w:ascii="Times New Roman" w:hAnsi="Times New Roman"/>
        </w:rPr>
        <w:t xml:space="preserve"> percent of the poor</w:t>
      </w:r>
      <w:r>
        <w:rPr>
          <w:rFonts w:ascii="Times New Roman" w:hAnsi="Times New Roman"/>
        </w:rPr>
        <w:t xml:space="preserve"> (first quintile)</w:t>
      </w:r>
      <w:r w:rsidRPr="00E054B2">
        <w:rPr>
          <w:rFonts w:ascii="Times New Roman" w:hAnsi="Times New Roman"/>
        </w:rPr>
        <w:t xml:space="preserve"> use public transport compared </w:t>
      </w:r>
      <w:r w:rsidRPr="00200909">
        <w:rPr>
          <w:rFonts w:ascii="Times New Roman" w:hAnsi="Times New Roman"/>
        </w:rPr>
        <w:t>with</w:t>
      </w:r>
      <w:r w:rsidRPr="00E054B2">
        <w:rPr>
          <w:rFonts w:ascii="Times New Roman" w:hAnsi="Times New Roman"/>
        </w:rPr>
        <w:t xml:space="preserve"> </w:t>
      </w:r>
      <w:r>
        <w:rPr>
          <w:rFonts w:ascii="Times New Roman" w:hAnsi="Times New Roman"/>
        </w:rPr>
        <w:t>60 percent in the richest two</w:t>
      </w:r>
      <w:r w:rsidRPr="00E054B2">
        <w:rPr>
          <w:rFonts w:ascii="Times New Roman" w:hAnsi="Times New Roman"/>
        </w:rPr>
        <w:t xml:space="preserve"> quintiles. </w:t>
      </w:r>
      <w:r>
        <w:rPr>
          <w:rFonts w:ascii="Times New Roman" w:hAnsi="Times New Roman"/>
        </w:rPr>
        <w:t xml:space="preserve">More than </w:t>
      </w:r>
      <w:r w:rsidRPr="00E054B2">
        <w:rPr>
          <w:rFonts w:ascii="Times New Roman" w:hAnsi="Times New Roman"/>
        </w:rPr>
        <w:t xml:space="preserve">half </w:t>
      </w:r>
      <w:r w:rsidR="006723E9">
        <w:rPr>
          <w:rFonts w:ascii="Times New Roman" w:hAnsi="Times New Roman"/>
        </w:rPr>
        <w:t xml:space="preserve">of </w:t>
      </w:r>
      <w:r w:rsidRPr="00E054B2">
        <w:rPr>
          <w:rFonts w:ascii="Times New Roman" w:hAnsi="Times New Roman"/>
        </w:rPr>
        <w:t xml:space="preserve">the population in </w:t>
      </w:r>
      <w:r w:rsidRPr="00E054B2">
        <w:rPr>
          <w:rFonts w:ascii="Times New Roman" w:hAnsi="Times New Roman"/>
        </w:rPr>
        <w:lastRenderedPageBreak/>
        <w:t>urban areas makes use of pub</w:t>
      </w:r>
      <w:r>
        <w:rPr>
          <w:rFonts w:ascii="Times New Roman" w:hAnsi="Times New Roman"/>
        </w:rPr>
        <w:t xml:space="preserve">lic transport but less than </w:t>
      </w:r>
      <w:r w:rsidR="006723E9">
        <w:rPr>
          <w:rFonts w:ascii="Times New Roman" w:hAnsi="Times New Roman"/>
        </w:rPr>
        <w:t>10</w:t>
      </w:r>
      <w:r w:rsidRPr="00E054B2">
        <w:rPr>
          <w:rFonts w:ascii="Times New Roman" w:hAnsi="Times New Roman"/>
        </w:rPr>
        <w:t xml:space="preserve"> percent in rural area</w:t>
      </w:r>
      <w:r>
        <w:rPr>
          <w:rFonts w:ascii="Times New Roman" w:hAnsi="Times New Roman"/>
        </w:rPr>
        <w:t>s. Utilization of school transportation is also highly skewed toward richer and urban households.</w:t>
      </w:r>
    </w:p>
    <w:p w:rsidR="00504398" w:rsidRPr="00552D8E"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552D8E">
        <w:rPr>
          <w:rFonts w:ascii="Times New Roman" w:hAnsi="Times New Roman"/>
        </w:rPr>
        <w:t>Djibo</w:t>
      </w:r>
      <w:r w:rsidRPr="003A50D2">
        <w:rPr>
          <w:rFonts w:ascii="Times New Roman" w:hAnsi="Times New Roman"/>
        </w:rPr>
        <w:t>uti</w:t>
      </w:r>
      <w:r w:rsidRPr="00552D8E">
        <w:rPr>
          <w:rFonts w:ascii="Times New Roman" w:hAnsi="Times New Roman"/>
        </w:rPr>
        <w:t xml:space="preserve"> households spend about DF 7.96 million on subsidized fuel products (</w:t>
      </w:r>
      <w:r w:rsidR="006723E9">
        <w:rPr>
          <w:rFonts w:ascii="Times New Roman" w:hAnsi="Times New Roman"/>
        </w:rPr>
        <w:t>that is</w:t>
      </w:r>
      <w:r w:rsidRPr="00552D8E">
        <w:rPr>
          <w:rFonts w:ascii="Times New Roman" w:hAnsi="Times New Roman"/>
        </w:rPr>
        <w:t>, fuel at the pump, public</w:t>
      </w:r>
      <w:r w:rsidR="006723E9">
        <w:rPr>
          <w:rFonts w:ascii="Times New Roman" w:hAnsi="Times New Roman"/>
        </w:rPr>
        <w:t>,</w:t>
      </w:r>
      <w:r w:rsidRPr="00552D8E">
        <w:rPr>
          <w:rFonts w:ascii="Times New Roman" w:hAnsi="Times New Roman"/>
        </w:rPr>
        <w:t xml:space="preserve"> and school transport), about 6.75 percent of their total annual expenditure (</w:t>
      </w:r>
      <w:r w:rsidR="000E78EB" w:rsidRPr="000E78EB">
        <w:rPr>
          <w:rFonts w:ascii="Times New Roman" w:hAnsi="Times New Roman" w:cs="Times New Roman"/>
        </w:rPr>
        <w:fldChar w:fldCharType="begin"/>
      </w:r>
      <w:r w:rsidR="000E78EB" w:rsidRPr="000E78EB">
        <w:rPr>
          <w:rFonts w:ascii="Times New Roman" w:hAnsi="Times New Roman" w:cs="Times New Roman"/>
        </w:rPr>
        <w:instrText xml:space="preserve"> REF _Ref412113852 \h </w:instrText>
      </w:r>
      <w:r w:rsidR="000E78EB">
        <w:rPr>
          <w:rFonts w:ascii="Times New Roman" w:hAnsi="Times New Roman" w:cs="Times New Roman"/>
        </w:rPr>
        <w:instrText xml:space="preserve"> \* MERGEFORMAT </w:instrText>
      </w:r>
      <w:r w:rsidR="000E78EB" w:rsidRPr="000E78EB">
        <w:rPr>
          <w:rFonts w:ascii="Times New Roman" w:hAnsi="Times New Roman" w:cs="Times New Roman"/>
        </w:rPr>
      </w:r>
      <w:r w:rsidR="000E78EB" w:rsidRPr="000E78EB">
        <w:rPr>
          <w:rFonts w:ascii="Times New Roman" w:hAnsi="Times New Roman" w:cs="Times New Roman"/>
        </w:rPr>
        <w:fldChar w:fldCharType="separate"/>
      </w:r>
      <w:r w:rsidR="000E78EB">
        <w:rPr>
          <w:rFonts w:ascii="Times New Roman" w:hAnsi="Times New Roman" w:cs="Times New Roman"/>
        </w:rPr>
        <w:t>t</w:t>
      </w:r>
      <w:r w:rsidR="000E78EB" w:rsidRPr="000E78EB">
        <w:rPr>
          <w:rFonts w:ascii="Times New Roman" w:hAnsi="Times New Roman" w:cs="Times New Roman"/>
        </w:rPr>
        <w:t xml:space="preserve">able </w:t>
      </w:r>
      <w:r w:rsidR="000E78EB" w:rsidRPr="000E78EB">
        <w:rPr>
          <w:rFonts w:ascii="Times New Roman" w:hAnsi="Times New Roman" w:cs="Times New Roman"/>
          <w:noProof/>
        </w:rPr>
        <w:t>3</w:t>
      </w:r>
      <w:r w:rsidR="000E78EB" w:rsidRPr="000E78EB">
        <w:rPr>
          <w:rFonts w:ascii="Times New Roman" w:hAnsi="Times New Roman" w:cs="Times New Roman"/>
        </w:rPr>
        <w:fldChar w:fldCharType="end"/>
      </w:r>
      <w:r w:rsidRPr="00552D8E">
        <w:rPr>
          <w:rFonts w:ascii="Times New Roman" w:hAnsi="Times New Roman"/>
        </w:rPr>
        <w:t xml:space="preserve">). On </w:t>
      </w:r>
      <w:r w:rsidR="006723E9">
        <w:rPr>
          <w:rFonts w:ascii="Times New Roman" w:hAnsi="Times New Roman"/>
        </w:rPr>
        <w:t xml:space="preserve">an </w:t>
      </w:r>
      <w:r w:rsidRPr="00552D8E">
        <w:rPr>
          <w:rFonts w:ascii="Times New Roman" w:hAnsi="Times New Roman"/>
        </w:rPr>
        <w:t>average, households spend DF 25,400 on fuel at the pump, DF 27,400 on public transport, and DF 30,600 on school transport (</w:t>
      </w:r>
      <w:r w:rsidR="000E78EB" w:rsidRPr="000E78EB">
        <w:rPr>
          <w:rFonts w:ascii="Times New Roman" w:hAnsi="Times New Roman" w:cs="Times New Roman"/>
        </w:rPr>
        <w:fldChar w:fldCharType="begin"/>
      </w:r>
      <w:r w:rsidR="000E78EB" w:rsidRPr="000E78EB">
        <w:rPr>
          <w:rFonts w:ascii="Times New Roman" w:hAnsi="Times New Roman" w:cs="Times New Roman"/>
        </w:rPr>
        <w:instrText xml:space="preserve"> REF _Ref412113807 \h </w:instrText>
      </w:r>
      <w:r w:rsidR="000E78EB">
        <w:rPr>
          <w:rFonts w:ascii="Times New Roman" w:hAnsi="Times New Roman" w:cs="Times New Roman"/>
        </w:rPr>
        <w:instrText xml:space="preserve"> \* MERGEFORMAT </w:instrText>
      </w:r>
      <w:r w:rsidR="000E78EB" w:rsidRPr="000E78EB">
        <w:rPr>
          <w:rFonts w:ascii="Times New Roman" w:hAnsi="Times New Roman" w:cs="Times New Roman"/>
        </w:rPr>
      </w:r>
      <w:r w:rsidR="000E78EB" w:rsidRPr="000E78EB">
        <w:rPr>
          <w:rFonts w:ascii="Times New Roman" w:hAnsi="Times New Roman" w:cs="Times New Roman"/>
        </w:rPr>
        <w:fldChar w:fldCharType="separate"/>
      </w:r>
      <w:r w:rsidR="000E78EB">
        <w:rPr>
          <w:rFonts w:ascii="Times New Roman" w:hAnsi="Times New Roman" w:cs="Times New Roman"/>
        </w:rPr>
        <w:t>t</w:t>
      </w:r>
      <w:r w:rsidR="000E78EB" w:rsidRPr="000E78EB">
        <w:rPr>
          <w:rFonts w:ascii="Times New Roman" w:hAnsi="Times New Roman" w:cs="Times New Roman"/>
        </w:rPr>
        <w:t xml:space="preserve">able </w:t>
      </w:r>
      <w:r w:rsidR="000E78EB" w:rsidRPr="000E78EB">
        <w:rPr>
          <w:rFonts w:ascii="Times New Roman" w:hAnsi="Times New Roman" w:cs="Times New Roman"/>
          <w:noProof/>
        </w:rPr>
        <w:t>2</w:t>
      </w:r>
      <w:r w:rsidR="000E78EB" w:rsidRPr="000E78EB">
        <w:rPr>
          <w:rFonts w:ascii="Times New Roman" w:hAnsi="Times New Roman" w:cs="Times New Roman"/>
        </w:rPr>
        <w:fldChar w:fldCharType="end"/>
      </w:r>
      <w:r w:rsidRPr="00552D8E">
        <w:rPr>
          <w:rFonts w:ascii="Times New Roman" w:hAnsi="Times New Roman"/>
        </w:rPr>
        <w:t>). Tax exemptions on fuel products do not benefit the poorest as they consume little fuel and hardly use public transportation. As shown in</w:t>
      </w:r>
      <w:r w:rsidR="007911E8">
        <w:rPr>
          <w:rFonts w:ascii="Times New Roman" w:hAnsi="Times New Roman"/>
        </w:rPr>
        <w:t xml:space="preserve"> </w:t>
      </w:r>
      <w:r w:rsidR="007911E8" w:rsidRPr="007911E8">
        <w:rPr>
          <w:rFonts w:ascii="Times New Roman" w:hAnsi="Times New Roman" w:cs="Times New Roman"/>
        </w:rPr>
        <w:fldChar w:fldCharType="begin"/>
      </w:r>
      <w:r w:rsidR="007911E8" w:rsidRPr="007911E8">
        <w:rPr>
          <w:rFonts w:ascii="Times New Roman" w:hAnsi="Times New Roman" w:cs="Times New Roman"/>
        </w:rPr>
        <w:instrText xml:space="preserve"> REF _Ref412113726 \h </w:instrText>
      </w:r>
      <w:r w:rsidR="007911E8">
        <w:rPr>
          <w:rFonts w:ascii="Times New Roman" w:hAnsi="Times New Roman" w:cs="Times New Roman"/>
        </w:rPr>
        <w:instrText xml:space="preserve"> \* MERGEFORMAT </w:instrText>
      </w:r>
      <w:r w:rsidR="007911E8" w:rsidRPr="007911E8">
        <w:rPr>
          <w:rFonts w:ascii="Times New Roman" w:hAnsi="Times New Roman" w:cs="Times New Roman"/>
        </w:rPr>
      </w:r>
      <w:r w:rsidR="007911E8" w:rsidRPr="007911E8">
        <w:rPr>
          <w:rFonts w:ascii="Times New Roman" w:hAnsi="Times New Roman" w:cs="Times New Roman"/>
        </w:rPr>
        <w:fldChar w:fldCharType="separate"/>
      </w:r>
      <w:r w:rsidR="007911E8">
        <w:rPr>
          <w:rFonts w:ascii="Times New Roman" w:hAnsi="Times New Roman" w:cs="Times New Roman"/>
        </w:rPr>
        <w:t>t</w:t>
      </w:r>
      <w:r w:rsidR="007911E8" w:rsidRPr="007911E8">
        <w:rPr>
          <w:rFonts w:ascii="Times New Roman" w:hAnsi="Times New Roman" w:cs="Times New Roman"/>
        </w:rPr>
        <w:t xml:space="preserve">able </w:t>
      </w:r>
      <w:r w:rsidR="007911E8" w:rsidRPr="007911E8">
        <w:rPr>
          <w:rFonts w:ascii="Times New Roman" w:hAnsi="Times New Roman" w:cs="Times New Roman"/>
          <w:noProof/>
        </w:rPr>
        <w:t>1</w:t>
      </w:r>
      <w:r w:rsidR="007911E8" w:rsidRPr="007911E8">
        <w:rPr>
          <w:rFonts w:ascii="Times New Roman" w:hAnsi="Times New Roman" w:cs="Times New Roman"/>
        </w:rPr>
        <w:fldChar w:fldCharType="end"/>
      </w:r>
      <w:r w:rsidRPr="00552D8E">
        <w:rPr>
          <w:rFonts w:ascii="Times New Roman" w:hAnsi="Times New Roman"/>
        </w:rPr>
        <w:t>, possession of cars and motorbikes is essentially limited to the fift</w:t>
      </w:r>
      <w:r>
        <w:rPr>
          <w:rFonts w:ascii="Times New Roman" w:hAnsi="Times New Roman"/>
        </w:rPr>
        <w:t>h quintile, which consumes DF 96</w:t>
      </w:r>
      <w:r w:rsidRPr="00552D8E">
        <w:rPr>
          <w:rFonts w:ascii="Times New Roman" w:hAnsi="Times New Roman"/>
        </w:rPr>
        <w:t xml:space="preserve">,847 per household on fuel at the pump, about 4 percent of </w:t>
      </w:r>
      <w:r w:rsidR="006723E9">
        <w:rPr>
          <w:rFonts w:ascii="Times New Roman" w:hAnsi="Times New Roman"/>
        </w:rPr>
        <w:t xml:space="preserve">the </w:t>
      </w:r>
      <w:r w:rsidRPr="00552D8E">
        <w:rPr>
          <w:rFonts w:ascii="Times New Roman" w:hAnsi="Times New Roman"/>
        </w:rPr>
        <w:t>total annual household expenditure. Spending on public</w:t>
      </w:r>
      <w:r>
        <w:rPr>
          <w:rFonts w:ascii="Times New Roman" w:hAnsi="Times New Roman"/>
        </w:rPr>
        <w:t xml:space="preserve"> and school</w:t>
      </w:r>
      <w:r w:rsidRPr="00552D8E">
        <w:rPr>
          <w:rFonts w:ascii="Times New Roman" w:hAnsi="Times New Roman"/>
        </w:rPr>
        <w:t xml:space="preserve"> transport is also considerably lower in the poorest quintile (DF 2,</w:t>
      </w:r>
      <w:r>
        <w:rPr>
          <w:rFonts w:ascii="Times New Roman" w:hAnsi="Times New Roman"/>
        </w:rPr>
        <w:t>142 and DF 2</w:t>
      </w:r>
      <w:r w:rsidR="006723E9">
        <w:rPr>
          <w:rFonts w:ascii="Times New Roman" w:hAnsi="Times New Roman"/>
        </w:rPr>
        <w:t>,</w:t>
      </w:r>
      <w:r>
        <w:rPr>
          <w:rFonts w:ascii="Times New Roman" w:hAnsi="Times New Roman"/>
        </w:rPr>
        <w:t>381</w:t>
      </w:r>
      <w:r w:rsidRPr="00552D8E">
        <w:rPr>
          <w:rFonts w:ascii="Times New Roman" w:hAnsi="Times New Roman"/>
        </w:rPr>
        <w:t xml:space="preserve"> per household</w:t>
      </w:r>
      <w:r w:rsidR="006723E9">
        <w:rPr>
          <w:rFonts w:ascii="Times New Roman" w:hAnsi="Times New Roman"/>
        </w:rPr>
        <w:t>,</w:t>
      </w:r>
      <w:r>
        <w:rPr>
          <w:rFonts w:ascii="Times New Roman" w:hAnsi="Times New Roman"/>
        </w:rPr>
        <w:t xml:space="preserve"> respectively</w:t>
      </w:r>
      <w:r w:rsidRPr="00552D8E">
        <w:rPr>
          <w:rFonts w:ascii="Times New Roman" w:hAnsi="Times New Roman"/>
        </w:rPr>
        <w:t xml:space="preserve">) than in the richest quintile (DF 49,837 per household). Already the second quintile spends considerably more on public transport than the very poor (see </w:t>
      </w:r>
      <w:r w:rsidRPr="00552D8E">
        <w:rPr>
          <w:rFonts w:ascii="Times New Roman" w:hAnsi="Times New Roman"/>
          <w:b/>
          <w:color w:val="4F81BD" w:themeColor="accent1"/>
          <w:sz w:val="18"/>
          <w:szCs w:val="18"/>
        </w:rPr>
        <w:fldChar w:fldCharType="begin"/>
      </w:r>
      <w:r w:rsidRPr="00552D8E">
        <w:rPr>
          <w:rFonts w:ascii="Times New Roman" w:hAnsi="Times New Roman"/>
        </w:rPr>
        <w:instrText xml:space="preserve"> REF _Ref404178837 \h </w:instrText>
      </w:r>
      <w:r w:rsidRPr="00552D8E">
        <w:rPr>
          <w:rFonts w:ascii="Times New Roman" w:hAnsi="Times New Roman"/>
          <w:b/>
          <w:color w:val="4F81BD" w:themeColor="accent1"/>
          <w:sz w:val="18"/>
          <w:szCs w:val="18"/>
        </w:rPr>
      </w:r>
      <w:r w:rsidRPr="00552D8E">
        <w:rPr>
          <w:rFonts w:ascii="Times New Roman" w:hAnsi="Times New Roman"/>
          <w:b/>
          <w:color w:val="4F81BD" w:themeColor="accent1"/>
          <w:sz w:val="18"/>
          <w:szCs w:val="18"/>
        </w:rPr>
        <w:fldChar w:fldCharType="separate"/>
      </w:r>
      <w:r w:rsidR="0053501C">
        <w:rPr>
          <w:rFonts w:ascii="Times New Roman" w:eastAsia="Calibri" w:hAnsi="Times New Roman" w:cs="Times New Roman"/>
        </w:rPr>
        <w:t>t</w:t>
      </w:r>
      <w:r w:rsidRPr="00552D8E">
        <w:rPr>
          <w:rFonts w:ascii="Times New Roman" w:eastAsia="Calibri" w:hAnsi="Times New Roman" w:cs="Times New Roman"/>
        </w:rPr>
        <w:t xml:space="preserve">able </w:t>
      </w:r>
      <w:r w:rsidRPr="00552D8E">
        <w:rPr>
          <w:rFonts w:ascii="Times New Roman" w:hAnsi="Times New Roman"/>
        </w:rPr>
        <w:fldChar w:fldCharType="end"/>
      </w:r>
      <w:r w:rsidR="00E57B35">
        <w:rPr>
          <w:rFonts w:ascii="Times New Roman" w:hAnsi="Times New Roman"/>
        </w:rPr>
        <w:t>2</w:t>
      </w:r>
      <w:r w:rsidRPr="00552D8E">
        <w:rPr>
          <w:rFonts w:ascii="Times New Roman" w:hAnsi="Times New Roman"/>
        </w:rPr>
        <w:t>). For the poor, expenses on fuel</w:t>
      </w:r>
      <w:r w:rsidR="006723E9">
        <w:rPr>
          <w:rFonts w:ascii="Times New Roman" w:hAnsi="Times New Roman"/>
        </w:rPr>
        <w:t xml:space="preserve"> and</w:t>
      </w:r>
      <w:r w:rsidRPr="00552D8E">
        <w:rPr>
          <w:rFonts w:ascii="Times New Roman" w:hAnsi="Times New Roman"/>
        </w:rPr>
        <w:t xml:space="preserve"> public and school transport amount to less than 2 percent each of </w:t>
      </w:r>
      <w:r w:rsidR="00BF60E1">
        <w:rPr>
          <w:rFonts w:ascii="Times New Roman" w:hAnsi="Times New Roman"/>
        </w:rPr>
        <w:t xml:space="preserve">the </w:t>
      </w:r>
      <w:r w:rsidRPr="00552D8E">
        <w:rPr>
          <w:rFonts w:ascii="Times New Roman" w:hAnsi="Times New Roman"/>
        </w:rPr>
        <w:t>overall household expenses (DF</w:t>
      </w:r>
      <w:r w:rsidR="006723E9">
        <w:rPr>
          <w:rFonts w:ascii="Times New Roman" w:hAnsi="Times New Roman"/>
        </w:rPr>
        <w:t xml:space="preserve"> </w:t>
      </w:r>
      <w:r w:rsidRPr="00552D8E">
        <w:rPr>
          <w:rFonts w:ascii="Times New Roman" w:hAnsi="Times New Roman"/>
        </w:rPr>
        <w:t xml:space="preserve">4,522), whereas the richest quintile spends about </w:t>
      </w:r>
      <w:r w:rsidR="00BF60E1">
        <w:rPr>
          <w:rFonts w:ascii="Times New Roman" w:hAnsi="Times New Roman"/>
        </w:rPr>
        <w:t>8</w:t>
      </w:r>
      <w:r w:rsidRPr="00552D8E">
        <w:rPr>
          <w:rFonts w:ascii="Times New Roman" w:hAnsi="Times New Roman"/>
        </w:rPr>
        <w:t xml:space="preserve"> percent of total </w:t>
      </w:r>
      <w:r>
        <w:rPr>
          <w:rFonts w:ascii="Times New Roman" w:hAnsi="Times New Roman"/>
        </w:rPr>
        <w:t>household expenditure (DF</w:t>
      </w:r>
      <w:r w:rsidR="00BF60E1">
        <w:rPr>
          <w:rFonts w:ascii="Times New Roman" w:hAnsi="Times New Roman"/>
        </w:rPr>
        <w:t xml:space="preserve"> </w:t>
      </w:r>
      <w:r>
        <w:rPr>
          <w:rFonts w:ascii="Times New Roman" w:hAnsi="Times New Roman"/>
        </w:rPr>
        <w:t>197,643</w:t>
      </w:r>
      <w:r w:rsidRPr="00552D8E">
        <w:rPr>
          <w:rFonts w:ascii="Times New Roman" w:hAnsi="Times New Roman"/>
        </w:rPr>
        <w:t>) on these fuel products.</w:t>
      </w:r>
    </w:p>
    <w:p w:rsidR="00E57B35" w:rsidRPr="00E57B35" w:rsidRDefault="00E57B35" w:rsidP="00E57B35">
      <w:pPr>
        <w:pStyle w:val="Caption"/>
      </w:pPr>
      <w:bookmarkStart w:id="7" w:name="_Ref412113726"/>
      <w:bookmarkStart w:id="8" w:name="_Toc412105832"/>
      <w:bookmarkStart w:id="9" w:name="_Ref404178837"/>
      <w:r w:rsidRPr="00E57B35">
        <w:t xml:space="preserve">Table </w:t>
      </w:r>
      <w:fldSimple w:instr=" SEQ Table \* ARABIC ">
        <w:r w:rsidR="001000E9">
          <w:rPr>
            <w:noProof/>
          </w:rPr>
          <w:t>1</w:t>
        </w:r>
      </w:fldSimple>
      <w:bookmarkEnd w:id="7"/>
      <w:r w:rsidRPr="00E57B35">
        <w:t xml:space="preserve">: Percentage of Households Owning a Car or Motorbike, or </w:t>
      </w:r>
      <w:r w:rsidR="00200909">
        <w:t>U</w:t>
      </w:r>
      <w:r w:rsidRPr="00E57B35">
        <w:t>sing Buses</w:t>
      </w:r>
      <w:bookmarkEnd w:id="8"/>
    </w:p>
    <w:tbl>
      <w:tblPr>
        <w:tblW w:w="5000" w:type="pct"/>
        <w:jc w:val="center"/>
        <w:tblLook w:val="04A0" w:firstRow="1" w:lastRow="0" w:firstColumn="1" w:lastColumn="0" w:noHBand="0" w:noVBand="1"/>
      </w:tblPr>
      <w:tblGrid>
        <w:gridCol w:w="1859"/>
        <w:gridCol w:w="1114"/>
        <w:gridCol w:w="1013"/>
        <w:gridCol w:w="1003"/>
        <w:gridCol w:w="1035"/>
        <w:gridCol w:w="990"/>
        <w:gridCol w:w="839"/>
        <w:gridCol w:w="777"/>
        <w:gridCol w:w="730"/>
      </w:tblGrid>
      <w:tr w:rsidR="00504398" w:rsidRPr="00084965" w:rsidTr="008C39B4">
        <w:trPr>
          <w:trHeight w:hRule="exact" w:val="288"/>
          <w:jc w:val="center"/>
        </w:trPr>
        <w:tc>
          <w:tcPr>
            <w:tcW w:w="993" w:type="pct"/>
            <w:tcBorders>
              <w:top w:val="double" w:sz="4" w:space="0" w:color="auto"/>
              <w:bottom w:val="single" w:sz="4" w:space="0" w:color="auto"/>
              <w:right w:val="single" w:sz="4" w:space="0" w:color="auto"/>
            </w:tcBorders>
            <w:noWrap/>
            <w:vAlign w:val="bottom"/>
            <w:hideMark/>
          </w:tcPr>
          <w:p w:rsidR="00504398" w:rsidRPr="00084965" w:rsidRDefault="00504398" w:rsidP="00D56EDF">
            <w:pPr>
              <w:spacing w:after="0"/>
              <w:rPr>
                <w:rFonts w:ascii="Calibri" w:eastAsia="Times New Roman" w:hAnsi="Calibri" w:cs="Times New Roman"/>
                <w:color w:val="000000"/>
                <w:sz w:val="20"/>
                <w:szCs w:val="24"/>
              </w:rPr>
            </w:pPr>
            <w:r w:rsidRPr="00084965">
              <w:rPr>
                <w:rFonts w:ascii="Calibri" w:eastAsia="Times New Roman" w:hAnsi="Calibri" w:cs="Times New Roman"/>
                <w:color w:val="000000"/>
                <w:sz w:val="20"/>
                <w:szCs w:val="24"/>
              </w:rPr>
              <w:t> </w:t>
            </w:r>
          </w:p>
        </w:tc>
        <w:tc>
          <w:tcPr>
            <w:tcW w:w="2754" w:type="pct"/>
            <w:gridSpan w:val="5"/>
            <w:tcBorders>
              <w:top w:val="double" w:sz="4" w:space="0" w:color="auto"/>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bCs/>
                <w:color w:val="000000"/>
                <w:sz w:val="20"/>
                <w:szCs w:val="18"/>
                <w:lang w:val="en-IN"/>
              </w:rPr>
            </w:pPr>
            <w:r w:rsidRPr="00084965">
              <w:rPr>
                <w:rFonts w:ascii="Times New Roman" w:eastAsia="Times New Roman" w:hAnsi="Times New Roman" w:cs="Times New Roman"/>
                <w:b/>
                <w:bCs/>
                <w:color w:val="000000"/>
                <w:sz w:val="20"/>
                <w:szCs w:val="18"/>
                <w:lang w:val="en-IN"/>
              </w:rPr>
              <w:t>Quintile</w:t>
            </w:r>
          </w:p>
        </w:tc>
        <w:tc>
          <w:tcPr>
            <w:tcW w:w="863" w:type="pct"/>
            <w:gridSpan w:val="2"/>
            <w:tcBorders>
              <w:top w:val="double" w:sz="4" w:space="0" w:color="auto"/>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bCs/>
                <w:color w:val="000000"/>
                <w:sz w:val="20"/>
                <w:szCs w:val="18"/>
                <w:lang w:val="en-IN"/>
              </w:rPr>
            </w:pPr>
            <w:r w:rsidRPr="00084965">
              <w:rPr>
                <w:rFonts w:ascii="Times New Roman" w:eastAsia="Times New Roman" w:hAnsi="Times New Roman" w:cs="Times New Roman"/>
                <w:b/>
                <w:bCs/>
                <w:color w:val="000000"/>
                <w:sz w:val="20"/>
                <w:szCs w:val="18"/>
                <w:lang w:val="en-IN"/>
              </w:rPr>
              <w:t>Area</w:t>
            </w:r>
          </w:p>
        </w:tc>
        <w:tc>
          <w:tcPr>
            <w:tcW w:w="390" w:type="pct"/>
            <w:tcBorders>
              <w:top w:val="double" w:sz="4" w:space="0" w:color="auto"/>
              <w:left w:val="nil"/>
              <w:bottom w:val="single" w:sz="4" w:space="0" w:color="auto"/>
            </w:tcBorders>
            <w:noWrap/>
            <w:vAlign w:val="center"/>
            <w:hideMark/>
          </w:tcPr>
          <w:p w:rsidR="00504398" w:rsidRPr="00084965" w:rsidRDefault="00504398" w:rsidP="00D56EDF">
            <w:pPr>
              <w:spacing w:after="0"/>
              <w:rPr>
                <w:rFonts w:ascii="Times New Roman" w:eastAsia="Times New Roman" w:hAnsi="Times New Roman" w:cs="Times New Roman"/>
                <w:b/>
                <w:bCs/>
                <w:color w:val="000000"/>
                <w:sz w:val="20"/>
                <w:szCs w:val="18"/>
                <w:lang w:val="en-IN"/>
              </w:rPr>
            </w:pPr>
            <w:r w:rsidRPr="00084965">
              <w:rPr>
                <w:rFonts w:ascii="Times New Roman" w:eastAsia="Times New Roman" w:hAnsi="Times New Roman" w:cs="Times New Roman"/>
                <w:b/>
                <w:bCs/>
                <w:color w:val="000000"/>
                <w:sz w:val="20"/>
                <w:szCs w:val="18"/>
                <w:lang w:val="en-IN"/>
              </w:rPr>
              <w:t>Total</w:t>
            </w:r>
          </w:p>
        </w:tc>
      </w:tr>
      <w:tr w:rsidR="00504398" w:rsidRPr="00084965" w:rsidTr="008C39B4">
        <w:trPr>
          <w:trHeight w:hRule="exact" w:val="288"/>
          <w:jc w:val="center"/>
        </w:trPr>
        <w:tc>
          <w:tcPr>
            <w:tcW w:w="993" w:type="pct"/>
            <w:tcBorders>
              <w:top w:val="single" w:sz="4" w:space="0" w:color="auto"/>
              <w:bottom w:val="single" w:sz="4" w:space="0" w:color="auto"/>
              <w:right w:val="single" w:sz="4" w:space="0" w:color="auto"/>
            </w:tcBorders>
            <w:noWrap/>
            <w:vAlign w:val="bottom"/>
            <w:hideMark/>
          </w:tcPr>
          <w:p w:rsidR="00504398" w:rsidRPr="00084965" w:rsidRDefault="00504398" w:rsidP="00D56EDF">
            <w:pPr>
              <w:spacing w:after="0"/>
              <w:rPr>
                <w:rFonts w:ascii="Calibri" w:eastAsia="Times New Roman" w:hAnsi="Calibri" w:cs="Times New Roman"/>
                <w:color w:val="000000"/>
                <w:sz w:val="20"/>
                <w:lang w:val="en-IN"/>
              </w:rPr>
            </w:pPr>
            <w:r w:rsidRPr="00084965">
              <w:rPr>
                <w:rFonts w:ascii="Calibri" w:eastAsia="Times New Roman" w:hAnsi="Calibri" w:cs="Times New Roman"/>
                <w:color w:val="000000"/>
                <w:sz w:val="20"/>
                <w:lang w:val="en-IN"/>
              </w:rPr>
              <w:t> </w:t>
            </w:r>
          </w:p>
        </w:tc>
        <w:tc>
          <w:tcPr>
            <w:tcW w:w="595"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Poorest</w:t>
            </w:r>
          </w:p>
        </w:tc>
        <w:tc>
          <w:tcPr>
            <w:tcW w:w="541"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Second</w:t>
            </w:r>
          </w:p>
        </w:tc>
        <w:tc>
          <w:tcPr>
            <w:tcW w:w="536"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Third</w:t>
            </w:r>
          </w:p>
        </w:tc>
        <w:tc>
          <w:tcPr>
            <w:tcW w:w="553"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Fourth</w:t>
            </w:r>
          </w:p>
        </w:tc>
        <w:tc>
          <w:tcPr>
            <w:tcW w:w="529"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Richest</w:t>
            </w:r>
          </w:p>
        </w:tc>
        <w:tc>
          <w:tcPr>
            <w:tcW w:w="448"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Urban</w:t>
            </w:r>
          </w:p>
        </w:tc>
        <w:tc>
          <w:tcPr>
            <w:tcW w:w="415"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Rural</w:t>
            </w:r>
          </w:p>
        </w:tc>
        <w:tc>
          <w:tcPr>
            <w:tcW w:w="390" w:type="pct"/>
            <w:tcBorders>
              <w:top w:val="nil"/>
              <w:left w:val="nil"/>
              <w:bottom w:val="single" w:sz="4" w:space="0" w:color="auto"/>
            </w:tcBorders>
            <w:noWrap/>
            <w:vAlign w:val="bottom"/>
            <w:hideMark/>
          </w:tcPr>
          <w:p w:rsidR="00504398" w:rsidRPr="00084965" w:rsidRDefault="00504398" w:rsidP="00D56EDF">
            <w:pPr>
              <w:spacing w:after="0"/>
              <w:rPr>
                <w:rFonts w:ascii="Calibri" w:eastAsia="Times New Roman" w:hAnsi="Calibri" w:cs="Times New Roman"/>
                <w:color w:val="000000"/>
                <w:sz w:val="20"/>
                <w:szCs w:val="24"/>
                <w:lang w:val="en-IN"/>
              </w:rPr>
            </w:pPr>
            <w:r w:rsidRPr="00084965">
              <w:rPr>
                <w:rFonts w:ascii="Calibri" w:eastAsia="Times New Roman" w:hAnsi="Calibri" w:cs="Times New Roman"/>
                <w:color w:val="000000"/>
                <w:sz w:val="20"/>
                <w:szCs w:val="24"/>
                <w:lang w:val="en-IN"/>
              </w:rPr>
              <w:t> </w:t>
            </w:r>
          </w:p>
        </w:tc>
      </w:tr>
      <w:tr w:rsidR="00504398" w:rsidRPr="00084965" w:rsidTr="008C39B4">
        <w:trPr>
          <w:trHeight w:hRule="exact" w:val="288"/>
          <w:jc w:val="center"/>
        </w:trPr>
        <w:tc>
          <w:tcPr>
            <w:tcW w:w="993" w:type="pct"/>
            <w:tcBorders>
              <w:top w:val="single" w:sz="4" w:space="0" w:color="auto"/>
              <w:bottom w:val="single" w:sz="4" w:space="0" w:color="auto"/>
              <w:right w:val="single" w:sz="4" w:space="0" w:color="auto"/>
            </w:tcBorders>
            <w:noWrap/>
            <w:vAlign w:val="center"/>
            <w:hideMark/>
          </w:tcPr>
          <w:p w:rsidR="00504398" w:rsidRPr="00084965" w:rsidRDefault="00504398" w:rsidP="00D56EDF">
            <w:pPr>
              <w:spacing w:after="0"/>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Car</w:t>
            </w:r>
          </w:p>
        </w:tc>
        <w:tc>
          <w:tcPr>
            <w:tcW w:w="595"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200909">
              <w:rPr>
                <w:rFonts w:ascii="Times New Roman" w:eastAsia="Times New Roman" w:hAnsi="Times New Roman" w:cs="Times New Roman"/>
                <w:color w:val="000000"/>
                <w:sz w:val="20"/>
                <w:szCs w:val="18"/>
                <w:lang w:val="en-IN"/>
              </w:rPr>
              <w:t>0.0</w:t>
            </w:r>
          </w:p>
        </w:tc>
        <w:tc>
          <w:tcPr>
            <w:tcW w:w="541"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0.4</w:t>
            </w:r>
          </w:p>
        </w:tc>
        <w:tc>
          <w:tcPr>
            <w:tcW w:w="536"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1.7</w:t>
            </w:r>
          </w:p>
        </w:tc>
        <w:tc>
          <w:tcPr>
            <w:tcW w:w="553"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3.0</w:t>
            </w:r>
          </w:p>
        </w:tc>
        <w:tc>
          <w:tcPr>
            <w:tcW w:w="529"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25.3</w:t>
            </w:r>
          </w:p>
        </w:tc>
        <w:tc>
          <w:tcPr>
            <w:tcW w:w="448"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7.1</w:t>
            </w:r>
          </w:p>
        </w:tc>
        <w:tc>
          <w:tcPr>
            <w:tcW w:w="415"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0.7</w:t>
            </w:r>
          </w:p>
        </w:tc>
        <w:tc>
          <w:tcPr>
            <w:tcW w:w="390" w:type="pct"/>
            <w:tcBorders>
              <w:top w:val="nil"/>
              <w:left w:val="nil"/>
              <w:bottom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6.1</w:t>
            </w:r>
          </w:p>
        </w:tc>
      </w:tr>
      <w:tr w:rsidR="00504398" w:rsidRPr="00084965" w:rsidTr="008C39B4">
        <w:trPr>
          <w:trHeight w:hRule="exact" w:val="288"/>
          <w:jc w:val="center"/>
        </w:trPr>
        <w:tc>
          <w:tcPr>
            <w:tcW w:w="993" w:type="pct"/>
            <w:tcBorders>
              <w:top w:val="single" w:sz="4" w:space="0" w:color="auto"/>
              <w:bottom w:val="single" w:sz="4" w:space="0" w:color="auto"/>
              <w:right w:val="single" w:sz="4" w:space="0" w:color="auto"/>
            </w:tcBorders>
            <w:noWrap/>
            <w:vAlign w:val="center"/>
            <w:hideMark/>
          </w:tcPr>
          <w:p w:rsidR="00504398" w:rsidRPr="00084965" w:rsidRDefault="00504398" w:rsidP="00D56EDF">
            <w:pPr>
              <w:spacing w:after="0"/>
              <w:rPr>
                <w:rFonts w:ascii="Times New Roman" w:eastAsia="Times New Roman" w:hAnsi="Times New Roman" w:cs="Times New Roman"/>
                <w:b/>
                <w:color w:val="000000"/>
                <w:sz w:val="20"/>
                <w:szCs w:val="18"/>
                <w:lang w:val="en-IN"/>
              </w:rPr>
            </w:pPr>
            <w:r w:rsidRPr="00084965">
              <w:rPr>
                <w:rFonts w:ascii="Times New Roman" w:eastAsia="Times New Roman" w:hAnsi="Times New Roman" w:cs="Times New Roman"/>
                <w:b/>
                <w:color w:val="000000"/>
                <w:sz w:val="20"/>
                <w:szCs w:val="18"/>
                <w:lang w:val="en-IN"/>
              </w:rPr>
              <w:t>Motorbike</w:t>
            </w:r>
          </w:p>
        </w:tc>
        <w:tc>
          <w:tcPr>
            <w:tcW w:w="595"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0.1</w:t>
            </w:r>
          </w:p>
        </w:tc>
        <w:tc>
          <w:tcPr>
            <w:tcW w:w="541"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0.5</w:t>
            </w:r>
          </w:p>
        </w:tc>
        <w:tc>
          <w:tcPr>
            <w:tcW w:w="536"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0.6</w:t>
            </w:r>
          </w:p>
        </w:tc>
        <w:tc>
          <w:tcPr>
            <w:tcW w:w="553"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1.3</w:t>
            </w:r>
          </w:p>
        </w:tc>
        <w:tc>
          <w:tcPr>
            <w:tcW w:w="529"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3.3</w:t>
            </w:r>
          </w:p>
        </w:tc>
        <w:tc>
          <w:tcPr>
            <w:tcW w:w="448"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1.3</w:t>
            </w:r>
          </w:p>
        </w:tc>
        <w:tc>
          <w:tcPr>
            <w:tcW w:w="415" w:type="pct"/>
            <w:tcBorders>
              <w:top w:val="nil"/>
              <w:left w:val="nil"/>
              <w:bottom w:val="single" w:sz="4" w:space="0" w:color="auto"/>
              <w:right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0.2</w:t>
            </w:r>
          </w:p>
        </w:tc>
        <w:tc>
          <w:tcPr>
            <w:tcW w:w="390" w:type="pct"/>
            <w:tcBorders>
              <w:top w:val="nil"/>
              <w:left w:val="nil"/>
              <w:bottom w:val="single" w:sz="4" w:space="0" w:color="auto"/>
            </w:tcBorders>
            <w:noWrap/>
            <w:vAlign w:val="center"/>
            <w:hideMark/>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sidRPr="00084965">
              <w:rPr>
                <w:rFonts w:ascii="Times New Roman" w:eastAsia="Times New Roman" w:hAnsi="Times New Roman" w:cs="Times New Roman"/>
                <w:color w:val="000000"/>
                <w:sz w:val="20"/>
                <w:szCs w:val="18"/>
                <w:lang w:val="en-IN"/>
              </w:rPr>
              <w:t>1.2</w:t>
            </w:r>
          </w:p>
        </w:tc>
      </w:tr>
      <w:tr w:rsidR="00504398" w:rsidRPr="00084965" w:rsidTr="008C39B4">
        <w:trPr>
          <w:trHeight w:hRule="exact" w:val="288"/>
          <w:jc w:val="center"/>
        </w:trPr>
        <w:tc>
          <w:tcPr>
            <w:tcW w:w="993" w:type="pct"/>
            <w:tcBorders>
              <w:top w:val="single" w:sz="4" w:space="0" w:color="auto"/>
              <w:bottom w:val="single" w:sz="4" w:space="0" w:color="auto"/>
              <w:right w:val="single" w:sz="4" w:space="0" w:color="auto"/>
            </w:tcBorders>
            <w:noWrap/>
            <w:vAlign w:val="center"/>
          </w:tcPr>
          <w:p w:rsidR="00504398" w:rsidRPr="00084965" w:rsidRDefault="00504398" w:rsidP="00D56EDF">
            <w:pPr>
              <w:spacing w:after="0"/>
              <w:rPr>
                <w:rFonts w:ascii="Times New Roman" w:eastAsia="Times New Roman" w:hAnsi="Times New Roman" w:cs="Times New Roman"/>
                <w:b/>
                <w:color w:val="000000"/>
                <w:sz w:val="20"/>
                <w:szCs w:val="18"/>
                <w:lang w:val="en-IN"/>
              </w:rPr>
            </w:pPr>
            <w:r>
              <w:rPr>
                <w:rFonts w:ascii="Times New Roman" w:eastAsia="Times New Roman" w:hAnsi="Times New Roman" w:cs="Times New Roman"/>
                <w:b/>
                <w:color w:val="000000"/>
                <w:sz w:val="20"/>
                <w:szCs w:val="18"/>
                <w:lang w:val="en-IN"/>
              </w:rPr>
              <w:t>Public Transport</w:t>
            </w:r>
          </w:p>
        </w:tc>
        <w:tc>
          <w:tcPr>
            <w:tcW w:w="595" w:type="pct"/>
            <w:tcBorders>
              <w:top w:val="single" w:sz="4" w:space="0" w:color="auto"/>
              <w:left w:val="nil"/>
              <w:bottom w:val="sing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12.4</w:t>
            </w:r>
          </w:p>
        </w:tc>
        <w:tc>
          <w:tcPr>
            <w:tcW w:w="541" w:type="pct"/>
            <w:tcBorders>
              <w:top w:val="single" w:sz="4" w:space="0" w:color="auto"/>
              <w:left w:val="nil"/>
              <w:bottom w:val="sing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37.6</w:t>
            </w:r>
          </w:p>
        </w:tc>
        <w:tc>
          <w:tcPr>
            <w:tcW w:w="536" w:type="pct"/>
            <w:tcBorders>
              <w:top w:val="single" w:sz="4" w:space="0" w:color="auto"/>
              <w:left w:val="nil"/>
              <w:bottom w:val="sing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53.2</w:t>
            </w:r>
          </w:p>
        </w:tc>
        <w:tc>
          <w:tcPr>
            <w:tcW w:w="553" w:type="pct"/>
            <w:tcBorders>
              <w:top w:val="single" w:sz="4" w:space="0" w:color="auto"/>
              <w:left w:val="nil"/>
              <w:bottom w:val="sing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62.0</w:t>
            </w:r>
          </w:p>
        </w:tc>
        <w:tc>
          <w:tcPr>
            <w:tcW w:w="529" w:type="pct"/>
            <w:tcBorders>
              <w:top w:val="single" w:sz="4" w:space="0" w:color="auto"/>
              <w:left w:val="nil"/>
              <w:bottom w:val="sing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58.0</w:t>
            </w:r>
          </w:p>
        </w:tc>
        <w:tc>
          <w:tcPr>
            <w:tcW w:w="448" w:type="pct"/>
            <w:tcBorders>
              <w:top w:val="single" w:sz="4" w:space="0" w:color="auto"/>
              <w:left w:val="nil"/>
              <w:bottom w:val="sing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51.4</w:t>
            </w:r>
          </w:p>
        </w:tc>
        <w:tc>
          <w:tcPr>
            <w:tcW w:w="415" w:type="pct"/>
            <w:tcBorders>
              <w:top w:val="single" w:sz="4" w:space="0" w:color="auto"/>
              <w:left w:val="nil"/>
              <w:bottom w:val="sing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9.7</w:t>
            </w:r>
          </w:p>
        </w:tc>
        <w:tc>
          <w:tcPr>
            <w:tcW w:w="390" w:type="pct"/>
            <w:tcBorders>
              <w:top w:val="single" w:sz="4" w:space="0" w:color="auto"/>
              <w:left w:val="nil"/>
              <w:bottom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44.6</w:t>
            </w:r>
          </w:p>
        </w:tc>
      </w:tr>
      <w:tr w:rsidR="00504398" w:rsidRPr="00084965" w:rsidTr="008C39B4">
        <w:trPr>
          <w:trHeight w:hRule="exact" w:val="288"/>
          <w:jc w:val="center"/>
        </w:trPr>
        <w:tc>
          <w:tcPr>
            <w:tcW w:w="993" w:type="pct"/>
            <w:tcBorders>
              <w:top w:val="single" w:sz="4" w:space="0" w:color="auto"/>
              <w:bottom w:val="double" w:sz="4" w:space="0" w:color="auto"/>
              <w:right w:val="single" w:sz="4" w:space="0" w:color="auto"/>
            </w:tcBorders>
            <w:noWrap/>
            <w:vAlign w:val="center"/>
          </w:tcPr>
          <w:p w:rsidR="00504398" w:rsidRPr="00084965" w:rsidRDefault="00504398" w:rsidP="00D56EDF">
            <w:pPr>
              <w:spacing w:after="0"/>
              <w:rPr>
                <w:rFonts w:ascii="Times New Roman" w:eastAsia="Times New Roman" w:hAnsi="Times New Roman" w:cs="Times New Roman"/>
                <w:b/>
                <w:color w:val="000000"/>
                <w:sz w:val="20"/>
                <w:szCs w:val="18"/>
                <w:lang w:val="en-IN"/>
              </w:rPr>
            </w:pPr>
            <w:r>
              <w:rPr>
                <w:rFonts w:ascii="Times New Roman" w:eastAsia="Times New Roman" w:hAnsi="Times New Roman" w:cs="Times New Roman"/>
                <w:b/>
                <w:color w:val="000000"/>
                <w:sz w:val="20"/>
                <w:szCs w:val="18"/>
                <w:lang w:val="en-IN"/>
              </w:rPr>
              <w:t>School Transport</w:t>
            </w:r>
          </w:p>
        </w:tc>
        <w:tc>
          <w:tcPr>
            <w:tcW w:w="595" w:type="pct"/>
            <w:tcBorders>
              <w:top w:val="single" w:sz="4" w:space="0" w:color="auto"/>
              <w:left w:val="nil"/>
              <w:bottom w:val="doub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6.9</w:t>
            </w:r>
          </w:p>
        </w:tc>
        <w:tc>
          <w:tcPr>
            <w:tcW w:w="541" w:type="pct"/>
            <w:tcBorders>
              <w:top w:val="single" w:sz="4" w:space="0" w:color="auto"/>
              <w:left w:val="nil"/>
              <w:bottom w:val="doub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21.9</w:t>
            </w:r>
          </w:p>
        </w:tc>
        <w:tc>
          <w:tcPr>
            <w:tcW w:w="536" w:type="pct"/>
            <w:tcBorders>
              <w:top w:val="single" w:sz="4" w:space="0" w:color="auto"/>
              <w:left w:val="nil"/>
              <w:bottom w:val="doub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37.2</w:t>
            </w:r>
          </w:p>
        </w:tc>
        <w:tc>
          <w:tcPr>
            <w:tcW w:w="553" w:type="pct"/>
            <w:tcBorders>
              <w:top w:val="single" w:sz="4" w:space="0" w:color="auto"/>
              <w:left w:val="nil"/>
              <w:bottom w:val="doub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47.0</w:t>
            </w:r>
          </w:p>
        </w:tc>
        <w:tc>
          <w:tcPr>
            <w:tcW w:w="529" w:type="pct"/>
            <w:tcBorders>
              <w:top w:val="single" w:sz="4" w:space="0" w:color="auto"/>
              <w:left w:val="nil"/>
              <w:bottom w:val="doub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41.9</w:t>
            </w:r>
          </w:p>
        </w:tc>
        <w:tc>
          <w:tcPr>
            <w:tcW w:w="448" w:type="pct"/>
            <w:tcBorders>
              <w:top w:val="single" w:sz="4" w:space="0" w:color="auto"/>
              <w:left w:val="nil"/>
              <w:bottom w:val="doub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36.7</w:t>
            </w:r>
          </w:p>
        </w:tc>
        <w:tc>
          <w:tcPr>
            <w:tcW w:w="415" w:type="pct"/>
            <w:tcBorders>
              <w:top w:val="single" w:sz="4" w:space="0" w:color="auto"/>
              <w:left w:val="nil"/>
              <w:bottom w:val="double" w:sz="4" w:space="0" w:color="auto"/>
              <w:right w:val="sing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1.2</w:t>
            </w:r>
          </w:p>
        </w:tc>
        <w:tc>
          <w:tcPr>
            <w:tcW w:w="390" w:type="pct"/>
            <w:tcBorders>
              <w:top w:val="single" w:sz="4" w:space="0" w:color="auto"/>
              <w:left w:val="nil"/>
              <w:bottom w:val="double" w:sz="4" w:space="0" w:color="auto"/>
            </w:tcBorders>
            <w:noWrap/>
            <w:vAlign w:val="center"/>
          </w:tcPr>
          <w:p w:rsidR="00504398" w:rsidRPr="00084965" w:rsidRDefault="00504398" w:rsidP="00D56EDF">
            <w:pPr>
              <w:spacing w:after="0"/>
              <w:jc w:val="center"/>
              <w:rPr>
                <w:rFonts w:ascii="Times New Roman" w:eastAsia="Times New Roman" w:hAnsi="Times New Roman" w:cs="Times New Roman"/>
                <w:color w:val="000000"/>
                <w:sz w:val="20"/>
                <w:szCs w:val="18"/>
                <w:lang w:val="en-IN"/>
              </w:rPr>
            </w:pPr>
            <w:r>
              <w:rPr>
                <w:rFonts w:ascii="Times New Roman" w:eastAsia="Times New Roman" w:hAnsi="Times New Roman" w:cs="Times New Roman"/>
                <w:color w:val="000000"/>
                <w:sz w:val="20"/>
                <w:szCs w:val="18"/>
                <w:lang w:val="en-IN"/>
              </w:rPr>
              <w:t>31.0</w:t>
            </w:r>
          </w:p>
        </w:tc>
      </w:tr>
    </w:tbl>
    <w:p w:rsidR="00504398" w:rsidRPr="00E57B35" w:rsidRDefault="00504398" w:rsidP="00E57B35">
      <w:pPr>
        <w:spacing w:after="0" w:line="240" w:lineRule="auto"/>
        <w:rPr>
          <w:rFonts w:ascii="Times New Roman" w:hAnsi="Times New Roman" w:cs="Times New Roman"/>
          <w:sz w:val="18"/>
        </w:rPr>
      </w:pPr>
      <w:r w:rsidRPr="00E57B35">
        <w:rPr>
          <w:rFonts w:ascii="Times New Roman" w:hAnsi="Times New Roman" w:cs="Times New Roman"/>
          <w:i/>
          <w:sz w:val="18"/>
        </w:rPr>
        <w:t>Source:</w:t>
      </w:r>
      <w:r w:rsidRPr="00E57B35">
        <w:rPr>
          <w:rFonts w:ascii="Times New Roman" w:hAnsi="Times New Roman" w:cs="Times New Roman"/>
          <w:sz w:val="18"/>
        </w:rPr>
        <w:t xml:space="preserve"> World Bank calculation based on the EDAM 3.</w:t>
      </w:r>
    </w:p>
    <w:p w:rsidR="00E57B35" w:rsidRDefault="00E57B35" w:rsidP="00E57B35">
      <w:pPr>
        <w:pStyle w:val="Caption"/>
      </w:pPr>
      <w:bookmarkStart w:id="10" w:name="_Ref412113807"/>
      <w:bookmarkStart w:id="11" w:name="_Toc412105833"/>
      <w:bookmarkEnd w:id="9"/>
      <w:r>
        <w:t xml:space="preserve">Table </w:t>
      </w:r>
      <w:fldSimple w:instr=" SEQ Table \* ARABIC ">
        <w:r w:rsidR="001000E9">
          <w:rPr>
            <w:noProof/>
          </w:rPr>
          <w:t>2</w:t>
        </w:r>
      </w:fldSimple>
      <w:bookmarkEnd w:id="10"/>
      <w:r>
        <w:t xml:space="preserve">: </w:t>
      </w:r>
      <w:r w:rsidRPr="00F567FF">
        <w:t>Expenditures per Household (in 2014</w:t>
      </w:r>
      <w:r w:rsidR="00BF60E1">
        <w:t>,</w:t>
      </w:r>
      <w:r w:rsidRPr="00F567FF">
        <w:t xml:space="preserve"> DF)</w:t>
      </w:r>
      <w:bookmarkEnd w:id="11"/>
    </w:p>
    <w:tbl>
      <w:tblPr>
        <w:tblW w:w="5000" w:type="pct"/>
        <w:jc w:val="center"/>
        <w:tblLook w:val="04A0" w:firstRow="1" w:lastRow="0" w:firstColumn="1" w:lastColumn="0" w:noHBand="0" w:noVBand="1"/>
      </w:tblPr>
      <w:tblGrid>
        <w:gridCol w:w="6"/>
        <w:gridCol w:w="2228"/>
        <w:gridCol w:w="1528"/>
        <w:gridCol w:w="1936"/>
        <w:gridCol w:w="2037"/>
        <w:gridCol w:w="1625"/>
      </w:tblGrid>
      <w:tr w:rsidR="00504398" w:rsidRPr="00E57B35" w:rsidTr="008C39B4">
        <w:trPr>
          <w:gridBefore w:val="1"/>
          <w:wBefore w:w="4" w:type="pct"/>
          <w:trHeight w:val="465"/>
          <w:jc w:val="center"/>
        </w:trPr>
        <w:tc>
          <w:tcPr>
            <w:tcW w:w="1190"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p>
        </w:tc>
        <w:tc>
          <w:tcPr>
            <w:tcW w:w="816"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Fuel</w:t>
            </w:r>
          </w:p>
        </w:tc>
        <w:tc>
          <w:tcPr>
            <w:tcW w:w="1034"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Public Transport</w:t>
            </w:r>
          </w:p>
        </w:tc>
        <w:tc>
          <w:tcPr>
            <w:tcW w:w="1088"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School Transport</w:t>
            </w:r>
          </w:p>
        </w:tc>
        <w:tc>
          <w:tcPr>
            <w:tcW w:w="868"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Total</w:t>
            </w:r>
          </w:p>
        </w:tc>
      </w:tr>
      <w:tr w:rsidR="00504398" w:rsidRPr="00E57B35" w:rsidTr="008C39B4">
        <w:trPr>
          <w:trHeight w:hRule="exact" w:val="288"/>
          <w:jc w:val="center"/>
        </w:trPr>
        <w:tc>
          <w:tcPr>
            <w:tcW w:w="1194" w:type="pct"/>
            <w:gridSpan w:val="2"/>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Poorest</w:t>
            </w:r>
          </w:p>
        </w:tc>
        <w:tc>
          <w:tcPr>
            <w:tcW w:w="816"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0</w:t>
            </w:r>
          </w:p>
        </w:tc>
        <w:tc>
          <w:tcPr>
            <w:tcW w:w="1034"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2,142</w:t>
            </w:r>
          </w:p>
        </w:tc>
        <w:tc>
          <w:tcPr>
            <w:tcW w:w="1088"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2,381</w:t>
            </w:r>
          </w:p>
        </w:tc>
        <w:tc>
          <w:tcPr>
            <w:tcW w:w="868"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4,523</w:t>
            </w:r>
          </w:p>
        </w:tc>
      </w:tr>
      <w:tr w:rsidR="00504398" w:rsidRPr="00E57B35" w:rsidTr="008C39B4">
        <w:trPr>
          <w:trHeight w:hRule="exact" w:val="288"/>
          <w:jc w:val="center"/>
        </w:trPr>
        <w:tc>
          <w:tcPr>
            <w:tcW w:w="1194" w:type="pct"/>
            <w:gridSpan w:val="2"/>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Second</w:t>
            </w:r>
          </w:p>
        </w:tc>
        <w:tc>
          <w:tcPr>
            <w:tcW w:w="816"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499</w:t>
            </w:r>
          </w:p>
        </w:tc>
        <w:tc>
          <w:tcPr>
            <w:tcW w:w="1034"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13,196</w:t>
            </w:r>
          </w:p>
        </w:tc>
        <w:tc>
          <w:tcPr>
            <w:tcW w:w="1088"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13,192</w:t>
            </w:r>
          </w:p>
        </w:tc>
        <w:tc>
          <w:tcPr>
            <w:tcW w:w="868"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26,887</w:t>
            </w:r>
          </w:p>
        </w:tc>
      </w:tr>
      <w:tr w:rsidR="00504398" w:rsidRPr="00E57B35" w:rsidTr="008C39B4">
        <w:trPr>
          <w:trHeight w:hRule="exact" w:val="288"/>
          <w:jc w:val="center"/>
        </w:trPr>
        <w:tc>
          <w:tcPr>
            <w:tcW w:w="1194" w:type="pct"/>
            <w:gridSpan w:val="2"/>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Third</w:t>
            </w:r>
          </w:p>
        </w:tc>
        <w:tc>
          <w:tcPr>
            <w:tcW w:w="816"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617</w:t>
            </w:r>
          </w:p>
        </w:tc>
        <w:tc>
          <w:tcPr>
            <w:tcW w:w="1034"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25,352</w:t>
            </w:r>
          </w:p>
        </w:tc>
        <w:tc>
          <w:tcPr>
            <w:tcW w:w="1088"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31,755</w:t>
            </w:r>
          </w:p>
        </w:tc>
        <w:tc>
          <w:tcPr>
            <w:tcW w:w="868"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57,724</w:t>
            </w:r>
          </w:p>
        </w:tc>
      </w:tr>
      <w:tr w:rsidR="00504398" w:rsidRPr="00E57B35" w:rsidTr="008C39B4">
        <w:trPr>
          <w:trHeight w:hRule="exact" w:val="288"/>
          <w:jc w:val="center"/>
        </w:trPr>
        <w:tc>
          <w:tcPr>
            <w:tcW w:w="1194" w:type="pct"/>
            <w:gridSpan w:val="2"/>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Fourth</w:t>
            </w:r>
          </w:p>
        </w:tc>
        <w:tc>
          <w:tcPr>
            <w:tcW w:w="816"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4,093</w:t>
            </w:r>
          </w:p>
        </w:tc>
        <w:tc>
          <w:tcPr>
            <w:tcW w:w="1034"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38,002</w:t>
            </w:r>
          </w:p>
        </w:tc>
        <w:tc>
          <w:tcPr>
            <w:tcW w:w="1088"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46,889</w:t>
            </w:r>
          </w:p>
        </w:tc>
        <w:tc>
          <w:tcPr>
            <w:tcW w:w="868"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88,985</w:t>
            </w:r>
          </w:p>
        </w:tc>
      </w:tr>
      <w:tr w:rsidR="00504398" w:rsidRPr="00E57B35" w:rsidTr="008C39B4">
        <w:trPr>
          <w:trHeight w:hRule="exact" w:val="288"/>
          <w:jc w:val="center"/>
        </w:trPr>
        <w:tc>
          <w:tcPr>
            <w:tcW w:w="1194" w:type="pct"/>
            <w:gridSpan w:val="2"/>
            <w:tcBorders>
              <w:top w:val="nil"/>
              <w:left w:val="nil"/>
              <w:bottom w:val="single" w:sz="4"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Richest</w:t>
            </w:r>
          </w:p>
        </w:tc>
        <w:tc>
          <w:tcPr>
            <w:tcW w:w="816" w:type="pct"/>
            <w:tcBorders>
              <w:top w:val="nil"/>
              <w:left w:val="nil"/>
              <w:bottom w:val="single" w:sz="4"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96,874</w:t>
            </w:r>
          </w:p>
        </w:tc>
        <w:tc>
          <w:tcPr>
            <w:tcW w:w="1034" w:type="pct"/>
            <w:tcBorders>
              <w:top w:val="nil"/>
              <w:left w:val="nil"/>
              <w:bottom w:val="single" w:sz="4"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49,837</w:t>
            </w:r>
          </w:p>
        </w:tc>
        <w:tc>
          <w:tcPr>
            <w:tcW w:w="1088" w:type="pct"/>
            <w:tcBorders>
              <w:top w:val="nil"/>
              <w:left w:val="nil"/>
              <w:bottom w:val="single" w:sz="4"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50,932</w:t>
            </w:r>
          </w:p>
        </w:tc>
        <w:tc>
          <w:tcPr>
            <w:tcW w:w="868" w:type="pct"/>
            <w:tcBorders>
              <w:top w:val="nil"/>
              <w:left w:val="nil"/>
              <w:bottom w:val="single" w:sz="4"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197,643</w:t>
            </w:r>
          </w:p>
        </w:tc>
      </w:tr>
      <w:tr w:rsidR="00504398" w:rsidRPr="00E57B35" w:rsidTr="008C39B4">
        <w:trPr>
          <w:trHeight w:hRule="exact" w:val="288"/>
          <w:jc w:val="center"/>
        </w:trPr>
        <w:tc>
          <w:tcPr>
            <w:tcW w:w="1194" w:type="pct"/>
            <w:gridSpan w:val="2"/>
            <w:tcBorders>
              <w:top w:val="nil"/>
              <w:left w:val="nil"/>
              <w:bottom w:val="double" w:sz="6"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Total</w:t>
            </w:r>
          </w:p>
        </w:tc>
        <w:tc>
          <w:tcPr>
            <w:tcW w:w="816" w:type="pct"/>
            <w:tcBorders>
              <w:top w:val="nil"/>
              <w:left w:val="nil"/>
              <w:bottom w:val="double" w:sz="6"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25,422</w:t>
            </w:r>
          </w:p>
        </w:tc>
        <w:tc>
          <w:tcPr>
            <w:tcW w:w="1034" w:type="pct"/>
            <w:tcBorders>
              <w:top w:val="nil"/>
              <w:left w:val="nil"/>
              <w:bottom w:val="double" w:sz="6"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27,381</w:t>
            </w:r>
          </w:p>
        </w:tc>
        <w:tc>
          <w:tcPr>
            <w:tcW w:w="1088" w:type="pct"/>
            <w:tcBorders>
              <w:top w:val="nil"/>
              <w:left w:val="nil"/>
              <w:bottom w:val="double" w:sz="6"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30,622</w:t>
            </w:r>
          </w:p>
        </w:tc>
        <w:tc>
          <w:tcPr>
            <w:tcW w:w="868" w:type="pct"/>
            <w:tcBorders>
              <w:top w:val="nil"/>
              <w:left w:val="nil"/>
              <w:bottom w:val="double" w:sz="6"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83,425</w:t>
            </w:r>
          </w:p>
        </w:tc>
      </w:tr>
    </w:tbl>
    <w:p w:rsidR="00504398" w:rsidRDefault="00504398" w:rsidP="00E57B35">
      <w:pPr>
        <w:spacing w:after="0" w:line="240" w:lineRule="auto"/>
        <w:rPr>
          <w:rFonts w:ascii="Times New Roman" w:hAnsi="Times New Roman" w:cs="Times New Roman"/>
          <w:sz w:val="18"/>
        </w:rPr>
      </w:pPr>
      <w:bookmarkStart w:id="12" w:name="_Ref404178871"/>
      <w:r w:rsidRPr="00E57B35">
        <w:rPr>
          <w:rFonts w:ascii="Times New Roman" w:hAnsi="Times New Roman" w:cs="Times New Roman"/>
          <w:i/>
          <w:sz w:val="18"/>
        </w:rPr>
        <w:t xml:space="preserve">Source: </w:t>
      </w:r>
      <w:r w:rsidRPr="00E57B35">
        <w:rPr>
          <w:rFonts w:ascii="Times New Roman" w:hAnsi="Times New Roman" w:cs="Times New Roman"/>
          <w:sz w:val="18"/>
        </w:rPr>
        <w:t>World Bank calculation based on the EDAM 3 (2014 prices).</w:t>
      </w:r>
    </w:p>
    <w:p w:rsidR="00E57B35" w:rsidRDefault="00E57B35" w:rsidP="00E57B35">
      <w:pPr>
        <w:pStyle w:val="Caption"/>
      </w:pPr>
      <w:bookmarkStart w:id="13" w:name="_Ref412113852"/>
      <w:bookmarkStart w:id="14" w:name="_Toc412105834"/>
      <w:r>
        <w:t xml:space="preserve">Table </w:t>
      </w:r>
      <w:fldSimple w:instr=" SEQ Table \* ARABIC ">
        <w:r w:rsidR="001000E9">
          <w:rPr>
            <w:noProof/>
          </w:rPr>
          <w:t>3</w:t>
        </w:r>
      </w:fldSimple>
      <w:bookmarkEnd w:id="13"/>
      <w:r>
        <w:t xml:space="preserve">: </w:t>
      </w:r>
      <w:r w:rsidRPr="00010C1D">
        <w:t>Expenditure on Subsidized Products over Total Expenditures (in %)</w:t>
      </w:r>
      <w:bookmarkEnd w:id="14"/>
    </w:p>
    <w:tbl>
      <w:tblPr>
        <w:tblW w:w="5000" w:type="pct"/>
        <w:jc w:val="center"/>
        <w:tblLook w:val="04A0" w:firstRow="1" w:lastRow="0" w:firstColumn="1" w:lastColumn="0" w:noHBand="0" w:noVBand="1"/>
      </w:tblPr>
      <w:tblGrid>
        <w:gridCol w:w="1820"/>
        <w:gridCol w:w="1565"/>
        <w:gridCol w:w="1973"/>
        <w:gridCol w:w="2177"/>
        <w:gridCol w:w="1825"/>
      </w:tblGrid>
      <w:tr w:rsidR="00504398" w:rsidRPr="00E57B35" w:rsidTr="008C39B4">
        <w:trPr>
          <w:trHeight w:val="441"/>
          <w:tblHeader/>
          <w:jc w:val="center"/>
        </w:trPr>
        <w:tc>
          <w:tcPr>
            <w:tcW w:w="972" w:type="pct"/>
            <w:tcBorders>
              <w:top w:val="double" w:sz="6" w:space="0" w:color="000000"/>
              <w:left w:val="nil"/>
              <w:bottom w:val="single" w:sz="4" w:space="0" w:color="000000"/>
              <w:right w:val="nil"/>
            </w:tcBorders>
            <w:shd w:val="clear" w:color="auto" w:fill="auto"/>
            <w:vAlign w:val="center"/>
            <w:hideMark/>
          </w:tcPr>
          <w:bookmarkEnd w:id="12"/>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 </w:t>
            </w:r>
          </w:p>
        </w:tc>
        <w:tc>
          <w:tcPr>
            <w:tcW w:w="836"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Fuel</w:t>
            </w:r>
          </w:p>
        </w:tc>
        <w:tc>
          <w:tcPr>
            <w:tcW w:w="1054"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Public Transport</w:t>
            </w:r>
          </w:p>
        </w:tc>
        <w:tc>
          <w:tcPr>
            <w:tcW w:w="1163"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School Transport</w:t>
            </w:r>
          </w:p>
        </w:tc>
        <w:tc>
          <w:tcPr>
            <w:tcW w:w="975"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600CD2">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Total</w:t>
            </w:r>
          </w:p>
        </w:tc>
      </w:tr>
      <w:tr w:rsidR="00504398" w:rsidRPr="00E57B35" w:rsidTr="008C39B4">
        <w:trPr>
          <w:trHeight w:val="300"/>
          <w:jc w:val="center"/>
        </w:trPr>
        <w:tc>
          <w:tcPr>
            <w:tcW w:w="972"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Poorest</w:t>
            </w:r>
          </w:p>
        </w:tc>
        <w:tc>
          <w:tcPr>
            <w:tcW w:w="836"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200909">
              <w:rPr>
                <w:rFonts w:ascii="Times New Roman" w:eastAsia="Times New Roman" w:hAnsi="Times New Roman" w:cs="Times New Roman"/>
                <w:sz w:val="20"/>
                <w:szCs w:val="20"/>
              </w:rPr>
              <w:t>0.00</w:t>
            </w:r>
          </w:p>
        </w:tc>
        <w:tc>
          <w:tcPr>
            <w:tcW w:w="1054"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0.79</w:t>
            </w:r>
          </w:p>
        </w:tc>
        <w:tc>
          <w:tcPr>
            <w:tcW w:w="1163"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0.88</w:t>
            </w:r>
          </w:p>
        </w:tc>
        <w:tc>
          <w:tcPr>
            <w:tcW w:w="975"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1.67</w:t>
            </w:r>
          </w:p>
        </w:tc>
      </w:tr>
      <w:tr w:rsidR="00504398" w:rsidRPr="00E57B35" w:rsidTr="008C39B4">
        <w:trPr>
          <w:trHeight w:val="300"/>
          <w:jc w:val="center"/>
        </w:trPr>
        <w:tc>
          <w:tcPr>
            <w:tcW w:w="972"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Second</w:t>
            </w:r>
          </w:p>
        </w:tc>
        <w:tc>
          <w:tcPr>
            <w:tcW w:w="836"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0.07</w:t>
            </w:r>
          </w:p>
        </w:tc>
        <w:tc>
          <w:tcPr>
            <w:tcW w:w="1054"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1.89</w:t>
            </w:r>
          </w:p>
        </w:tc>
        <w:tc>
          <w:tcPr>
            <w:tcW w:w="1163"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1.89</w:t>
            </w:r>
          </w:p>
        </w:tc>
        <w:tc>
          <w:tcPr>
            <w:tcW w:w="975"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3.86</w:t>
            </w:r>
          </w:p>
        </w:tc>
      </w:tr>
      <w:tr w:rsidR="00504398" w:rsidRPr="00E57B35" w:rsidTr="008C39B4">
        <w:trPr>
          <w:trHeight w:val="300"/>
          <w:jc w:val="center"/>
        </w:trPr>
        <w:tc>
          <w:tcPr>
            <w:tcW w:w="972"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Third</w:t>
            </w:r>
          </w:p>
        </w:tc>
        <w:tc>
          <w:tcPr>
            <w:tcW w:w="836"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0.06</w:t>
            </w:r>
          </w:p>
        </w:tc>
        <w:tc>
          <w:tcPr>
            <w:tcW w:w="1054"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2.57</w:t>
            </w:r>
          </w:p>
        </w:tc>
        <w:tc>
          <w:tcPr>
            <w:tcW w:w="1163"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3.22</w:t>
            </w:r>
          </w:p>
        </w:tc>
        <w:tc>
          <w:tcPr>
            <w:tcW w:w="975"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5.85</w:t>
            </w:r>
          </w:p>
        </w:tc>
      </w:tr>
      <w:tr w:rsidR="00504398" w:rsidRPr="00E57B35" w:rsidTr="008C39B4">
        <w:trPr>
          <w:trHeight w:val="300"/>
          <w:jc w:val="center"/>
        </w:trPr>
        <w:tc>
          <w:tcPr>
            <w:tcW w:w="972"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Fourth</w:t>
            </w:r>
          </w:p>
        </w:tc>
        <w:tc>
          <w:tcPr>
            <w:tcW w:w="836"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0.31</w:t>
            </w:r>
          </w:p>
        </w:tc>
        <w:tc>
          <w:tcPr>
            <w:tcW w:w="1054"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2.87</w:t>
            </w:r>
          </w:p>
        </w:tc>
        <w:tc>
          <w:tcPr>
            <w:tcW w:w="1163"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3.54</w:t>
            </w:r>
          </w:p>
        </w:tc>
        <w:tc>
          <w:tcPr>
            <w:tcW w:w="975" w:type="pct"/>
            <w:tcBorders>
              <w:top w:val="nil"/>
              <w:left w:val="nil"/>
              <w:bottom w:val="nil"/>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6.72</w:t>
            </w:r>
          </w:p>
        </w:tc>
      </w:tr>
      <w:tr w:rsidR="00504398" w:rsidRPr="00E57B35" w:rsidTr="008C39B4">
        <w:trPr>
          <w:trHeight w:val="300"/>
          <w:jc w:val="center"/>
        </w:trPr>
        <w:tc>
          <w:tcPr>
            <w:tcW w:w="972" w:type="pct"/>
            <w:tcBorders>
              <w:top w:val="nil"/>
              <w:left w:val="nil"/>
              <w:bottom w:val="single" w:sz="4"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Richest</w:t>
            </w:r>
          </w:p>
        </w:tc>
        <w:tc>
          <w:tcPr>
            <w:tcW w:w="836" w:type="pct"/>
            <w:tcBorders>
              <w:top w:val="nil"/>
              <w:left w:val="nil"/>
              <w:bottom w:val="single" w:sz="4"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3.93</w:t>
            </w:r>
          </w:p>
        </w:tc>
        <w:tc>
          <w:tcPr>
            <w:tcW w:w="1054" w:type="pct"/>
            <w:tcBorders>
              <w:top w:val="nil"/>
              <w:left w:val="nil"/>
              <w:bottom w:val="single" w:sz="4"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2.02</w:t>
            </w:r>
          </w:p>
        </w:tc>
        <w:tc>
          <w:tcPr>
            <w:tcW w:w="1163" w:type="pct"/>
            <w:tcBorders>
              <w:top w:val="nil"/>
              <w:left w:val="nil"/>
              <w:bottom w:val="single" w:sz="4"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2.07</w:t>
            </w:r>
          </w:p>
        </w:tc>
        <w:tc>
          <w:tcPr>
            <w:tcW w:w="975" w:type="pct"/>
            <w:tcBorders>
              <w:top w:val="nil"/>
              <w:left w:val="nil"/>
              <w:bottom w:val="single" w:sz="4"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8.02</w:t>
            </w:r>
          </w:p>
        </w:tc>
      </w:tr>
      <w:tr w:rsidR="00504398" w:rsidRPr="00E57B35" w:rsidTr="008C39B4">
        <w:trPr>
          <w:trHeight w:val="315"/>
          <w:jc w:val="center"/>
        </w:trPr>
        <w:tc>
          <w:tcPr>
            <w:tcW w:w="972" w:type="pct"/>
            <w:tcBorders>
              <w:top w:val="nil"/>
              <w:left w:val="nil"/>
              <w:bottom w:val="double" w:sz="6"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Total</w:t>
            </w:r>
          </w:p>
        </w:tc>
        <w:tc>
          <w:tcPr>
            <w:tcW w:w="836" w:type="pct"/>
            <w:tcBorders>
              <w:top w:val="nil"/>
              <w:left w:val="nil"/>
              <w:bottom w:val="double" w:sz="6"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2.06</w:t>
            </w:r>
          </w:p>
        </w:tc>
        <w:tc>
          <w:tcPr>
            <w:tcW w:w="1054" w:type="pct"/>
            <w:tcBorders>
              <w:top w:val="nil"/>
              <w:left w:val="nil"/>
              <w:bottom w:val="double" w:sz="6"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2.22</w:t>
            </w:r>
          </w:p>
        </w:tc>
        <w:tc>
          <w:tcPr>
            <w:tcW w:w="1163" w:type="pct"/>
            <w:tcBorders>
              <w:top w:val="nil"/>
              <w:left w:val="nil"/>
              <w:bottom w:val="double" w:sz="6"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2.48</w:t>
            </w:r>
          </w:p>
        </w:tc>
        <w:tc>
          <w:tcPr>
            <w:tcW w:w="975" w:type="pct"/>
            <w:tcBorders>
              <w:top w:val="nil"/>
              <w:left w:val="nil"/>
              <w:bottom w:val="double" w:sz="6" w:space="0" w:color="000000"/>
              <w:right w:val="nil"/>
            </w:tcBorders>
            <w:shd w:val="clear" w:color="auto" w:fill="auto"/>
            <w:noWrap/>
            <w:vAlign w:val="center"/>
            <w:hideMark/>
          </w:tcPr>
          <w:p w:rsidR="00504398" w:rsidRPr="00E57B35" w:rsidRDefault="00504398" w:rsidP="00BF60E1">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6.75</w:t>
            </w:r>
          </w:p>
        </w:tc>
      </w:tr>
    </w:tbl>
    <w:p w:rsidR="00504398" w:rsidRPr="00E57B35" w:rsidRDefault="00504398" w:rsidP="00E57B35">
      <w:pPr>
        <w:spacing w:after="0" w:line="240" w:lineRule="auto"/>
        <w:rPr>
          <w:rFonts w:ascii="Times New Roman" w:hAnsi="Times New Roman" w:cs="Times New Roman"/>
          <w:i/>
          <w:sz w:val="18"/>
        </w:rPr>
      </w:pPr>
      <w:r w:rsidRPr="00E57B35">
        <w:rPr>
          <w:rFonts w:ascii="Times New Roman" w:hAnsi="Times New Roman" w:cs="Times New Roman"/>
          <w:i/>
          <w:sz w:val="18"/>
        </w:rPr>
        <w:t xml:space="preserve">Source: </w:t>
      </w:r>
      <w:r w:rsidRPr="00E57B35">
        <w:rPr>
          <w:rFonts w:ascii="Times New Roman" w:hAnsi="Times New Roman" w:cs="Times New Roman"/>
          <w:sz w:val="18"/>
        </w:rPr>
        <w:t>World Bank calculation based on the EDAM 3 (2014 prices).</w:t>
      </w:r>
    </w:p>
    <w:p w:rsidR="00504398" w:rsidRDefault="00504398" w:rsidP="008D71E6">
      <w:pPr>
        <w:pStyle w:val="Heading2"/>
      </w:pPr>
      <w:bookmarkStart w:id="15" w:name="_Toc410901646"/>
      <w:bookmarkStart w:id="16" w:name="_Toc412105855"/>
      <w:r>
        <w:lastRenderedPageBreak/>
        <w:t>Distribution of Subsidies on Food Products</w:t>
      </w:r>
      <w:bookmarkEnd w:id="15"/>
      <w:bookmarkEnd w:id="16"/>
      <w:r>
        <w:t xml:space="preserve"> </w:t>
      </w:r>
    </w:p>
    <w:p w:rsidR="00504398" w:rsidRPr="00130506" w:rsidRDefault="00504398" w:rsidP="00504398">
      <w:pPr>
        <w:widowControl w:val="0"/>
        <w:autoSpaceDE w:val="0"/>
        <w:autoSpaceDN w:val="0"/>
        <w:adjustRightInd w:val="0"/>
        <w:spacing w:after="0" w:line="240" w:lineRule="auto"/>
        <w:jc w:val="both"/>
        <w:rPr>
          <w:rFonts w:ascii="Times New Roman" w:hAnsi="Times New Roman"/>
          <w:b/>
        </w:rPr>
      </w:pPr>
    </w:p>
    <w:p w:rsidR="00504398"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rPr>
      </w:pPr>
      <w:r w:rsidRPr="00E054B2">
        <w:rPr>
          <w:rFonts w:ascii="Times New Roman" w:hAnsi="Times New Roman"/>
        </w:rPr>
        <w:t>Poor households spend relatively more on tax-exempt</w:t>
      </w:r>
      <w:r>
        <w:rPr>
          <w:rFonts w:ascii="Times New Roman" w:hAnsi="Times New Roman"/>
        </w:rPr>
        <w:t xml:space="preserve"> food products than richer households. </w:t>
      </w:r>
      <w:r w:rsidRPr="00E054B2">
        <w:rPr>
          <w:rFonts w:ascii="Times New Roman" w:hAnsi="Times New Roman"/>
        </w:rPr>
        <w:t xml:space="preserve">Household expenses on tax-exempt </w:t>
      </w:r>
      <w:r>
        <w:rPr>
          <w:rFonts w:ascii="Times New Roman" w:hAnsi="Times New Roman"/>
        </w:rPr>
        <w:t xml:space="preserve">food </w:t>
      </w:r>
      <w:r w:rsidRPr="00E054B2">
        <w:rPr>
          <w:rFonts w:ascii="Times New Roman" w:hAnsi="Times New Roman"/>
        </w:rPr>
        <w:t xml:space="preserve">products amount on average to DF </w:t>
      </w:r>
      <w:r>
        <w:rPr>
          <w:rFonts w:ascii="Times New Roman" w:hAnsi="Times New Roman"/>
        </w:rPr>
        <w:t>153,629</w:t>
      </w:r>
      <w:r w:rsidRPr="00E054B2">
        <w:rPr>
          <w:rFonts w:ascii="Times New Roman" w:hAnsi="Times New Roman"/>
        </w:rPr>
        <w:t xml:space="preserve"> per household, which is equivalent to </w:t>
      </w:r>
      <w:r>
        <w:rPr>
          <w:rFonts w:ascii="Times New Roman" w:hAnsi="Times New Roman"/>
        </w:rPr>
        <w:t>12.4</w:t>
      </w:r>
      <w:r w:rsidRPr="00E054B2">
        <w:rPr>
          <w:rFonts w:ascii="Times New Roman" w:hAnsi="Times New Roman"/>
        </w:rPr>
        <w:t xml:space="preserve"> percent of total household spending. </w:t>
      </w:r>
      <w:r w:rsidR="00E57B35" w:rsidRPr="00E57B35">
        <w:rPr>
          <w:rFonts w:ascii="Times New Roman" w:hAnsi="Times New Roman" w:cs="Times New Roman"/>
        </w:rPr>
        <w:fldChar w:fldCharType="begin"/>
      </w:r>
      <w:r w:rsidR="00E57B35" w:rsidRPr="00E57B35">
        <w:rPr>
          <w:rFonts w:ascii="Times New Roman" w:hAnsi="Times New Roman" w:cs="Times New Roman"/>
        </w:rPr>
        <w:instrText xml:space="preserve"> REF _Ref411953662 \h </w:instrText>
      </w:r>
      <w:r w:rsidR="00E57B35">
        <w:rPr>
          <w:rFonts w:ascii="Times New Roman" w:hAnsi="Times New Roman" w:cs="Times New Roman"/>
        </w:rPr>
        <w:instrText xml:space="preserve"> \* MERGEFORMAT </w:instrText>
      </w:r>
      <w:r w:rsidR="00E57B35" w:rsidRPr="00E57B35">
        <w:rPr>
          <w:rFonts w:ascii="Times New Roman" w:hAnsi="Times New Roman" w:cs="Times New Roman"/>
        </w:rPr>
      </w:r>
      <w:r w:rsidR="00E57B35" w:rsidRPr="00E57B35">
        <w:rPr>
          <w:rFonts w:ascii="Times New Roman" w:hAnsi="Times New Roman" w:cs="Times New Roman"/>
        </w:rPr>
        <w:fldChar w:fldCharType="separate"/>
      </w:r>
      <w:r w:rsidR="00E57B35" w:rsidRPr="00E57B35">
        <w:rPr>
          <w:rFonts w:ascii="Times New Roman" w:hAnsi="Times New Roman" w:cs="Times New Roman"/>
        </w:rPr>
        <w:t xml:space="preserve">Table </w:t>
      </w:r>
      <w:r w:rsidR="00E57B35" w:rsidRPr="00E57B35">
        <w:rPr>
          <w:rFonts w:ascii="Times New Roman" w:hAnsi="Times New Roman" w:cs="Times New Roman"/>
          <w:noProof/>
        </w:rPr>
        <w:t>4</w:t>
      </w:r>
      <w:r w:rsidR="00E57B35" w:rsidRPr="00E57B35">
        <w:rPr>
          <w:rFonts w:ascii="Times New Roman" w:hAnsi="Times New Roman" w:cs="Times New Roman"/>
        </w:rPr>
        <w:fldChar w:fldCharType="end"/>
      </w:r>
      <w:r w:rsidR="00E57B35" w:rsidRPr="00E57B35">
        <w:rPr>
          <w:rFonts w:ascii="Times New Roman" w:hAnsi="Times New Roman" w:cs="Times New Roman"/>
        </w:rPr>
        <w:t xml:space="preserve"> </w:t>
      </w:r>
      <w:r w:rsidRPr="00E57B35">
        <w:rPr>
          <w:rFonts w:ascii="Times New Roman" w:hAnsi="Times New Roman" w:cs="Times New Roman"/>
        </w:rPr>
        <w:t>s</w:t>
      </w:r>
      <w:r w:rsidRPr="00E054B2">
        <w:rPr>
          <w:rFonts w:ascii="Times New Roman" w:hAnsi="Times New Roman"/>
        </w:rPr>
        <w:t xml:space="preserve">hows household expenses on tax-exempt </w:t>
      </w:r>
      <w:r>
        <w:rPr>
          <w:rFonts w:ascii="Times New Roman" w:hAnsi="Times New Roman"/>
        </w:rPr>
        <w:t xml:space="preserve">food products and </w:t>
      </w:r>
      <w:r w:rsidR="00E57B35" w:rsidRPr="00E57B35">
        <w:rPr>
          <w:rFonts w:ascii="Times New Roman" w:hAnsi="Times New Roman" w:cs="Times New Roman"/>
        </w:rPr>
        <w:fldChar w:fldCharType="begin"/>
      </w:r>
      <w:r w:rsidR="00E57B35" w:rsidRPr="00E57B35">
        <w:rPr>
          <w:rFonts w:ascii="Times New Roman" w:hAnsi="Times New Roman" w:cs="Times New Roman"/>
        </w:rPr>
        <w:instrText xml:space="preserve"> REF _Ref411953746 \h </w:instrText>
      </w:r>
      <w:r w:rsidR="00E57B35">
        <w:rPr>
          <w:rFonts w:ascii="Times New Roman" w:hAnsi="Times New Roman" w:cs="Times New Roman"/>
        </w:rPr>
        <w:instrText xml:space="preserve"> \* MERGEFORMAT </w:instrText>
      </w:r>
      <w:r w:rsidR="00E57B35" w:rsidRPr="00E57B35">
        <w:rPr>
          <w:rFonts w:ascii="Times New Roman" w:hAnsi="Times New Roman" w:cs="Times New Roman"/>
        </w:rPr>
      </w:r>
      <w:r w:rsidR="00E57B35" w:rsidRPr="00E57B35">
        <w:rPr>
          <w:rFonts w:ascii="Times New Roman" w:hAnsi="Times New Roman" w:cs="Times New Roman"/>
        </w:rPr>
        <w:fldChar w:fldCharType="separate"/>
      </w:r>
      <w:r w:rsidR="00E57B35" w:rsidRPr="00E57B35">
        <w:rPr>
          <w:rFonts w:ascii="Times New Roman" w:hAnsi="Times New Roman" w:cs="Times New Roman"/>
        </w:rPr>
        <w:t xml:space="preserve">table </w:t>
      </w:r>
      <w:r w:rsidR="00E57B35" w:rsidRPr="00E57B35">
        <w:rPr>
          <w:rFonts w:ascii="Times New Roman" w:hAnsi="Times New Roman" w:cs="Times New Roman"/>
          <w:noProof/>
        </w:rPr>
        <w:t>5</w:t>
      </w:r>
      <w:r w:rsidR="00E57B35" w:rsidRPr="00E57B35">
        <w:rPr>
          <w:rFonts w:ascii="Times New Roman" w:hAnsi="Times New Roman" w:cs="Times New Roman"/>
        </w:rPr>
        <w:fldChar w:fldCharType="end"/>
      </w:r>
      <w:r w:rsidR="00E57B35">
        <w:rPr>
          <w:rFonts w:ascii="Times New Roman" w:hAnsi="Times New Roman"/>
        </w:rPr>
        <w:t xml:space="preserve"> </w:t>
      </w:r>
      <w:r w:rsidRPr="00E054B2">
        <w:rPr>
          <w:rFonts w:ascii="Times New Roman" w:hAnsi="Times New Roman"/>
        </w:rPr>
        <w:t xml:space="preserve">shows the proportion of </w:t>
      </w:r>
      <w:r>
        <w:rPr>
          <w:rFonts w:ascii="Times New Roman" w:hAnsi="Times New Roman"/>
        </w:rPr>
        <w:t xml:space="preserve">annual </w:t>
      </w:r>
      <w:r w:rsidRPr="00E054B2">
        <w:rPr>
          <w:rFonts w:ascii="Times New Roman" w:hAnsi="Times New Roman"/>
        </w:rPr>
        <w:t>household spending</w:t>
      </w:r>
      <w:r>
        <w:rPr>
          <w:rFonts w:ascii="Times New Roman" w:hAnsi="Times New Roman"/>
        </w:rPr>
        <w:t xml:space="preserve">. </w:t>
      </w:r>
      <w:r w:rsidR="00D1038F" w:rsidRPr="003A50D2">
        <w:rPr>
          <w:rFonts w:ascii="Times New Roman" w:hAnsi="Times New Roman"/>
        </w:rPr>
        <w:t>Of</w:t>
      </w:r>
      <w:r w:rsidRPr="003A50D2">
        <w:rPr>
          <w:rFonts w:ascii="Times New Roman" w:hAnsi="Times New Roman"/>
        </w:rPr>
        <w:t xml:space="preserve"> these</w:t>
      </w:r>
      <w:r>
        <w:rPr>
          <w:rFonts w:ascii="Times New Roman" w:hAnsi="Times New Roman"/>
        </w:rPr>
        <w:t xml:space="preserve"> basic food items, sugar is the </w:t>
      </w:r>
      <w:r w:rsidRPr="00E054B2">
        <w:rPr>
          <w:rFonts w:ascii="Times New Roman" w:hAnsi="Times New Roman"/>
        </w:rPr>
        <w:t xml:space="preserve">most consumed item in terms of expenditure (DF </w:t>
      </w:r>
      <w:r>
        <w:rPr>
          <w:rFonts w:ascii="Times New Roman" w:hAnsi="Times New Roman"/>
        </w:rPr>
        <w:t>37,622</w:t>
      </w:r>
      <w:r w:rsidRPr="00E054B2">
        <w:rPr>
          <w:rFonts w:ascii="Times New Roman" w:hAnsi="Times New Roman"/>
        </w:rPr>
        <w:t>)</w:t>
      </w:r>
      <w:r>
        <w:rPr>
          <w:rFonts w:ascii="Times New Roman" w:hAnsi="Times New Roman"/>
        </w:rPr>
        <w:t xml:space="preserve">. Although rice consumption is higher, only a tiny fraction of rice is actually tax exempt and therefore has been excluded from our analysis. </w:t>
      </w:r>
      <w:r w:rsidRPr="00E054B2">
        <w:rPr>
          <w:rFonts w:ascii="Times New Roman" w:hAnsi="Times New Roman"/>
        </w:rPr>
        <w:t>Tax-exempt products are relatively more important for the poor, as the expenditure share of these products is much higher for the very poor than for the very rich.</w:t>
      </w:r>
      <w:r>
        <w:rPr>
          <w:rFonts w:ascii="Times New Roman" w:hAnsi="Times New Roman"/>
        </w:rPr>
        <w:t xml:space="preserve"> </w:t>
      </w:r>
      <w:r w:rsidRPr="00E054B2">
        <w:rPr>
          <w:rFonts w:ascii="Times New Roman" w:hAnsi="Times New Roman"/>
        </w:rPr>
        <w:t xml:space="preserve">In the poorest households, </w:t>
      </w:r>
      <w:r>
        <w:rPr>
          <w:rFonts w:ascii="Times New Roman" w:hAnsi="Times New Roman"/>
        </w:rPr>
        <w:t>19</w:t>
      </w:r>
      <w:r w:rsidRPr="00E054B2">
        <w:rPr>
          <w:rFonts w:ascii="Times New Roman" w:hAnsi="Times New Roman"/>
        </w:rPr>
        <w:t xml:space="preserve"> percent of the total expenses correspond to tax-exempt </w:t>
      </w:r>
      <w:r>
        <w:rPr>
          <w:rFonts w:ascii="Times New Roman" w:hAnsi="Times New Roman"/>
        </w:rPr>
        <w:t xml:space="preserve">food </w:t>
      </w:r>
      <w:r w:rsidRPr="00E054B2">
        <w:rPr>
          <w:rFonts w:ascii="Times New Roman" w:hAnsi="Times New Roman"/>
        </w:rPr>
        <w:t xml:space="preserve">products, while these products account for </w:t>
      </w:r>
      <w:r>
        <w:rPr>
          <w:rFonts w:ascii="Times New Roman" w:hAnsi="Times New Roman"/>
        </w:rPr>
        <w:t>less than 7</w:t>
      </w:r>
      <w:r w:rsidRPr="00E054B2">
        <w:rPr>
          <w:rFonts w:ascii="Times New Roman" w:hAnsi="Times New Roman"/>
        </w:rPr>
        <w:t xml:space="preserve"> percent of the richest households’ total expenses.</w:t>
      </w:r>
    </w:p>
    <w:p w:rsidR="00E57B35" w:rsidRDefault="00E57B35" w:rsidP="00E57B35">
      <w:pPr>
        <w:pStyle w:val="Caption"/>
      </w:pPr>
      <w:bookmarkStart w:id="17" w:name="_Ref411953662"/>
      <w:bookmarkStart w:id="18" w:name="_Ref411953594"/>
      <w:bookmarkStart w:id="19" w:name="_Toc412105835"/>
      <w:bookmarkStart w:id="20" w:name="_Ref405560312"/>
      <w:r>
        <w:t xml:space="preserve">Table </w:t>
      </w:r>
      <w:fldSimple w:instr=" SEQ Table \* ARABIC ">
        <w:r w:rsidR="001000E9">
          <w:rPr>
            <w:noProof/>
          </w:rPr>
          <w:t>4</w:t>
        </w:r>
      </w:fldSimple>
      <w:bookmarkEnd w:id="17"/>
      <w:r>
        <w:t xml:space="preserve">: </w:t>
      </w:r>
      <w:r w:rsidRPr="008C2DB3">
        <w:t>Expenditures per Household (in DF)</w:t>
      </w:r>
      <w:bookmarkEnd w:id="18"/>
      <w:bookmarkEnd w:id="19"/>
    </w:p>
    <w:tbl>
      <w:tblPr>
        <w:tblW w:w="5000" w:type="pct"/>
        <w:jc w:val="center"/>
        <w:tblLook w:val="04A0" w:firstRow="1" w:lastRow="0" w:firstColumn="1" w:lastColumn="0" w:noHBand="0" w:noVBand="1"/>
      </w:tblPr>
      <w:tblGrid>
        <w:gridCol w:w="3065"/>
        <w:gridCol w:w="1238"/>
        <w:gridCol w:w="1237"/>
        <w:gridCol w:w="1237"/>
        <w:gridCol w:w="1237"/>
        <w:gridCol w:w="1346"/>
      </w:tblGrid>
      <w:tr w:rsidR="00504398" w:rsidRPr="00E57B35" w:rsidTr="008C39B4">
        <w:trPr>
          <w:trHeight w:val="465"/>
          <w:jc w:val="center"/>
        </w:trPr>
        <w:tc>
          <w:tcPr>
            <w:tcW w:w="1637" w:type="pct"/>
            <w:tcBorders>
              <w:top w:val="double" w:sz="6" w:space="0" w:color="000000"/>
              <w:left w:val="nil"/>
              <w:bottom w:val="single" w:sz="4" w:space="0" w:color="000000"/>
              <w:right w:val="nil"/>
            </w:tcBorders>
            <w:shd w:val="clear" w:color="auto" w:fill="auto"/>
            <w:vAlign w:val="center"/>
            <w:hideMark/>
          </w:tcPr>
          <w:bookmarkEnd w:id="20"/>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 </w:t>
            </w:r>
          </w:p>
        </w:tc>
        <w:tc>
          <w:tcPr>
            <w:tcW w:w="661"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Powder Milk</w:t>
            </w:r>
          </w:p>
        </w:tc>
        <w:tc>
          <w:tcPr>
            <w:tcW w:w="661"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Flour</w:t>
            </w:r>
          </w:p>
        </w:tc>
        <w:tc>
          <w:tcPr>
            <w:tcW w:w="661"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Cooking Oil</w:t>
            </w:r>
          </w:p>
        </w:tc>
        <w:tc>
          <w:tcPr>
            <w:tcW w:w="661"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Sugar</w:t>
            </w:r>
          </w:p>
        </w:tc>
        <w:tc>
          <w:tcPr>
            <w:tcW w:w="720"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Total</w:t>
            </w:r>
          </w:p>
        </w:tc>
      </w:tr>
      <w:tr w:rsidR="00504398" w:rsidRPr="00E57B35" w:rsidTr="008C39B4">
        <w:trPr>
          <w:trHeight w:val="300"/>
          <w:jc w:val="center"/>
        </w:trPr>
        <w:tc>
          <w:tcPr>
            <w:tcW w:w="1637"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Poorest</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4,250</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17,455</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8,262</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22,193</w:t>
            </w:r>
          </w:p>
        </w:tc>
        <w:tc>
          <w:tcPr>
            <w:tcW w:w="720"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52,161</w:t>
            </w:r>
          </w:p>
        </w:tc>
      </w:tr>
      <w:tr w:rsidR="00504398" w:rsidRPr="00E57B35" w:rsidTr="008C39B4">
        <w:trPr>
          <w:trHeight w:val="300"/>
          <w:jc w:val="center"/>
        </w:trPr>
        <w:tc>
          <w:tcPr>
            <w:tcW w:w="1637"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Second</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17,189</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27,000</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17,573</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36,717</w:t>
            </w:r>
          </w:p>
        </w:tc>
        <w:tc>
          <w:tcPr>
            <w:tcW w:w="720"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98,480</w:t>
            </w:r>
          </w:p>
        </w:tc>
      </w:tr>
      <w:tr w:rsidR="00504398" w:rsidRPr="00E57B35" w:rsidTr="008C39B4">
        <w:trPr>
          <w:trHeight w:val="300"/>
          <w:jc w:val="center"/>
        </w:trPr>
        <w:tc>
          <w:tcPr>
            <w:tcW w:w="1637"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Third</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26,579</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25,541</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20,486</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40,253</w:t>
            </w:r>
          </w:p>
        </w:tc>
        <w:tc>
          <w:tcPr>
            <w:tcW w:w="720"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112,858</w:t>
            </w:r>
          </w:p>
        </w:tc>
      </w:tr>
      <w:tr w:rsidR="00504398" w:rsidRPr="00E57B35" w:rsidTr="008C39B4">
        <w:trPr>
          <w:trHeight w:val="300"/>
          <w:jc w:val="center"/>
        </w:trPr>
        <w:tc>
          <w:tcPr>
            <w:tcW w:w="1637"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Fourth</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35,266</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28,348</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23,782</w:t>
            </w:r>
          </w:p>
        </w:tc>
        <w:tc>
          <w:tcPr>
            <w:tcW w:w="661"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41,760</w:t>
            </w:r>
          </w:p>
        </w:tc>
        <w:tc>
          <w:tcPr>
            <w:tcW w:w="720"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129,156</w:t>
            </w:r>
          </w:p>
        </w:tc>
      </w:tr>
      <w:tr w:rsidR="00504398" w:rsidRPr="00E57B35" w:rsidTr="008C39B4">
        <w:trPr>
          <w:trHeight w:val="300"/>
          <w:jc w:val="center"/>
        </w:trPr>
        <w:tc>
          <w:tcPr>
            <w:tcW w:w="1637" w:type="pct"/>
            <w:tcBorders>
              <w:top w:val="nil"/>
              <w:left w:val="nil"/>
              <w:bottom w:val="single" w:sz="4"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Richest</w:t>
            </w:r>
          </w:p>
        </w:tc>
        <w:tc>
          <w:tcPr>
            <w:tcW w:w="661"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55,248</w:t>
            </w:r>
          </w:p>
        </w:tc>
        <w:tc>
          <w:tcPr>
            <w:tcW w:w="661"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31,814</w:t>
            </w:r>
          </w:p>
        </w:tc>
        <w:tc>
          <w:tcPr>
            <w:tcW w:w="661"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33,213</w:t>
            </w:r>
          </w:p>
        </w:tc>
        <w:tc>
          <w:tcPr>
            <w:tcW w:w="661"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45,082</w:t>
            </w:r>
          </w:p>
        </w:tc>
        <w:tc>
          <w:tcPr>
            <w:tcW w:w="720"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165,357</w:t>
            </w:r>
          </w:p>
        </w:tc>
      </w:tr>
      <w:tr w:rsidR="00504398" w:rsidRPr="00E57B35" w:rsidTr="008C39B4">
        <w:trPr>
          <w:trHeight w:val="315"/>
          <w:jc w:val="center"/>
        </w:trPr>
        <w:tc>
          <w:tcPr>
            <w:tcW w:w="1637" w:type="pct"/>
            <w:tcBorders>
              <w:top w:val="nil"/>
              <w:left w:val="nil"/>
              <w:bottom w:val="double" w:sz="6"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Total</w:t>
            </w:r>
          </w:p>
        </w:tc>
        <w:tc>
          <w:tcPr>
            <w:tcW w:w="661"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29,529</w:t>
            </w:r>
          </w:p>
        </w:tc>
        <w:tc>
          <w:tcPr>
            <w:tcW w:w="661"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26,350</w:t>
            </w:r>
          </w:p>
        </w:tc>
        <w:tc>
          <w:tcPr>
            <w:tcW w:w="661"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21,450</w:t>
            </w:r>
          </w:p>
        </w:tc>
        <w:tc>
          <w:tcPr>
            <w:tcW w:w="661"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37,622</w:t>
            </w:r>
          </w:p>
        </w:tc>
        <w:tc>
          <w:tcPr>
            <w:tcW w:w="720"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114,951</w:t>
            </w:r>
          </w:p>
        </w:tc>
      </w:tr>
    </w:tbl>
    <w:p w:rsidR="00504398" w:rsidRPr="00E57B35" w:rsidRDefault="00504398" w:rsidP="00E57B35">
      <w:pPr>
        <w:spacing w:after="0" w:line="240" w:lineRule="auto"/>
        <w:rPr>
          <w:rFonts w:ascii="Times New Roman" w:hAnsi="Times New Roman" w:cs="Times New Roman"/>
          <w:sz w:val="18"/>
        </w:rPr>
      </w:pPr>
      <w:r w:rsidRPr="00E57B35">
        <w:rPr>
          <w:rFonts w:ascii="Times New Roman" w:hAnsi="Times New Roman" w:cs="Times New Roman"/>
          <w:i/>
          <w:sz w:val="18"/>
        </w:rPr>
        <w:t xml:space="preserve">Source: </w:t>
      </w:r>
      <w:r w:rsidRPr="00E57B35">
        <w:rPr>
          <w:rFonts w:ascii="Times New Roman" w:hAnsi="Times New Roman" w:cs="Times New Roman"/>
          <w:sz w:val="18"/>
        </w:rPr>
        <w:t>World Bank calculation based on the EDAM 3 (2014 prices).</w:t>
      </w:r>
    </w:p>
    <w:p w:rsidR="00504398" w:rsidRPr="00C9393E" w:rsidRDefault="00504398" w:rsidP="00E57B35">
      <w:pPr>
        <w:pStyle w:val="Caption"/>
      </w:pPr>
    </w:p>
    <w:p w:rsidR="00E57B35" w:rsidRDefault="00E57B35" w:rsidP="00E57B35">
      <w:pPr>
        <w:pStyle w:val="Caption"/>
      </w:pPr>
      <w:bookmarkStart w:id="21" w:name="_Ref411953746"/>
      <w:bookmarkStart w:id="22" w:name="_Toc412105836"/>
      <w:r>
        <w:t xml:space="preserve">Table </w:t>
      </w:r>
      <w:fldSimple w:instr=" SEQ Table \* ARABIC ">
        <w:r w:rsidR="001000E9">
          <w:rPr>
            <w:noProof/>
          </w:rPr>
          <w:t>5</w:t>
        </w:r>
      </w:fldSimple>
      <w:bookmarkEnd w:id="21"/>
      <w:r>
        <w:t xml:space="preserve">: </w:t>
      </w:r>
      <w:r w:rsidRPr="00562F91">
        <w:t>Expenditure on Subsidized Products over Total Expenditures (in %)</w:t>
      </w:r>
      <w:bookmarkEnd w:id="22"/>
    </w:p>
    <w:tbl>
      <w:tblPr>
        <w:tblW w:w="5000" w:type="pct"/>
        <w:jc w:val="center"/>
        <w:tblLook w:val="04A0" w:firstRow="1" w:lastRow="0" w:firstColumn="1" w:lastColumn="0" w:noHBand="0" w:noVBand="1"/>
      </w:tblPr>
      <w:tblGrid>
        <w:gridCol w:w="3449"/>
        <w:gridCol w:w="1183"/>
        <w:gridCol w:w="1183"/>
        <w:gridCol w:w="1183"/>
        <w:gridCol w:w="1183"/>
        <w:gridCol w:w="1179"/>
      </w:tblGrid>
      <w:tr w:rsidR="00504398" w:rsidRPr="00E57B35" w:rsidTr="008C39B4">
        <w:trPr>
          <w:trHeight w:val="465"/>
          <w:jc w:val="center"/>
        </w:trPr>
        <w:tc>
          <w:tcPr>
            <w:tcW w:w="1842"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 </w:t>
            </w:r>
          </w:p>
        </w:tc>
        <w:tc>
          <w:tcPr>
            <w:tcW w:w="632"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Powder Milk</w:t>
            </w:r>
          </w:p>
        </w:tc>
        <w:tc>
          <w:tcPr>
            <w:tcW w:w="632"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Flour</w:t>
            </w:r>
          </w:p>
        </w:tc>
        <w:tc>
          <w:tcPr>
            <w:tcW w:w="632"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Cooking Oil</w:t>
            </w:r>
          </w:p>
        </w:tc>
        <w:tc>
          <w:tcPr>
            <w:tcW w:w="632"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Sugar</w:t>
            </w:r>
          </w:p>
        </w:tc>
        <w:tc>
          <w:tcPr>
            <w:tcW w:w="632" w:type="pct"/>
            <w:tcBorders>
              <w:top w:val="double" w:sz="6" w:space="0" w:color="000000"/>
              <w:left w:val="nil"/>
              <w:bottom w:val="single" w:sz="4" w:space="0" w:color="000000"/>
              <w:right w:val="nil"/>
            </w:tcBorders>
            <w:shd w:val="clear" w:color="auto" w:fill="auto"/>
            <w:vAlign w:val="center"/>
            <w:hideMark/>
          </w:tcPr>
          <w:p w:rsidR="00504398" w:rsidRPr="00E57B35" w:rsidRDefault="00504398" w:rsidP="002E7416">
            <w:pPr>
              <w:spacing w:after="0" w:line="240" w:lineRule="auto"/>
              <w:jc w:val="center"/>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Total</w:t>
            </w:r>
          </w:p>
        </w:tc>
      </w:tr>
      <w:tr w:rsidR="00504398" w:rsidRPr="00E57B35" w:rsidTr="008C39B4">
        <w:trPr>
          <w:trHeight w:val="300"/>
          <w:jc w:val="center"/>
        </w:trPr>
        <w:tc>
          <w:tcPr>
            <w:tcW w:w="1842"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Poorest</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1.57</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6.46</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3.06</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8.22</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19.31</w:t>
            </w:r>
          </w:p>
        </w:tc>
      </w:tr>
      <w:tr w:rsidR="00504398" w:rsidRPr="00E57B35" w:rsidTr="008C39B4">
        <w:trPr>
          <w:trHeight w:val="300"/>
          <w:jc w:val="center"/>
        </w:trPr>
        <w:tc>
          <w:tcPr>
            <w:tcW w:w="1842"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Second</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2.47</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3.88</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2.52</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5.27</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14.14</w:t>
            </w:r>
          </w:p>
        </w:tc>
      </w:tr>
      <w:tr w:rsidR="00504398" w:rsidRPr="00E57B35" w:rsidTr="008C39B4">
        <w:trPr>
          <w:trHeight w:val="300"/>
          <w:jc w:val="center"/>
        </w:trPr>
        <w:tc>
          <w:tcPr>
            <w:tcW w:w="1842"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Third</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2.69</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2.59</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2.08</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4.08</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11.43</w:t>
            </w:r>
          </w:p>
        </w:tc>
      </w:tr>
      <w:tr w:rsidR="00504398" w:rsidRPr="00E57B35" w:rsidTr="008C39B4">
        <w:trPr>
          <w:trHeight w:val="300"/>
          <w:jc w:val="center"/>
        </w:trPr>
        <w:tc>
          <w:tcPr>
            <w:tcW w:w="1842" w:type="pct"/>
            <w:tcBorders>
              <w:top w:val="nil"/>
              <w:left w:val="nil"/>
              <w:bottom w:val="nil"/>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Fourth</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2.66</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2.14</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1.80</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3.15</w:t>
            </w:r>
          </w:p>
        </w:tc>
        <w:tc>
          <w:tcPr>
            <w:tcW w:w="632" w:type="pct"/>
            <w:tcBorders>
              <w:top w:val="nil"/>
              <w:left w:val="nil"/>
              <w:bottom w:val="nil"/>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9.75</w:t>
            </w:r>
          </w:p>
        </w:tc>
      </w:tr>
      <w:tr w:rsidR="00504398" w:rsidRPr="00E57B35" w:rsidTr="008C39B4">
        <w:trPr>
          <w:trHeight w:val="300"/>
          <w:jc w:val="center"/>
        </w:trPr>
        <w:tc>
          <w:tcPr>
            <w:tcW w:w="1842" w:type="pct"/>
            <w:tcBorders>
              <w:top w:val="nil"/>
              <w:left w:val="nil"/>
              <w:bottom w:val="single" w:sz="4"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Richest</w:t>
            </w:r>
          </w:p>
        </w:tc>
        <w:tc>
          <w:tcPr>
            <w:tcW w:w="632"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2.24</w:t>
            </w:r>
          </w:p>
        </w:tc>
        <w:tc>
          <w:tcPr>
            <w:tcW w:w="632"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1.29</w:t>
            </w:r>
          </w:p>
        </w:tc>
        <w:tc>
          <w:tcPr>
            <w:tcW w:w="632"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1.35</w:t>
            </w:r>
          </w:p>
        </w:tc>
        <w:tc>
          <w:tcPr>
            <w:tcW w:w="632"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1.83</w:t>
            </w:r>
          </w:p>
        </w:tc>
        <w:tc>
          <w:tcPr>
            <w:tcW w:w="632" w:type="pct"/>
            <w:tcBorders>
              <w:top w:val="nil"/>
              <w:left w:val="nil"/>
              <w:bottom w:val="single" w:sz="4"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6.71</w:t>
            </w:r>
          </w:p>
        </w:tc>
      </w:tr>
      <w:tr w:rsidR="00504398" w:rsidRPr="00E57B35" w:rsidTr="008C39B4">
        <w:trPr>
          <w:trHeight w:val="315"/>
          <w:jc w:val="center"/>
        </w:trPr>
        <w:tc>
          <w:tcPr>
            <w:tcW w:w="1842" w:type="pct"/>
            <w:tcBorders>
              <w:top w:val="nil"/>
              <w:left w:val="nil"/>
              <w:bottom w:val="double" w:sz="6" w:space="0" w:color="000000"/>
              <w:right w:val="nil"/>
            </w:tcBorders>
            <w:shd w:val="clear" w:color="auto" w:fill="auto"/>
            <w:vAlign w:val="center"/>
            <w:hideMark/>
          </w:tcPr>
          <w:p w:rsidR="00504398" w:rsidRPr="00E57B35" w:rsidRDefault="00504398" w:rsidP="00D56EDF">
            <w:pPr>
              <w:spacing w:after="0" w:line="240" w:lineRule="auto"/>
              <w:rPr>
                <w:rFonts w:ascii="Times New Roman" w:eastAsia="Times New Roman" w:hAnsi="Times New Roman" w:cs="Times New Roman"/>
                <w:b/>
                <w:bCs/>
                <w:sz w:val="20"/>
                <w:szCs w:val="20"/>
              </w:rPr>
            </w:pPr>
            <w:r w:rsidRPr="00E57B35">
              <w:rPr>
                <w:rFonts w:ascii="Times New Roman" w:eastAsia="Times New Roman" w:hAnsi="Times New Roman" w:cs="Times New Roman"/>
                <w:b/>
                <w:bCs/>
                <w:sz w:val="20"/>
                <w:szCs w:val="20"/>
              </w:rPr>
              <w:t>Total</w:t>
            </w:r>
          </w:p>
        </w:tc>
        <w:tc>
          <w:tcPr>
            <w:tcW w:w="632"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2.39</w:t>
            </w:r>
          </w:p>
        </w:tc>
        <w:tc>
          <w:tcPr>
            <w:tcW w:w="632"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2.13</w:t>
            </w:r>
          </w:p>
        </w:tc>
        <w:tc>
          <w:tcPr>
            <w:tcW w:w="632"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1.74</w:t>
            </w:r>
          </w:p>
        </w:tc>
        <w:tc>
          <w:tcPr>
            <w:tcW w:w="632"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3.04</w:t>
            </w:r>
          </w:p>
        </w:tc>
        <w:tc>
          <w:tcPr>
            <w:tcW w:w="632" w:type="pct"/>
            <w:tcBorders>
              <w:top w:val="nil"/>
              <w:left w:val="nil"/>
              <w:bottom w:val="double" w:sz="6" w:space="0" w:color="000000"/>
              <w:right w:val="nil"/>
            </w:tcBorders>
            <w:shd w:val="clear" w:color="auto" w:fill="auto"/>
            <w:noWrap/>
            <w:vAlign w:val="center"/>
            <w:hideMark/>
          </w:tcPr>
          <w:p w:rsidR="00504398" w:rsidRPr="00E57B35" w:rsidRDefault="00504398" w:rsidP="002E7416">
            <w:pPr>
              <w:spacing w:after="0" w:line="240" w:lineRule="auto"/>
              <w:jc w:val="center"/>
              <w:rPr>
                <w:rFonts w:ascii="Times New Roman" w:eastAsia="Times New Roman" w:hAnsi="Times New Roman" w:cs="Times New Roman"/>
                <w:sz w:val="20"/>
                <w:szCs w:val="20"/>
              </w:rPr>
            </w:pPr>
            <w:r w:rsidRPr="00E57B35">
              <w:rPr>
                <w:rFonts w:ascii="Times New Roman" w:eastAsia="Times New Roman" w:hAnsi="Times New Roman" w:cs="Times New Roman"/>
                <w:sz w:val="20"/>
                <w:szCs w:val="20"/>
              </w:rPr>
              <w:t>9.30</w:t>
            </w:r>
          </w:p>
        </w:tc>
      </w:tr>
    </w:tbl>
    <w:p w:rsidR="00504398" w:rsidRPr="00E57B35" w:rsidRDefault="00504398" w:rsidP="00E57B35">
      <w:pPr>
        <w:pStyle w:val="Caption"/>
        <w:spacing w:before="0" w:after="0"/>
        <w:jc w:val="left"/>
        <w:rPr>
          <w:b w:val="0"/>
          <w:sz w:val="18"/>
          <w:szCs w:val="18"/>
        </w:rPr>
      </w:pPr>
      <w:r w:rsidRPr="00E57B35">
        <w:rPr>
          <w:b w:val="0"/>
          <w:i/>
          <w:sz w:val="18"/>
          <w:szCs w:val="18"/>
        </w:rPr>
        <w:t xml:space="preserve">Source: </w:t>
      </w:r>
      <w:r w:rsidRPr="00E57B35">
        <w:rPr>
          <w:b w:val="0"/>
          <w:sz w:val="18"/>
          <w:szCs w:val="18"/>
        </w:rPr>
        <w:t>World Bank calculation based on the EDAM 3.</w:t>
      </w:r>
    </w:p>
    <w:p w:rsidR="00504398" w:rsidRPr="00504398" w:rsidRDefault="008D71E6" w:rsidP="00504398">
      <w:pPr>
        <w:pStyle w:val="Heading1"/>
        <w:rPr>
          <w:rFonts w:eastAsia="Times New Roman"/>
        </w:rPr>
      </w:pPr>
      <w:bookmarkStart w:id="23" w:name="_Toc410901647"/>
      <w:bookmarkStart w:id="24" w:name="_Toc412105856"/>
      <w:r>
        <w:rPr>
          <w:rFonts w:eastAsia="Times New Roman"/>
        </w:rPr>
        <w:t>What is the Context of such Reform: Winners and L</w:t>
      </w:r>
      <w:r w:rsidR="00504398" w:rsidRPr="00504398">
        <w:rPr>
          <w:rFonts w:eastAsia="Times New Roman"/>
        </w:rPr>
        <w:t>osers?</w:t>
      </w:r>
      <w:bookmarkEnd w:id="23"/>
      <w:bookmarkEnd w:id="24"/>
    </w:p>
    <w:p w:rsidR="00504398" w:rsidRDefault="00504398" w:rsidP="008D71E6">
      <w:pPr>
        <w:pStyle w:val="Heading2"/>
        <w:spacing w:after="240"/>
      </w:pPr>
      <w:bookmarkStart w:id="25" w:name="_Toc410901648"/>
      <w:bookmarkStart w:id="26" w:name="_Toc412105857"/>
      <w:r w:rsidRPr="00E054B2">
        <w:t>Impact of Abandoning the Discretionary Tax on Retail Prices of Fuel Products</w:t>
      </w:r>
      <w:bookmarkEnd w:id="25"/>
      <w:bookmarkEnd w:id="26"/>
    </w:p>
    <w:p w:rsidR="00504398" w:rsidRPr="00117135"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504398">
        <w:rPr>
          <w:rFonts w:ascii="Times New Roman" w:hAnsi="Times New Roman"/>
        </w:rPr>
        <w:t xml:space="preserve">The proposal </w:t>
      </w:r>
      <w:r w:rsidR="00250E53" w:rsidRPr="00504398">
        <w:rPr>
          <w:rFonts w:ascii="Times New Roman" w:hAnsi="Times New Roman"/>
        </w:rPr>
        <w:t xml:space="preserve">to abandon the use of discretionary tax on certain fuel products </w:t>
      </w:r>
      <w:r w:rsidR="00250E53">
        <w:rPr>
          <w:rFonts w:ascii="Times New Roman" w:hAnsi="Times New Roman"/>
        </w:rPr>
        <w:t xml:space="preserve">is </w:t>
      </w:r>
      <w:r w:rsidRPr="00504398">
        <w:rPr>
          <w:rFonts w:ascii="Times New Roman" w:hAnsi="Times New Roman"/>
        </w:rPr>
        <w:t xml:space="preserve">currently under consideration by the government. Other tax rates could be varied by legislation, as at present, but </w:t>
      </w:r>
      <w:r w:rsidRPr="00200909">
        <w:rPr>
          <w:rFonts w:ascii="Times New Roman" w:hAnsi="Times New Roman"/>
        </w:rPr>
        <w:t>would</w:t>
      </w:r>
      <w:r w:rsidRPr="00504398">
        <w:rPr>
          <w:rFonts w:ascii="Times New Roman" w:hAnsi="Times New Roman"/>
        </w:rPr>
        <w:t xml:space="preserve"> normally be stable for lengthy periods. Allowable costs along the supply chain could also be varied if justified by the circumstances of the entities involved. To simulate the effect of removing the discretionary tax element on prices, it is assumed that all other tax rates and costs remain at the levels of December 2013.</w:t>
      </w:r>
      <w:r>
        <w:rPr>
          <w:rFonts w:ascii="Times New Roman" w:hAnsi="Times New Roman"/>
        </w:rPr>
        <w:t xml:space="preserve"> </w:t>
      </w:r>
      <w:r w:rsidRPr="00E054B2">
        <w:rPr>
          <w:rFonts w:ascii="Times New Roman" w:hAnsi="Times New Roman"/>
        </w:rPr>
        <w:t xml:space="preserve">The removal of discretionary tax would have resulted in a small fall in gasoline and kerosene prices but an </w:t>
      </w:r>
      <w:r w:rsidRPr="00E054B2">
        <w:rPr>
          <w:rFonts w:ascii="Times New Roman" w:hAnsi="Times New Roman"/>
        </w:rPr>
        <w:lastRenderedPageBreak/>
        <w:t xml:space="preserve">increase of around 13 percent for diesel. </w:t>
      </w:r>
      <w:r w:rsidRPr="00117135">
        <w:rPr>
          <w:rFonts w:ascii="Times New Roman" w:hAnsi="Times New Roman"/>
        </w:rPr>
        <w:t>The comparison between the before and after prices in December 2013 is possible because the government’s action with respect to the determination of the retail price (and the associated discretionary tax) is a known fact. Simulating the effect of removing the discretionary tax under different circumstances is possible, but it is not possible to give a ‘before’ calculation since it is not known what the government would have decided to do with retail prices had it kept the discretionary tax.</w:t>
      </w:r>
    </w:p>
    <w:p w:rsidR="00504398" w:rsidRPr="00130506" w:rsidRDefault="00504398" w:rsidP="00504398">
      <w:pPr>
        <w:pStyle w:val="Head3"/>
        <w:rPr>
          <w:b w:val="0"/>
          <w:i/>
          <w:sz w:val="22"/>
        </w:rPr>
      </w:pPr>
      <w:r w:rsidRPr="00130506">
        <w:rPr>
          <w:b w:val="0"/>
          <w:i/>
          <w:sz w:val="22"/>
        </w:rPr>
        <w:t xml:space="preserve">Impact of </w:t>
      </w:r>
      <w:r>
        <w:rPr>
          <w:b w:val="0"/>
          <w:i/>
          <w:sz w:val="22"/>
        </w:rPr>
        <w:t>Fuel Subsidy Reform</w:t>
      </w:r>
      <w:r w:rsidRPr="00130506">
        <w:rPr>
          <w:b w:val="0"/>
          <w:i/>
          <w:sz w:val="22"/>
        </w:rPr>
        <w:t xml:space="preserve"> on Household Welfare</w:t>
      </w:r>
      <w:r>
        <w:rPr>
          <w:b w:val="0"/>
          <w:i/>
          <w:sz w:val="22"/>
        </w:rPr>
        <w:t>, Government Budget, Poverty</w:t>
      </w:r>
      <w:r w:rsidR="00185C08">
        <w:rPr>
          <w:b w:val="0"/>
          <w:i/>
          <w:sz w:val="22"/>
        </w:rPr>
        <w:t>,</w:t>
      </w:r>
      <w:r>
        <w:rPr>
          <w:b w:val="0"/>
          <w:i/>
          <w:sz w:val="22"/>
        </w:rPr>
        <w:t xml:space="preserve"> and Inequality</w:t>
      </w:r>
    </w:p>
    <w:p w:rsidR="00504398" w:rsidRPr="00357752"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b/>
        </w:rPr>
      </w:pPr>
      <w:r w:rsidRPr="00357752">
        <w:rPr>
          <w:rFonts w:ascii="Times New Roman" w:hAnsi="Times New Roman" w:cs="Times New Roman"/>
          <w:bCs/>
        </w:rPr>
        <w:t>Abandoning discretionary tax on super and diesel retail prices would imply a loss of DF 510.8 million (or 0.2 percent of GDP</w:t>
      </w:r>
      <w:r w:rsidRPr="00357752">
        <w:rPr>
          <w:rStyle w:val="FootnoteReference"/>
          <w:rFonts w:ascii="Times New Roman" w:hAnsi="Times New Roman" w:cs="Times New Roman"/>
          <w:bCs/>
        </w:rPr>
        <w:footnoteReference w:id="4"/>
      </w:r>
      <w:r w:rsidRPr="00357752">
        <w:rPr>
          <w:rFonts w:ascii="Times New Roman" w:hAnsi="Times New Roman" w:cs="Times New Roman"/>
          <w:bCs/>
        </w:rPr>
        <w:t>) for the population</w:t>
      </w:r>
      <w:r w:rsidR="00CD31A5" w:rsidRPr="00357752">
        <w:rPr>
          <w:rFonts w:ascii="Times New Roman" w:hAnsi="Times New Roman" w:cs="Times New Roman"/>
          <w:bCs/>
        </w:rPr>
        <w:t xml:space="preserve"> (</w:t>
      </w:r>
      <w:r w:rsidR="00357752" w:rsidRPr="00357752">
        <w:rPr>
          <w:rFonts w:ascii="Times New Roman" w:hAnsi="Times New Roman" w:cs="Times New Roman"/>
          <w:bCs/>
        </w:rPr>
        <w:fldChar w:fldCharType="begin"/>
      </w:r>
      <w:r w:rsidR="00357752" w:rsidRPr="00357752">
        <w:rPr>
          <w:rFonts w:ascii="Times New Roman" w:hAnsi="Times New Roman" w:cs="Times New Roman"/>
          <w:bCs/>
        </w:rPr>
        <w:instrText xml:space="preserve"> REF _Ref411953863 \h </w:instrText>
      </w:r>
      <w:r w:rsidR="00357752">
        <w:rPr>
          <w:rFonts w:ascii="Times New Roman" w:hAnsi="Times New Roman" w:cs="Times New Roman"/>
          <w:bCs/>
        </w:rPr>
        <w:instrText xml:space="preserve"> \* MERGEFORMAT </w:instrText>
      </w:r>
      <w:r w:rsidR="00357752" w:rsidRPr="00357752">
        <w:rPr>
          <w:rFonts w:ascii="Times New Roman" w:hAnsi="Times New Roman" w:cs="Times New Roman"/>
          <w:bCs/>
        </w:rPr>
      </w:r>
      <w:r w:rsidR="00357752" w:rsidRPr="00357752">
        <w:rPr>
          <w:rFonts w:ascii="Times New Roman" w:hAnsi="Times New Roman" w:cs="Times New Roman"/>
          <w:bCs/>
        </w:rPr>
        <w:fldChar w:fldCharType="separate"/>
      </w:r>
      <w:r w:rsidR="00185C08">
        <w:rPr>
          <w:rFonts w:ascii="Times New Roman" w:hAnsi="Times New Roman" w:cs="Times New Roman"/>
        </w:rPr>
        <w:t>t</w:t>
      </w:r>
      <w:r w:rsidR="00357752" w:rsidRPr="00357752">
        <w:rPr>
          <w:rFonts w:ascii="Times New Roman" w:hAnsi="Times New Roman" w:cs="Times New Roman"/>
        </w:rPr>
        <w:t xml:space="preserve">able </w:t>
      </w:r>
      <w:r w:rsidR="00357752" w:rsidRPr="00357752">
        <w:rPr>
          <w:rFonts w:ascii="Times New Roman" w:hAnsi="Times New Roman" w:cs="Times New Roman"/>
          <w:noProof/>
        </w:rPr>
        <w:t>6</w:t>
      </w:r>
      <w:r w:rsidR="00357752" w:rsidRPr="00357752">
        <w:rPr>
          <w:rFonts w:ascii="Times New Roman" w:hAnsi="Times New Roman" w:cs="Times New Roman"/>
          <w:bCs/>
        </w:rPr>
        <w:fldChar w:fldCharType="end"/>
      </w:r>
      <w:r w:rsidR="00CD31A5" w:rsidRPr="00357752">
        <w:rPr>
          <w:rFonts w:ascii="Times New Roman" w:hAnsi="Times New Roman" w:cs="Times New Roman"/>
          <w:bCs/>
        </w:rPr>
        <w:t>)</w:t>
      </w:r>
      <w:r w:rsidRPr="00357752">
        <w:rPr>
          <w:rFonts w:ascii="Times New Roman" w:hAnsi="Times New Roman" w:cs="Times New Roman"/>
          <w:bCs/>
        </w:rPr>
        <w:t xml:space="preserve">. </w:t>
      </w:r>
      <w:r w:rsidR="00357752" w:rsidRPr="00357752">
        <w:rPr>
          <w:rFonts w:ascii="Times New Roman" w:hAnsi="Times New Roman" w:cs="Times New Roman"/>
          <w:bCs/>
        </w:rPr>
        <w:fldChar w:fldCharType="begin"/>
      </w:r>
      <w:r w:rsidR="00357752" w:rsidRPr="00357752">
        <w:rPr>
          <w:rFonts w:ascii="Times New Roman" w:hAnsi="Times New Roman" w:cs="Times New Roman"/>
          <w:bCs/>
        </w:rPr>
        <w:instrText xml:space="preserve"> REF _Ref411953863 \h </w:instrText>
      </w:r>
      <w:r w:rsidR="00357752">
        <w:rPr>
          <w:rFonts w:ascii="Times New Roman" w:hAnsi="Times New Roman" w:cs="Times New Roman"/>
          <w:bCs/>
        </w:rPr>
        <w:instrText xml:space="preserve"> \* MERGEFORMAT </w:instrText>
      </w:r>
      <w:r w:rsidR="00357752" w:rsidRPr="00357752">
        <w:rPr>
          <w:rFonts w:ascii="Times New Roman" w:hAnsi="Times New Roman" w:cs="Times New Roman"/>
          <w:bCs/>
        </w:rPr>
      </w:r>
      <w:r w:rsidR="00357752" w:rsidRPr="00357752">
        <w:rPr>
          <w:rFonts w:ascii="Times New Roman" w:hAnsi="Times New Roman" w:cs="Times New Roman"/>
          <w:bCs/>
        </w:rPr>
        <w:fldChar w:fldCharType="separate"/>
      </w:r>
      <w:r w:rsidR="00357752" w:rsidRPr="00357752">
        <w:rPr>
          <w:rFonts w:ascii="Times New Roman" w:hAnsi="Times New Roman" w:cs="Times New Roman"/>
        </w:rPr>
        <w:t xml:space="preserve">Table </w:t>
      </w:r>
      <w:r w:rsidR="00357752" w:rsidRPr="00357752">
        <w:rPr>
          <w:rFonts w:ascii="Times New Roman" w:hAnsi="Times New Roman" w:cs="Times New Roman"/>
          <w:noProof/>
        </w:rPr>
        <w:t>6</w:t>
      </w:r>
      <w:r w:rsidR="00357752" w:rsidRPr="00357752">
        <w:rPr>
          <w:rFonts w:ascii="Times New Roman" w:hAnsi="Times New Roman" w:cs="Times New Roman"/>
          <w:bCs/>
        </w:rPr>
        <w:fldChar w:fldCharType="end"/>
      </w:r>
      <w:r w:rsidR="00CD31A5" w:rsidRPr="00357752">
        <w:rPr>
          <w:rFonts w:ascii="Times New Roman" w:hAnsi="Times New Roman" w:cs="Times New Roman"/>
          <w:bCs/>
        </w:rPr>
        <w:t xml:space="preserve"> shows the impact of the reform on the welfare of the population for each quintile, </w:t>
      </w:r>
      <w:r w:rsidR="00357752" w:rsidRPr="00357752">
        <w:rPr>
          <w:rFonts w:ascii="Times New Roman" w:hAnsi="Times New Roman" w:cs="Times New Roman"/>
          <w:bCs/>
        </w:rPr>
        <w:fldChar w:fldCharType="begin"/>
      </w:r>
      <w:r w:rsidR="00357752" w:rsidRPr="00357752">
        <w:rPr>
          <w:rFonts w:ascii="Times New Roman" w:hAnsi="Times New Roman" w:cs="Times New Roman"/>
          <w:bCs/>
        </w:rPr>
        <w:instrText xml:space="preserve"> REF _Ref411953918 \h </w:instrText>
      </w:r>
      <w:r w:rsidR="00357752">
        <w:rPr>
          <w:rFonts w:ascii="Times New Roman" w:hAnsi="Times New Roman" w:cs="Times New Roman"/>
          <w:bCs/>
        </w:rPr>
        <w:instrText xml:space="preserve"> \* MERGEFORMAT </w:instrText>
      </w:r>
      <w:r w:rsidR="00357752" w:rsidRPr="00357752">
        <w:rPr>
          <w:rFonts w:ascii="Times New Roman" w:hAnsi="Times New Roman" w:cs="Times New Roman"/>
          <w:bCs/>
        </w:rPr>
      </w:r>
      <w:r w:rsidR="00357752" w:rsidRPr="00357752">
        <w:rPr>
          <w:rFonts w:ascii="Times New Roman" w:hAnsi="Times New Roman" w:cs="Times New Roman"/>
          <w:bCs/>
        </w:rPr>
        <w:fldChar w:fldCharType="separate"/>
      </w:r>
      <w:r w:rsidR="00185C08">
        <w:rPr>
          <w:rFonts w:ascii="Times New Roman" w:hAnsi="Times New Roman" w:cs="Times New Roman"/>
        </w:rPr>
        <w:t>t</w:t>
      </w:r>
      <w:r w:rsidR="00357752" w:rsidRPr="00357752">
        <w:rPr>
          <w:rFonts w:ascii="Times New Roman" w:hAnsi="Times New Roman" w:cs="Times New Roman"/>
        </w:rPr>
        <w:t xml:space="preserve">able </w:t>
      </w:r>
      <w:r w:rsidR="00357752" w:rsidRPr="00357752">
        <w:rPr>
          <w:rFonts w:ascii="Times New Roman" w:hAnsi="Times New Roman" w:cs="Times New Roman"/>
          <w:noProof/>
        </w:rPr>
        <w:t>7</w:t>
      </w:r>
      <w:r w:rsidR="00357752" w:rsidRPr="00357752">
        <w:rPr>
          <w:rFonts w:ascii="Times New Roman" w:hAnsi="Times New Roman" w:cs="Times New Roman"/>
          <w:bCs/>
        </w:rPr>
        <w:fldChar w:fldCharType="end"/>
      </w:r>
      <w:r w:rsidR="00CD31A5" w:rsidRPr="00357752">
        <w:rPr>
          <w:rFonts w:ascii="Times New Roman" w:hAnsi="Times New Roman" w:cs="Times New Roman"/>
          <w:bCs/>
        </w:rPr>
        <w:t xml:space="preserve"> shows the impact of the reform on the per capita welfare of each quintile, and </w:t>
      </w:r>
      <w:r w:rsidR="00357752" w:rsidRPr="00357752">
        <w:rPr>
          <w:rFonts w:ascii="Times New Roman" w:hAnsi="Times New Roman" w:cs="Times New Roman"/>
          <w:bCs/>
        </w:rPr>
        <w:fldChar w:fldCharType="begin"/>
      </w:r>
      <w:r w:rsidR="00357752" w:rsidRPr="00357752">
        <w:rPr>
          <w:rFonts w:ascii="Times New Roman" w:hAnsi="Times New Roman" w:cs="Times New Roman"/>
          <w:bCs/>
        </w:rPr>
        <w:instrText xml:space="preserve"> REF _Ref411954021 \h </w:instrText>
      </w:r>
      <w:r w:rsidR="00357752">
        <w:rPr>
          <w:rFonts w:ascii="Times New Roman" w:hAnsi="Times New Roman" w:cs="Times New Roman"/>
          <w:bCs/>
        </w:rPr>
        <w:instrText xml:space="preserve"> \* MERGEFORMAT </w:instrText>
      </w:r>
      <w:r w:rsidR="00357752" w:rsidRPr="00357752">
        <w:rPr>
          <w:rFonts w:ascii="Times New Roman" w:hAnsi="Times New Roman" w:cs="Times New Roman"/>
          <w:bCs/>
        </w:rPr>
      </w:r>
      <w:r w:rsidR="00357752" w:rsidRPr="00357752">
        <w:rPr>
          <w:rFonts w:ascii="Times New Roman" w:hAnsi="Times New Roman" w:cs="Times New Roman"/>
          <w:bCs/>
        </w:rPr>
        <w:fldChar w:fldCharType="separate"/>
      </w:r>
      <w:r w:rsidR="00345436">
        <w:rPr>
          <w:rFonts w:ascii="Times New Roman" w:hAnsi="Times New Roman" w:cs="Times New Roman"/>
        </w:rPr>
        <w:t>t</w:t>
      </w:r>
      <w:r w:rsidR="00357752" w:rsidRPr="00357752">
        <w:rPr>
          <w:rFonts w:ascii="Times New Roman" w:hAnsi="Times New Roman" w:cs="Times New Roman"/>
        </w:rPr>
        <w:t xml:space="preserve">able </w:t>
      </w:r>
      <w:r w:rsidR="00357752" w:rsidRPr="00357752">
        <w:rPr>
          <w:rFonts w:ascii="Times New Roman" w:hAnsi="Times New Roman" w:cs="Times New Roman"/>
          <w:noProof/>
        </w:rPr>
        <w:t>8</w:t>
      </w:r>
      <w:r w:rsidR="00357752" w:rsidRPr="00357752">
        <w:rPr>
          <w:rFonts w:ascii="Times New Roman" w:hAnsi="Times New Roman" w:cs="Times New Roman"/>
          <w:bCs/>
        </w:rPr>
        <w:fldChar w:fldCharType="end"/>
      </w:r>
      <w:r w:rsidR="00CD31A5" w:rsidRPr="00357752">
        <w:rPr>
          <w:rFonts w:ascii="Times New Roman" w:hAnsi="Times New Roman" w:cs="Times New Roman"/>
          <w:bCs/>
        </w:rPr>
        <w:t xml:space="preserve"> shows the impact </w:t>
      </w:r>
      <w:r w:rsidR="00345436" w:rsidRPr="00200909">
        <w:rPr>
          <w:rFonts w:ascii="Times New Roman" w:hAnsi="Times New Roman" w:cs="Times New Roman"/>
          <w:bCs/>
        </w:rPr>
        <w:t xml:space="preserve">on well-being </w:t>
      </w:r>
      <w:r w:rsidR="00CD31A5" w:rsidRPr="00200909">
        <w:rPr>
          <w:rFonts w:ascii="Times New Roman" w:hAnsi="Times New Roman" w:cs="Times New Roman"/>
          <w:bCs/>
        </w:rPr>
        <w:t xml:space="preserve">as </w:t>
      </w:r>
      <w:r w:rsidR="00345436" w:rsidRPr="00200909">
        <w:rPr>
          <w:rFonts w:ascii="Times New Roman" w:hAnsi="Times New Roman" w:cs="Times New Roman"/>
          <w:bCs/>
        </w:rPr>
        <w:t xml:space="preserve">a </w:t>
      </w:r>
      <w:r w:rsidR="00CD31A5" w:rsidRPr="00200909">
        <w:rPr>
          <w:rFonts w:ascii="Times New Roman" w:hAnsi="Times New Roman" w:cs="Times New Roman"/>
          <w:bCs/>
        </w:rPr>
        <w:t>proportion of expenditure</w:t>
      </w:r>
      <w:r w:rsidR="00CD31A5" w:rsidRPr="00357752">
        <w:rPr>
          <w:rFonts w:ascii="Times New Roman" w:hAnsi="Times New Roman" w:cs="Times New Roman"/>
          <w:bCs/>
        </w:rPr>
        <w:t>.</w:t>
      </w:r>
    </w:p>
    <w:p w:rsidR="00504398" w:rsidRPr="0092692A"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92692A">
        <w:rPr>
          <w:rFonts w:ascii="Times New Roman" w:hAnsi="Times New Roman"/>
        </w:rPr>
        <w:t>For fuel</w:t>
      </w:r>
      <w:r>
        <w:rPr>
          <w:rFonts w:ascii="Times New Roman" w:hAnsi="Times New Roman"/>
        </w:rPr>
        <w:t xml:space="preserve"> bought directly at </w:t>
      </w:r>
      <w:r w:rsidR="00345436">
        <w:rPr>
          <w:rFonts w:ascii="Times New Roman" w:hAnsi="Times New Roman"/>
        </w:rPr>
        <w:t xml:space="preserve">a </w:t>
      </w:r>
      <w:r>
        <w:rPr>
          <w:rFonts w:ascii="Times New Roman" w:hAnsi="Times New Roman"/>
        </w:rPr>
        <w:t>pump</w:t>
      </w:r>
      <w:r w:rsidRPr="0092692A">
        <w:rPr>
          <w:rFonts w:ascii="Times New Roman" w:hAnsi="Times New Roman"/>
        </w:rPr>
        <w:t>, the impact of the reform on poor households is negligible, but it increases with welfare and represents the highest loss among rich households</w:t>
      </w:r>
      <w:r>
        <w:rPr>
          <w:rFonts w:ascii="Times New Roman" w:hAnsi="Times New Roman"/>
        </w:rPr>
        <w:t xml:space="preserve"> (</w:t>
      </w:r>
      <w:r w:rsidR="00345436">
        <w:rPr>
          <w:rFonts w:ascii="Times New Roman" w:hAnsi="Times New Roman"/>
        </w:rPr>
        <w:t xml:space="preserve">DF </w:t>
      </w:r>
      <w:r>
        <w:rPr>
          <w:rFonts w:ascii="Times New Roman" w:hAnsi="Times New Roman"/>
        </w:rPr>
        <w:t xml:space="preserve">2,734 per capita), equivalent to 0.5 percent of household spending. The poorest two quintiles spend considerably less on public transport than the richer quintiles; this is partly due to the fact that the poor live in areas with no public transport available, such as the rural areas. However, the same conclusion holds when restricting the analysis </w:t>
      </w:r>
      <w:r w:rsidR="00345436">
        <w:rPr>
          <w:rFonts w:ascii="Times New Roman" w:hAnsi="Times New Roman"/>
        </w:rPr>
        <w:t xml:space="preserve">only </w:t>
      </w:r>
      <w:r>
        <w:rPr>
          <w:rFonts w:ascii="Times New Roman" w:hAnsi="Times New Roman"/>
        </w:rPr>
        <w:t xml:space="preserve">to urban areas. The </w:t>
      </w:r>
      <w:r w:rsidR="00CD31A5">
        <w:rPr>
          <w:rFonts w:ascii="Times New Roman" w:hAnsi="Times New Roman"/>
        </w:rPr>
        <w:t xml:space="preserve">impact of the reform on the </w:t>
      </w:r>
      <w:r>
        <w:rPr>
          <w:rFonts w:ascii="Times New Roman" w:hAnsi="Times New Roman"/>
        </w:rPr>
        <w:t xml:space="preserve">poorest 40 percent </w:t>
      </w:r>
      <w:r w:rsidR="00CD31A5">
        <w:rPr>
          <w:rFonts w:ascii="Times New Roman" w:hAnsi="Times New Roman"/>
        </w:rPr>
        <w:t>is l</w:t>
      </w:r>
      <w:r>
        <w:rPr>
          <w:rFonts w:ascii="Times New Roman" w:hAnsi="Times New Roman"/>
        </w:rPr>
        <w:t xml:space="preserve">ess than </w:t>
      </w:r>
      <w:r w:rsidR="00345436">
        <w:rPr>
          <w:rFonts w:ascii="Times New Roman" w:hAnsi="Times New Roman"/>
        </w:rPr>
        <w:t xml:space="preserve">DF </w:t>
      </w:r>
      <w:r>
        <w:rPr>
          <w:rFonts w:ascii="Times New Roman" w:hAnsi="Times New Roman"/>
        </w:rPr>
        <w:t xml:space="preserve">80 per capita on public transport, compared </w:t>
      </w:r>
      <w:r w:rsidR="00007300">
        <w:rPr>
          <w:rFonts w:ascii="Times New Roman" w:hAnsi="Times New Roman"/>
        </w:rPr>
        <w:t>to</w:t>
      </w:r>
      <w:r>
        <w:rPr>
          <w:rFonts w:ascii="Times New Roman" w:hAnsi="Times New Roman"/>
        </w:rPr>
        <w:t xml:space="preserve"> more than </w:t>
      </w:r>
      <w:r w:rsidR="00007300">
        <w:rPr>
          <w:rFonts w:ascii="Times New Roman" w:hAnsi="Times New Roman"/>
        </w:rPr>
        <w:t xml:space="preserve">DF </w:t>
      </w:r>
      <w:r>
        <w:rPr>
          <w:rFonts w:ascii="Times New Roman" w:hAnsi="Times New Roman"/>
        </w:rPr>
        <w:t xml:space="preserve">400 among the richest 20 percent. In terms of </w:t>
      </w:r>
      <w:r w:rsidR="00CD31A5">
        <w:rPr>
          <w:rFonts w:ascii="Times New Roman" w:hAnsi="Times New Roman"/>
        </w:rPr>
        <w:t xml:space="preserve">household </w:t>
      </w:r>
      <w:r>
        <w:rPr>
          <w:rFonts w:ascii="Times New Roman" w:hAnsi="Times New Roman"/>
        </w:rPr>
        <w:t xml:space="preserve">spending, </w:t>
      </w:r>
      <w:r w:rsidR="00CD31A5">
        <w:rPr>
          <w:rFonts w:ascii="Times New Roman" w:hAnsi="Times New Roman"/>
        </w:rPr>
        <w:t>this would amount to a loss of 0.3 percent of welfare for the poorest 20 percent and 0.8 percent for the richest quintile. The middle class would experience the largest reduction in well</w:t>
      </w:r>
      <w:r w:rsidR="00007300">
        <w:rPr>
          <w:rFonts w:ascii="Times New Roman" w:hAnsi="Times New Roman"/>
        </w:rPr>
        <w:t>-</w:t>
      </w:r>
      <w:r w:rsidR="00CD31A5">
        <w:rPr>
          <w:rFonts w:ascii="Times New Roman" w:hAnsi="Times New Roman"/>
        </w:rPr>
        <w:t>being</w:t>
      </w:r>
      <w:r w:rsidR="00007300">
        <w:rPr>
          <w:rFonts w:ascii="Times New Roman" w:hAnsi="Times New Roman"/>
        </w:rPr>
        <w:t>—</w:t>
      </w:r>
      <w:r>
        <w:rPr>
          <w:rFonts w:ascii="Times New Roman" w:hAnsi="Times New Roman"/>
        </w:rPr>
        <w:t>about 0.12 percent.</w:t>
      </w:r>
    </w:p>
    <w:p w:rsidR="003F3439" w:rsidRDefault="003F3439" w:rsidP="003F3439">
      <w:pPr>
        <w:pStyle w:val="Caption"/>
      </w:pPr>
      <w:bookmarkStart w:id="27" w:name="_Ref411953863"/>
      <w:bookmarkStart w:id="28" w:name="_Toc412105837"/>
      <w:r>
        <w:t xml:space="preserve">Table </w:t>
      </w:r>
      <w:fldSimple w:instr=" SEQ Table \* ARABIC ">
        <w:r>
          <w:rPr>
            <w:noProof/>
          </w:rPr>
          <w:t>6</w:t>
        </w:r>
      </w:fldSimple>
      <w:bookmarkEnd w:id="27"/>
      <w:r>
        <w:t xml:space="preserve">: </w:t>
      </w:r>
      <w:r w:rsidRPr="00826BFD">
        <w:t xml:space="preserve">The Total Impact on the Population’s Well-Being (in </w:t>
      </w:r>
      <w:r w:rsidR="00007300">
        <w:t>DF</w:t>
      </w:r>
      <w:r w:rsidR="00E34652">
        <w:t>,</w:t>
      </w:r>
      <w:r w:rsidR="00007300">
        <w:t xml:space="preserve"> </w:t>
      </w:r>
      <w:r w:rsidRPr="00826BFD">
        <w:t>million</w:t>
      </w:r>
      <w:r w:rsidR="00560747">
        <w:t>s</w:t>
      </w:r>
      <w:r w:rsidRPr="00826BFD">
        <w:t>)</w:t>
      </w:r>
      <w:bookmarkEnd w:id="28"/>
    </w:p>
    <w:tbl>
      <w:tblPr>
        <w:tblW w:w="4897" w:type="pct"/>
        <w:tblInd w:w="108" w:type="dxa"/>
        <w:tblLook w:val="04A0" w:firstRow="1" w:lastRow="0" w:firstColumn="1" w:lastColumn="0" w:noHBand="0" w:noVBand="1"/>
      </w:tblPr>
      <w:tblGrid>
        <w:gridCol w:w="1937"/>
        <w:gridCol w:w="1496"/>
        <w:gridCol w:w="2200"/>
        <w:gridCol w:w="2053"/>
        <w:gridCol w:w="1481"/>
      </w:tblGrid>
      <w:tr w:rsidR="007A3FA3" w:rsidRPr="00357752" w:rsidTr="008C39B4">
        <w:trPr>
          <w:trHeight w:hRule="exact" w:val="403"/>
        </w:trPr>
        <w:tc>
          <w:tcPr>
            <w:tcW w:w="1056" w:type="pct"/>
            <w:tcBorders>
              <w:top w:val="double" w:sz="6" w:space="0" w:color="000000"/>
              <w:left w:val="nil"/>
              <w:bottom w:val="single" w:sz="4" w:space="0" w:color="000000"/>
              <w:right w:val="nil"/>
            </w:tcBorders>
            <w:shd w:val="clear" w:color="auto" w:fill="auto"/>
            <w:vAlign w:val="center"/>
            <w:hideMark/>
          </w:tcPr>
          <w:p w:rsidR="003F3439" w:rsidRPr="00357752" w:rsidRDefault="003F3439" w:rsidP="006F432E">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 </w:t>
            </w:r>
          </w:p>
        </w:tc>
        <w:tc>
          <w:tcPr>
            <w:tcW w:w="816" w:type="pct"/>
            <w:tcBorders>
              <w:top w:val="double" w:sz="6" w:space="0" w:color="000000"/>
              <w:left w:val="nil"/>
              <w:bottom w:val="single" w:sz="4" w:space="0" w:color="000000"/>
              <w:right w:val="nil"/>
            </w:tcBorders>
            <w:shd w:val="clear" w:color="auto" w:fill="auto"/>
            <w:vAlign w:val="center"/>
            <w:hideMark/>
          </w:tcPr>
          <w:p w:rsidR="003F3439" w:rsidRPr="00357752" w:rsidRDefault="003F3439"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Fuel</w:t>
            </w:r>
          </w:p>
        </w:tc>
        <w:tc>
          <w:tcPr>
            <w:tcW w:w="1200" w:type="pct"/>
            <w:tcBorders>
              <w:top w:val="double" w:sz="6" w:space="0" w:color="000000"/>
              <w:left w:val="nil"/>
              <w:bottom w:val="single" w:sz="4" w:space="0" w:color="000000"/>
              <w:right w:val="nil"/>
            </w:tcBorders>
            <w:shd w:val="clear" w:color="auto" w:fill="auto"/>
            <w:vAlign w:val="center"/>
            <w:hideMark/>
          </w:tcPr>
          <w:p w:rsidR="003F3439" w:rsidRPr="00357752" w:rsidRDefault="003F3439"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Public Transport</w:t>
            </w:r>
          </w:p>
        </w:tc>
        <w:tc>
          <w:tcPr>
            <w:tcW w:w="1120" w:type="pct"/>
            <w:tcBorders>
              <w:top w:val="double" w:sz="6" w:space="0" w:color="000000"/>
              <w:left w:val="nil"/>
              <w:bottom w:val="single" w:sz="4" w:space="0" w:color="000000"/>
              <w:right w:val="nil"/>
            </w:tcBorders>
            <w:shd w:val="clear" w:color="auto" w:fill="auto"/>
            <w:vAlign w:val="center"/>
            <w:hideMark/>
          </w:tcPr>
          <w:p w:rsidR="003F3439" w:rsidRPr="00357752" w:rsidRDefault="003F3439"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School Transport</w:t>
            </w:r>
          </w:p>
        </w:tc>
        <w:tc>
          <w:tcPr>
            <w:tcW w:w="808" w:type="pct"/>
            <w:tcBorders>
              <w:top w:val="double" w:sz="6" w:space="0" w:color="000000"/>
              <w:left w:val="nil"/>
              <w:bottom w:val="single" w:sz="4" w:space="0" w:color="000000"/>
              <w:right w:val="nil"/>
            </w:tcBorders>
            <w:shd w:val="clear" w:color="auto" w:fill="auto"/>
            <w:vAlign w:val="center"/>
            <w:hideMark/>
          </w:tcPr>
          <w:p w:rsidR="003F3439" w:rsidRPr="00357752" w:rsidRDefault="003F3439"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Total</w:t>
            </w:r>
          </w:p>
        </w:tc>
      </w:tr>
      <w:tr w:rsidR="007A3FA3" w:rsidRPr="00357752" w:rsidTr="008C39B4">
        <w:trPr>
          <w:trHeight w:hRule="exact" w:val="288"/>
        </w:trPr>
        <w:tc>
          <w:tcPr>
            <w:tcW w:w="1056" w:type="pct"/>
            <w:tcBorders>
              <w:top w:val="nil"/>
              <w:left w:val="nil"/>
              <w:bottom w:val="nil"/>
              <w:right w:val="nil"/>
            </w:tcBorders>
            <w:shd w:val="clear" w:color="auto" w:fill="auto"/>
            <w:vAlign w:val="center"/>
            <w:hideMark/>
          </w:tcPr>
          <w:p w:rsidR="003F3439" w:rsidRPr="00357752" w:rsidRDefault="003F3439" w:rsidP="006F432E">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Poorest</w:t>
            </w:r>
          </w:p>
        </w:tc>
        <w:tc>
          <w:tcPr>
            <w:tcW w:w="816"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200909">
              <w:rPr>
                <w:rFonts w:ascii="Times New Roman" w:eastAsia="Times New Roman" w:hAnsi="Times New Roman" w:cs="Times New Roman"/>
                <w:sz w:val="20"/>
                <w:szCs w:val="20"/>
              </w:rPr>
              <w:t>0.0</w:t>
            </w:r>
          </w:p>
        </w:tc>
        <w:tc>
          <w:tcPr>
            <w:tcW w:w="1200"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-1.5</w:t>
            </w:r>
          </w:p>
        </w:tc>
        <w:tc>
          <w:tcPr>
            <w:tcW w:w="1120"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-1.7</w:t>
            </w:r>
          </w:p>
        </w:tc>
        <w:tc>
          <w:tcPr>
            <w:tcW w:w="808"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-3.1</w:t>
            </w:r>
          </w:p>
        </w:tc>
      </w:tr>
      <w:tr w:rsidR="007A3FA3" w:rsidRPr="00357752" w:rsidTr="008C39B4">
        <w:trPr>
          <w:trHeight w:hRule="exact" w:val="288"/>
        </w:trPr>
        <w:tc>
          <w:tcPr>
            <w:tcW w:w="1056" w:type="pct"/>
            <w:tcBorders>
              <w:top w:val="nil"/>
              <w:left w:val="nil"/>
              <w:bottom w:val="nil"/>
              <w:right w:val="nil"/>
            </w:tcBorders>
            <w:shd w:val="clear" w:color="auto" w:fill="auto"/>
            <w:vAlign w:val="center"/>
            <w:hideMark/>
          </w:tcPr>
          <w:p w:rsidR="003F3439" w:rsidRPr="00357752" w:rsidRDefault="003F3439" w:rsidP="006F432E">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Second</w:t>
            </w:r>
          </w:p>
        </w:tc>
        <w:tc>
          <w:tcPr>
            <w:tcW w:w="816"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-1.0</w:t>
            </w:r>
          </w:p>
        </w:tc>
        <w:tc>
          <w:tcPr>
            <w:tcW w:w="1200"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-8.1</w:t>
            </w:r>
          </w:p>
        </w:tc>
        <w:tc>
          <w:tcPr>
            <w:tcW w:w="1120"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-8.1</w:t>
            </w:r>
          </w:p>
        </w:tc>
        <w:tc>
          <w:tcPr>
            <w:tcW w:w="808"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-17.3</w:t>
            </w:r>
          </w:p>
        </w:tc>
      </w:tr>
      <w:tr w:rsidR="007A3FA3" w:rsidRPr="00357752" w:rsidTr="008C39B4">
        <w:trPr>
          <w:trHeight w:hRule="exact" w:val="288"/>
        </w:trPr>
        <w:tc>
          <w:tcPr>
            <w:tcW w:w="1056" w:type="pct"/>
            <w:tcBorders>
              <w:top w:val="nil"/>
              <w:left w:val="nil"/>
              <w:bottom w:val="nil"/>
              <w:right w:val="nil"/>
            </w:tcBorders>
            <w:shd w:val="clear" w:color="auto" w:fill="auto"/>
            <w:vAlign w:val="center"/>
            <w:hideMark/>
          </w:tcPr>
          <w:p w:rsidR="003F3439" w:rsidRPr="00357752" w:rsidRDefault="003F3439" w:rsidP="006F432E">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Third</w:t>
            </w:r>
          </w:p>
        </w:tc>
        <w:tc>
          <w:tcPr>
            <w:tcW w:w="816"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-1.3</w:t>
            </w:r>
          </w:p>
        </w:tc>
        <w:tc>
          <w:tcPr>
            <w:tcW w:w="1200"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-16.3</w:t>
            </w:r>
          </w:p>
        </w:tc>
        <w:tc>
          <w:tcPr>
            <w:tcW w:w="1120"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-20.4</w:t>
            </w:r>
          </w:p>
        </w:tc>
        <w:tc>
          <w:tcPr>
            <w:tcW w:w="808"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-38.0</w:t>
            </w:r>
          </w:p>
        </w:tc>
      </w:tr>
      <w:tr w:rsidR="007A3FA3" w:rsidRPr="00357752" w:rsidTr="008C39B4">
        <w:trPr>
          <w:trHeight w:hRule="exact" w:val="288"/>
        </w:trPr>
        <w:tc>
          <w:tcPr>
            <w:tcW w:w="1056" w:type="pct"/>
            <w:tcBorders>
              <w:top w:val="nil"/>
              <w:left w:val="nil"/>
              <w:bottom w:val="nil"/>
              <w:right w:val="nil"/>
            </w:tcBorders>
            <w:shd w:val="clear" w:color="auto" w:fill="auto"/>
            <w:vAlign w:val="center"/>
            <w:hideMark/>
          </w:tcPr>
          <w:p w:rsidR="003F3439" w:rsidRPr="00357752" w:rsidRDefault="003F3439" w:rsidP="006F432E">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Fourth</w:t>
            </w:r>
          </w:p>
        </w:tc>
        <w:tc>
          <w:tcPr>
            <w:tcW w:w="816"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-9.7</w:t>
            </w:r>
          </w:p>
        </w:tc>
        <w:tc>
          <w:tcPr>
            <w:tcW w:w="1200"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-26.8</w:t>
            </w:r>
          </w:p>
        </w:tc>
        <w:tc>
          <w:tcPr>
            <w:tcW w:w="1120"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-33.0</w:t>
            </w:r>
          </w:p>
        </w:tc>
        <w:tc>
          <w:tcPr>
            <w:tcW w:w="808" w:type="pct"/>
            <w:tcBorders>
              <w:top w:val="nil"/>
              <w:left w:val="nil"/>
              <w:bottom w:val="nil"/>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-69.5</w:t>
            </w:r>
          </w:p>
        </w:tc>
      </w:tr>
      <w:tr w:rsidR="007A3FA3" w:rsidRPr="00357752" w:rsidTr="008C39B4">
        <w:trPr>
          <w:trHeight w:hRule="exact" w:val="288"/>
        </w:trPr>
        <w:tc>
          <w:tcPr>
            <w:tcW w:w="1056" w:type="pct"/>
            <w:tcBorders>
              <w:top w:val="nil"/>
              <w:left w:val="nil"/>
              <w:bottom w:val="single" w:sz="4" w:space="0" w:color="000000"/>
              <w:right w:val="nil"/>
            </w:tcBorders>
            <w:shd w:val="clear" w:color="auto" w:fill="auto"/>
            <w:vAlign w:val="center"/>
            <w:hideMark/>
          </w:tcPr>
          <w:p w:rsidR="003F3439" w:rsidRPr="00357752" w:rsidRDefault="003F3439" w:rsidP="006F432E">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Richest</w:t>
            </w:r>
          </w:p>
        </w:tc>
        <w:tc>
          <w:tcPr>
            <w:tcW w:w="816" w:type="pct"/>
            <w:tcBorders>
              <w:top w:val="nil"/>
              <w:left w:val="nil"/>
              <w:bottom w:val="single" w:sz="4" w:space="0" w:color="000000"/>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-292.7</w:t>
            </w:r>
          </w:p>
        </w:tc>
        <w:tc>
          <w:tcPr>
            <w:tcW w:w="1200" w:type="pct"/>
            <w:tcBorders>
              <w:top w:val="nil"/>
              <w:left w:val="nil"/>
              <w:bottom w:val="single" w:sz="4" w:space="0" w:color="000000"/>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-44.6</w:t>
            </w:r>
          </w:p>
        </w:tc>
        <w:tc>
          <w:tcPr>
            <w:tcW w:w="1120" w:type="pct"/>
            <w:tcBorders>
              <w:top w:val="nil"/>
              <w:left w:val="nil"/>
              <w:bottom w:val="single" w:sz="4" w:space="0" w:color="000000"/>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-45.6</w:t>
            </w:r>
          </w:p>
        </w:tc>
        <w:tc>
          <w:tcPr>
            <w:tcW w:w="808" w:type="pct"/>
            <w:tcBorders>
              <w:top w:val="nil"/>
              <w:left w:val="nil"/>
              <w:bottom w:val="single" w:sz="4" w:space="0" w:color="000000"/>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-382.8</w:t>
            </w:r>
          </w:p>
        </w:tc>
      </w:tr>
      <w:tr w:rsidR="007A3FA3" w:rsidRPr="00357752" w:rsidTr="008C39B4">
        <w:trPr>
          <w:trHeight w:hRule="exact" w:val="288"/>
        </w:trPr>
        <w:tc>
          <w:tcPr>
            <w:tcW w:w="1056" w:type="pct"/>
            <w:tcBorders>
              <w:top w:val="nil"/>
              <w:left w:val="nil"/>
              <w:bottom w:val="double" w:sz="6" w:space="0" w:color="000000"/>
              <w:right w:val="nil"/>
            </w:tcBorders>
            <w:shd w:val="clear" w:color="auto" w:fill="auto"/>
            <w:vAlign w:val="center"/>
            <w:hideMark/>
          </w:tcPr>
          <w:p w:rsidR="003F3439" w:rsidRPr="00357752" w:rsidRDefault="003F3439" w:rsidP="006F432E">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Total</w:t>
            </w:r>
          </w:p>
        </w:tc>
        <w:tc>
          <w:tcPr>
            <w:tcW w:w="816" w:type="pct"/>
            <w:tcBorders>
              <w:top w:val="nil"/>
              <w:left w:val="nil"/>
              <w:bottom w:val="double" w:sz="6" w:space="0" w:color="000000"/>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-304.8</w:t>
            </w:r>
          </w:p>
        </w:tc>
        <w:tc>
          <w:tcPr>
            <w:tcW w:w="1200" w:type="pct"/>
            <w:tcBorders>
              <w:top w:val="nil"/>
              <w:left w:val="nil"/>
              <w:bottom w:val="double" w:sz="6" w:space="0" w:color="000000"/>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-97.3</w:t>
            </w:r>
          </w:p>
        </w:tc>
        <w:tc>
          <w:tcPr>
            <w:tcW w:w="1120" w:type="pct"/>
            <w:tcBorders>
              <w:top w:val="nil"/>
              <w:left w:val="nil"/>
              <w:bottom w:val="double" w:sz="6" w:space="0" w:color="000000"/>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-108.8</w:t>
            </w:r>
          </w:p>
        </w:tc>
        <w:tc>
          <w:tcPr>
            <w:tcW w:w="808" w:type="pct"/>
            <w:tcBorders>
              <w:top w:val="nil"/>
              <w:left w:val="nil"/>
              <w:bottom w:val="double" w:sz="6" w:space="0" w:color="000000"/>
              <w:right w:val="nil"/>
            </w:tcBorders>
            <w:shd w:val="clear" w:color="auto" w:fill="auto"/>
            <w:noWrap/>
            <w:vAlign w:val="center"/>
            <w:hideMark/>
          </w:tcPr>
          <w:p w:rsidR="003F3439" w:rsidRPr="00357752" w:rsidRDefault="003F3439"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-510.8</w:t>
            </w:r>
          </w:p>
        </w:tc>
      </w:tr>
    </w:tbl>
    <w:p w:rsidR="003F3439" w:rsidRPr="00357752" w:rsidRDefault="003F3439" w:rsidP="003F3439">
      <w:pPr>
        <w:pStyle w:val="Caption"/>
        <w:spacing w:before="0" w:after="0"/>
        <w:jc w:val="left"/>
        <w:rPr>
          <w:b w:val="0"/>
          <w:sz w:val="18"/>
          <w:szCs w:val="18"/>
        </w:rPr>
      </w:pPr>
      <w:r w:rsidRPr="00357752">
        <w:rPr>
          <w:b w:val="0"/>
          <w:i/>
          <w:sz w:val="18"/>
          <w:szCs w:val="18"/>
        </w:rPr>
        <w:t>Source:</w:t>
      </w:r>
      <w:r w:rsidRPr="00357752">
        <w:rPr>
          <w:b w:val="0"/>
          <w:sz w:val="18"/>
          <w:szCs w:val="18"/>
        </w:rPr>
        <w:t xml:space="preserve"> World Bank calculation based on the EDAM 3 (2014 prices).</w:t>
      </w:r>
    </w:p>
    <w:p w:rsidR="00357752" w:rsidRDefault="00357752" w:rsidP="00357752">
      <w:pPr>
        <w:pStyle w:val="Caption"/>
      </w:pPr>
      <w:bookmarkStart w:id="29" w:name="_Ref411953918"/>
      <w:bookmarkStart w:id="30" w:name="_Toc412105838"/>
      <w:r>
        <w:t xml:space="preserve">Table </w:t>
      </w:r>
      <w:fldSimple w:instr=" SEQ Table \* ARABIC ">
        <w:r w:rsidR="001000E9">
          <w:rPr>
            <w:noProof/>
          </w:rPr>
          <w:t>7</w:t>
        </w:r>
      </w:fldSimple>
      <w:bookmarkEnd w:id="29"/>
      <w:r>
        <w:t xml:space="preserve">: </w:t>
      </w:r>
      <w:r w:rsidRPr="0023380F">
        <w:t xml:space="preserve">The Impact on the Per Capita Well-Being (in </w:t>
      </w:r>
      <w:r w:rsidRPr="00200909">
        <w:t>DF</w:t>
      </w:r>
      <w:r w:rsidRPr="0023380F">
        <w:t>)</w:t>
      </w:r>
      <w:bookmarkEnd w:id="30"/>
    </w:p>
    <w:tbl>
      <w:tblPr>
        <w:tblW w:w="4864" w:type="pct"/>
        <w:tblInd w:w="108" w:type="dxa"/>
        <w:tblLook w:val="04A0" w:firstRow="1" w:lastRow="0" w:firstColumn="1" w:lastColumn="0" w:noHBand="0" w:noVBand="1"/>
      </w:tblPr>
      <w:tblGrid>
        <w:gridCol w:w="1944"/>
        <w:gridCol w:w="1487"/>
        <w:gridCol w:w="2200"/>
        <w:gridCol w:w="2187"/>
        <w:gridCol w:w="1287"/>
      </w:tblGrid>
      <w:tr w:rsidR="00504398" w:rsidRPr="00357752" w:rsidTr="008C39B4">
        <w:trPr>
          <w:trHeight w:hRule="exact" w:val="403"/>
          <w:tblHeader/>
        </w:trPr>
        <w:tc>
          <w:tcPr>
            <w:tcW w:w="1067"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 </w:t>
            </w:r>
          </w:p>
        </w:tc>
        <w:tc>
          <w:tcPr>
            <w:tcW w:w="816"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Fuel</w:t>
            </w:r>
          </w:p>
        </w:tc>
        <w:tc>
          <w:tcPr>
            <w:tcW w:w="1208"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Public Transport</w:t>
            </w:r>
          </w:p>
        </w:tc>
        <w:tc>
          <w:tcPr>
            <w:tcW w:w="1201"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School Transport</w:t>
            </w:r>
          </w:p>
        </w:tc>
        <w:tc>
          <w:tcPr>
            <w:tcW w:w="707"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Total</w:t>
            </w:r>
          </w:p>
        </w:tc>
      </w:tr>
      <w:tr w:rsidR="00504398" w:rsidRPr="00357752" w:rsidTr="008C39B4">
        <w:trPr>
          <w:trHeight w:hRule="exact" w:val="288"/>
        </w:trPr>
        <w:tc>
          <w:tcPr>
            <w:tcW w:w="1067" w:type="pct"/>
            <w:tcBorders>
              <w:top w:val="nil"/>
              <w:left w:val="nil"/>
              <w:bottom w:val="nil"/>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Poorest</w:t>
            </w:r>
          </w:p>
        </w:tc>
        <w:tc>
          <w:tcPr>
            <w:tcW w:w="816"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w:t>
            </w:r>
          </w:p>
        </w:tc>
        <w:tc>
          <w:tcPr>
            <w:tcW w:w="1208"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-14</w:t>
            </w:r>
          </w:p>
        </w:tc>
        <w:tc>
          <w:tcPr>
            <w:tcW w:w="1201"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-15</w:t>
            </w:r>
          </w:p>
        </w:tc>
        <w:tc>
          <w:tcPr>
            <w:tcW w:w="707"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-29</w:t>
            </w:r>
          </w:p>
        </w:tc>
      </w:tr>
      <w:tr w:rsidR="00504398" w:rsidRPr="00357752" w:rsidTr="008C39B4">
        <w:trPr>
          <w:trHeight w:hRule="exact" w:val="288"/>
        </w:trPr>
        <w:tc>
          <w:tcPr>
            <w:tcW w:w="1067" w:type="pct"/>
            <w:tcBorders>
              <w:top w:val="nil"/>
              <w:left w:val="nil"/>
              <w:bottom w:val="nil"/>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Second</w:t>
            </w:r>
          </w:p>
        </w:tc>
        <w:tc>
          <w:tcPr>
            <w:tcW w:w="816"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-10</w:t>
            </w:r>
          </w:p>
        </w:tc>
        <w:tc>
          <w:tcPr>
            <w:tcW w:w="1208"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-76</w:t>
            </w:r>
          </w:p>
        </w:tc>
        <w:tc>
          <w:tcPr>
            <w:tcW w:w="1201"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-76</w:t>
            </w:r>
          </w:p>
        </w:tc>
        <w:tc>
          <w:tcPr>
            <w:tcW w:w="707"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-161</w:t>
            </w:r>
          </w:p>
        </w:tc>
      </w:tr>
      <w:tr w:rsidR="00504398" w:rsidRPr="00357752" w:rsidTr="008C39B4">
        <w:trPr>
          <w:trHeight w:hRule="exact" w:val="288"/>
        </w:trPr>
        <w:tc>
          <w:tcPr>
            <w:tcW w:w="1067" w:type="pct"/>
            <w:tcBorders>
              <w:top w:val="nil"/>
              <w:left w:val="nil"/>
              <w:bottom w:val="nil"/>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Third</w:t>
            </w:r>
          </w:p>
        </w:tc>
        <w:tc>
          <w:tcPr>
            <w:tcW w:w="816"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-12</w:t>
            </w:r>
          </w:p>
        </w:tc>
        <w:tc>
          <w:tcPr>
            <w:tcW w:w="1208"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-152</w:t>
            </w:r>
          </w:p>
        </w:tc>
        <w:tc>
          <w:tcPr>
            <w:tcW w:w="1201"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-190</w:t>
            </w:r>
          </w:p>
        </w:tc>
        <w:tc>
          <w:tcPr>
            <w:tcW w:w="707"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-354</w:t>
            </w:r>
          </w:p>
        </w:tc>
      </w:tr>
      <w:tr w:rsidR="00504398" w:rsidRPr="00357752" w:rsidTr="008C39B4">
        <w:trPr>
          <w:trHeight w:hRule="exact" w:val="288"/>
        </w:trPr>
        <w:tc>
          <w:tcPr>
            <w:tcW w:w="1067" w:type="pct"/>
            <w:tcBorders>
              <w:top w:val="nil"/>
              <w:left w:val="nil"/>
              <w:bottom w:val="nil"/>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Fourth</w:t>
            </w:r>
          </w:p>
        </w:tc>
        <w:tc>
          <w:tcPr>
            <w:tcW w:w="816"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-90</w:t>
            </w:r>
          </w:p>
        </w:tc>
        <w:tc>
          <w:tcPr>
            <w:tcW w:w="1208"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-249</w:t>
            </w:r>
          </w:p>
        </w:tc>
        <w:tc>
          <w:tcPr>
            <w:tcW w:w="1201"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-307</w:t>
            </w:r>
          </w:p>
        </w:tc>
        <w:tc>
          <w:tcPr>
            <w:tcW w:w="707"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-646</w:t>
            </w:r>
          </w:p>
        </w:tc>
      </w:tr>
      <w:tr w:rsidR="00504398" w:rsidRPr="00357752" w:rsidTr="008C39B4">
        <w:trPr>
          <w:trHeight w:hRule="exact" w:val="288"/>
        </w:trPr>
        <w:tc>
          <w:tcPr>
            <w:tcW w:w="1067" w:type="pct"/>
            <w:tcBorders>
              <w:top w:val="nil"/>
              <w:left w:val="nil"/>
              <w:bottom w:val="single" w:sz="4" w:space="0" w:color="000000"/>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Richest</w:t>
            </w:r>
          </w:p>
        </w:tc>
        <w:tc>
          <w:tcPr>
            <w:tcW w:w="816" w:type="pct"/>
            <w:tcBorders>
              <w:top w:val="nil"/>
              <w:left w:val="nil"/>
              <w:bottom w:val="single" w:sz="4"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-2,734</w:t>
            </w:r>
          </w:p>
        </w:tc>
        <w:tc>
          <w:tcPr>
            <w:tcW w:w="1208" w:type="pct"/>
            <w:tcBorders>
              <w:top w:val="nil"/>
              <w:left w:val="nil"/>
              <w:bottom w:val="single" w:sz="4"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-417</w:t>
            </w:r>
          </w:p>
        </w:tc>
        <w:tc>
          <w:tcPr>
            <w:tcW w:w="1201" w:type="pct"/>
            <w:tcBorders>
              <w:top w:val="nil"/>
              <w:left w:val="nil"/>
              <w:bottom w:val="single" w:sz="4"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-426</w:t>
            </w:r>
          </w:p>
        </w:tc>
        <w:tc>
          <w:tcPr>
            <w:tcW w:w="707" w:type="pct"/>
            <w:tcBorders>
              <w:top w:val="nil"/>
              <w:left w:val="nil"/>
              <w:bottom w:val="single" w:sz="4"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-3,576</w:t>
            </w:r>
          </w:p>
        </w:tc>
      </w:tr>
      <w:tr w:rsidR="00504398" w:rsidRPr="00357752" w:rsidTr="008C39B4">
        <w:trPr>
          <w:trHeight w:hRule="exact" w:val="288"/>
        </w:trPr>
        <w:tc>
          <w:tcPr>
            <w:tcW w:w="1067" w:type="pct"/>
            <w:tcBorders>
              <w:top w:val="nil"/>
              <w:left w:val="nil"/>
              <w:bottom w:val="double" w:sz="6" w:space="0" w:color="000000"/>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Total</w:t>
            </w:r>
          </w:p>
        </w:tc>
        <w:tc>
          <w:tcPr>
            <w:tcW w:w="816" w:type="pct"/>
            <w:tcBorders>
              <w:top w:val="nil"/>
              <w:left w:val="nil"/>
              <w:bottom w:val="double" w:sz="6"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-568</w:t>
            </w:r>
          </w:p>
        </w:tc>
        <w:tc>
          <w:tcPr>
            <w:tcW w:w="1208" w:type="pct"/>
            <w:tcBorders>
              <w:top w:val="nil"/>
              <w:left w:val="nil"/>
              <w:bottom w:val="double" w:sz="6"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-181</w:t>
            </w:r>
          </w:p>
        </w:tc>
        <w:tc>
          <w:tcPr>
            <w:tcW w:w="1201" w:type="pct"/>
            <w:tcBorders>
              <w:top w:val="nil"/>
              <w:left w:val="nil"/>
              <w:bottom w:val="double" w:sz="6"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-203</w:t>
            </w:r>
          </w:p>
        </w:tc>
        <w:tc>
          <w:tcPr>
            <w:tcW w:w="707" w:type="pct"/>
            <w:tcBorders>
              <w:top w:val="nil"/>
              <w:left w:val="nil"/>
              <w:bottom w:val="double" w:sz="6"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-951</w:t>
            </w:r>
          </w:p>
        </w:tc>
      </w:tr>
    </w:tbl>
    <w:p w:rsidR="0085074C" w:rsidRDefault="00504398" w:rsidP="003F3439">
      <w:pPr>
        <w:pStyle w:val="Caption"/>
        <w:spacing w:before="0" w:after="0"/>
        <w:jc w:val="left"/>
        <w:rPr>
          <w:b w:val="0"/>
          <w:sz w:val="18"/>
        </w:rPr>
      </w:pPr>
      <w:r w:rsidRPr="00CB6774">
        <w:rPr>
          <w:b w:val="0"/>
          <w:i/>
          <w:sz w:val="18"/>
        </w:rPr>
        <w:t>Source:</w:t>
      </w:r>
      <w:r w:rsidRPr="00CB6774">
        <w:rPr>
          <w:b w:val="0"/>
          <w:sz w:val="18"/>
        </w:rPr>
        <w:t xml:space="preserve"> World Bank calculation based on the EDAM 3 (2014 prices).</w:t>
      </w:r>
      <w:bookmarkStart w:id="31" w:name="_Ref404181503"/>
      <w:bookmarkStart w:id="32" w:name="_Ref405558607"/>
    </w:p>
    <w:p w:rsidR="008C39B4" w:rsidRPr="008C39B4" w:rsidRDefault="008C39B4" w:rsidP="008C39B4"/>
    <w:p w:rsidR="00357752" w:rsidRDefault="00357752" w:rsidP="00357752">
      <w:pPr>
        <w:pStyle w:val="Caption"/>
      </w:pPr>
      <w:bookmarkStart w:id="33" w:name="_Ref411954021"/>
      <w:bookmarkStart w:id="34" w:name="_Toc412105839"/>
      <w:r>
        <w:lastRenderedPageBreak/>
        <w:t xml:space="preserve">Table </w:t>
      </w:r>
      <w:fldSimple w:instr=" SEQ Table \* ARABIC ">
        <w:r w:rsidR="001000E9">
          <w:rPr>
            <w:noProof/>
          </w:rPr>
          <w:t>8</w:t>
        </w:r>
      </w:fldSimple>
      <w:bookmarkEnd w:id="33"/>
      <w:r>
        <w:t xml:space="preserve">: </w:t>
      </w:r>
      <w:r w:rsidRPr="00A204E3">
        <w:t>The Impact on Well-Being (in %)</w:t>
      </w:r>
      <w:bookmarkEnd w:id="34"/>
    </w:p>
    <w:tbl>
      <w:tblPr>
        <w:tblW w:w="4867" w:type="pct"/>
        <w:jc w:val="center"/>
        <w:tblLook w:val="04A0" w:firstRow="1" w:lastRow="0" w:firstColumn="1" w:lastColumn="0" w:noHBand="0" w:noVBand="1"/>
      </w:tblPr>
      <w:tblGrid>
        <w:gridCol w:w="1809"/>
        <w:gridCol w:w="1496"/>
        <w:gridCol w:w="2198"/>
        <w:gridCol w:w="2214"/>
        <w:gridCol w:w="1394"/>
      </w:tblGrid>
      <w:tr w:rsidR="00504398" w:rsidRPr="00357752" w:rsidTr="007A3FA3">
        <w:trPr>
          <w:trHeight w:val="690"/>
          <w:jc w:val="center"/>
        </w:trPr>
        <w:tc>
          <w:tcPr>
            <w:tcW w:w="993" w:type="pct"/>
            <w:tcBorders>
              <w:top w:val="double" w:sz="6" w:space="0" w:color="000000"/>
              <w:left w:val="nil"/>
              <w:bottom w:val="single" w:sz="4" w:space="0" w:color="000000"/>
              <w:right w:val="nil"/>
            </w:tcBorders>
            <w:shd w:val="clear" w:color="auto" w:fill="auto"/>
            <w:vAlign w:val="center"/>
            <w:hideMark/>
          </w:tcPr>
          <w:bookmarkEnd w:id="31"/>
          <w:bookmarkEnd w:id="32"/>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 </w:t>
            </w:r>
          </w:p>
        </w:tc>
        <w:tc>
          <w:tcPr>
            <w:tcW w:w="821"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Fuel</w:t>
            </w:r>
          </w:p>
        </w:tc>
        <w:tc>
          <w:tcPr>
            <w:tcW w:w="1206"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Public Transport</w:t>
            </w:r>
          </w:p>
        </w:tc>
        <w:tc>
          <w:tcPr>
            <w:tcW w:w="1215"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School Transport</w:t>
            </w:r>
          </w:p>
        </w:tc>
        <w:tc>
          <w:tcPr>
            <w:tcW w:w="765" w:type="pct"/>
            <w:tcBorders>
              <w:top w:val="double" w:sz="6" w:space="0" w:color="000000"/>
              <w:left w:val="nil"/>
              <w:bottom w:val="single" w:sz="4" w:space="0" w:color="000000"/>
              <w:right w:val="nil"/>
            </w:tcBorders>
            <w:shd w:val="clear" w:color="auto" w:fill="auto"/>
            <w:vAlign w:val="center"/>
            <w:hideMark/>
          </w:tcPr>
          <w:p w:rsidR="00504398" w:rsidRPr="00357752" w:rsidRDefault="00504398" w:rsidP="00007300">
            <w:pPr>
              <w:spacing w:after="0" w:line="240" w:lineRule="auto"/>
              <w:jc w:val="center"/>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Total</w:t>
            </w:r>
          </w:p>
        </w:tc>
      </w:tr>
      <w:tr w:rsidR="00504398" w:rsidRPr="00357752" w:rsidTr="007A3FA3">
        <w:trPr>
          <w:trHeight w:val="300"/>
          <w:jc w:val="center"/>
        </w:trPr>
        <w:tc>
          <w:tcPr>
            <w:tcW w:w="993" w:type="pct"/>
            <w:tcBorders>
              <w:top w:val="nil"/>
              <w:left w:val="nil"/>
              <w:bottom w:val="nil"/>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Poorest</w:t>
            </w:r>
          </w:p>
        </w:tc>
        <w:tc>
          <w:tcPr>
            <w:tcW w:w="821"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0.00</w:t>
            </w:r>
          </w:p>
        </w:tc>
        <w:tc>
          <w:tcPr>
            <w:tcW w:w="1206"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-0.03</w:t>
            </w:r>
          </w:p>
        </w:tc>
        <w:tc>
          <w:tcPr>
            <w:tcW w:w="1215"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-0.03</w:t>
            </w:r>
          </w:p>
        </w:tc>
        <w:tc>
          <w:tcPr>
            <w:tcW w:w="765"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-0.06</w:t>
            </w:r>
          </w:p>
        </w:tc>
      </w:tr>
      <w:tr w:rsidR="00504398" w:rsidRPr="00357752" w:rsidTr="007A3FA3">
        <w:trPr>
          <w:trHeight w:val="300"/>
          <w:jc w:val="center"/>
        </w:trPr>
        <w:tc>
          <w:tcPr>
            <w:tcW w:w="993" w:type="pct"/>
            <w:tcBorders>
              <w:top w:val="nil"/>
              <w:left w:val="nil"/>
              <w:bottom w:val="nil"/>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Second</w:t>
            </w:r>
          </w:p>
        </w:tc>
        <w:tc>
          <w:tcPr>
            <w:tcW w:w="821"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-0.01</w:t>
            </w:r>
          </w:p>
        </w:tc>
        <w:tc>
          <w:tcPr>
            <w:tcW w:w="1206"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-0.07</w:t>
            </w:r>
          </w:p>
        </w:tc>
        <w:tc>
          <w:tcPr>
            <w:tcW w:w="1215"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-0.07</w:t>
            </w:r>
          </w:p>
        </w:tc>
        <w:tc>
          <w:tcPr>
            <w:tcW w:w="765"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-0.15</w:t>
            </w:r>
          </w:p>
        </w:tc>
      </w:tr>
      <w:tr w:rsidR="00504398" w:rsidRPr="00357752" w:rsidTr="007A3FA3">
        <w:trPr>
          <w:trHeight w:val="300"/>
          <w:jc w:val="center"/>
        </w:trPr>
        <w:tc>
          <w:tcPr>
            <w:tcW w:w="993" w:type="pct"/>
            <w:tcBorders>
              <w:top w:val="nil"/>
              <w:left w:val="nil"/>
              <w:bottom w:val="nil"/>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Third</w:t>
            </w:r>
          </w:p>
        </w:tc>
        <w:tc>
          <w:tcPr>
            <w:tcW w:w="821"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-0.01</w:t>
            </w:r>
          </w:p>
        </w:tc>
        <w:tc>
          <w:tcPr>
            <w:tcW w:w="1206"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-0.10</w:t>
            </w:r>
          </w:p>
        </w:tc>
        <w:tc>
          <w:tcPr>
            <w:tcW w:w="1215"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-0.12</w:t>
            </w:r>
          </w:p>
        </w:tc>
        <w:tc>
          <w:tcPr>
            <w:tcW w:w="765"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-0.22</w:t>
            </w:r>
          </w:p>
        </w:tc>
      </w:tr>
      <w:tr w:rsidR="00504398" w:rsidRPr="00357752" w:rsidTr="007A3FA3">
        <w:trPr>
          <w:trHeight w:val="300"/>
          <w:jc w:val="center"/>
        </w:trPr>
        <w:tc>
          <w:tcPr>
            <w:tcW w:w="993" w:type="pct"/>
            <w:tcBorders>
              <w:top w:val="nil"/>
              <w:left w:val="nil"/>
              <w:bottom w:val="nil"/>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Fourth</w:t>
            </w:r>
          </w:p>
        </w:tc>
        <w:tc>
          <w:tcPr>
            <w:tcW w:w="821"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-0.04</w:t>
            </w:r>
          </w:p>
        </w:tc>
        <w:tc>
          <w:tcPr>
            <w:tcW w:w="1206"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-0.11</w:t>
            </w:r>
          </w:p>
        </w:tc>
        <w:tc>
          <w:tcPr>
            <w:tcW w:w="1215"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-0.13</w:t>
            </w:r>
          </w:p>
        </w:tc>
        <w:tc>
          <w:tcPr>
            <w:tcW w:w="765" w:type="pct"/>
            <w:tcBorders>
              <w:top w:val="nil"/>
              <w:left w:val="nil"/>
              <w:bottom w:val="nil"/>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-0.28</w:t>
            </w:r>
          </w:p>
        </w:tc>
      </w:tr>
      <w:tr w:rsidR="00504398" w:rsidRPr="00357752" w:rsidTr="007A3FA3">
        <w:trPr>
          <w:trHeight w:val="300"/>
          <w:jc w:val="center"/>
        </w:trPr>
        <w:tc>
          <w:tcPr>
            <w:tcW w:w="993" w:type="pct"/>
            <w:tcBorders>
              <w:top w:val="nil"/>
              <w:left w:val="nil"/>
              <w:bottom w:val="single" w:sz="4" w:space="0" w:color="000000"/>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Richest</w:t>
            </w:r>
          </w:p>
        </w:tc>
        <w:tc>
          <w:tcPr>
            <w:tcW w:w="821" w:type="pct"/>
            <w:tcBorders>
              <w:top w:val="nil"/>
              <w:left w:val="nil"/>
              <w:bottom w:val="single" w:sz="4"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-0.49</w:t>
            </w:r>
          </w:p>
        </w:tc>
        <w:tc>
          <w:tcPr>
            <w:tcW w:w="1206" w:type="pct"/>
            <w:tcBorders>
              <w:top w:val="nil"/>
              <w:left w:val="nil"/>
              <w:bottom w:val="single" w:sz="4"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-0.08</w:t>
            </w:r>
          </w:p>
        </w:tc>
        <w:tc>
          <w:tcPr>
            <w:tcW w:w="1215" w:type="pct"/>
            <w:tcBorders>
              <w:top w:val="nil"/>
              <w:left w:val="nil"/>
              <w:bottom w:val="single" w:sz="4"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-0.08</w:t>
            </w:r>
          </w:p>
        </w:tc>
        <w:tc>
          <w:tcPr>
            <w:tcW w:w="765" w:type="pct"/>
            <w:tcBorders>
              <w:top w:val="nil"/>
              <w:left w:val="nil"/>
              <w:bottom w:val="single" w:sz="4"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-0.65</w:t>
            </w:r>
          </w:p>
        </w:tc>
      </w:tr>
      <w:tr w:rsidR="00504398" w:rsidRPr="00357752" w:rsidTr="007A3FA3">
        <w:trPr>
          <w:trHeight w:val="315"/>
          <w:jc w:val="center"/>
        </w:trPr>
        <w:tc>
          <w:tcPr>
            <w:tcW w:w="993" w:type="pct"/>
            <w:tcBorders>
              <w:top w:val="nil"/>
              <w:left w:val="nil"/>
              <w:bottom w:val="double" w:sz="6" w:space="0" w:color="000000"/>
              <w:right w:val="nil"/>
            </w:tcBorders>
            <w:shd w:val="clear" w:color="auto" w:fill="auto"/>
            <w:vAlign w:val="center"/>
            <w:hideMark/>
          </w:tcPr>
          <w:p w:rsidR="00504398" w:rsidRPr="00357752" w:rsidRDefault="00504398" w:rsidP="00D56EDF">
            <w:pPr>
              <w:spacing w:after="0" w:line="240" w:lineRule="auto"/>
              <w:rPr>
                <w:rFonts w:ascii="Times New Roman" w:eastAsia="Times New Roman" w:hAnsi="Times New Roman" w:cs="Times New Roman"/>
                <w:b/>
                <w:bCs/>
                <w:sz w:val="20"/>
                <w:szCs w:val="20"/>
              </w:rPr>
            </w:pPr>
            <w:r w:rsidRPr="00357752">
              <w:rPr>
                <w:rFonts w:ascii="Times New Roman" w:eastAsia="Times New Roman" w:hAnsi="Times New Roman" w:cs="Times New Roman"/>
                <w:b/>
                <w:bCs/>
                <w:sz w:val="20"/>
                <w:szCs w:val="20"/>
              </w:rPr>
              <w:t>Total</w:t>
            </w:r>
          </w:p>
        </w:tc>
        <w:tc>
          <w:tcPr>
            <w:tcW w:w="821" w:type="pct"/>
            <w:tcBorders>
              <w:top w:val="nil"/>
              <w:left w:val="nil"/>
              <w:bottom w:val="double" w:sz="6"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-0.26</w:t>
            </w:r>
          </w:p>
        </w:tc>
        <w:tc>
          <w:tcPr>
            <w:tcW w:w="1206" w:type="pct"/>
            <w:tcBorders>
              <w:top w:val="nil"/>
              <w:left w:val="nil"/>
              <w:bottom w:val="double" w:sz="6"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-0.08</w:t>
            </w:r>
          </w:p>
        </w:tc>
        <w:tc>
          <w:tcPr>
            <w:tcW w:w="1215" w:type="pct"/>
            <w:tcBorders>
              <w:top w:val="nil"/>
              <w:left w:val="nil"/>
              <w:bottom w:val="double" w:sz="6"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-0.09</w:t>
            </w:r>
          </w:p>
        </w:tc>
        <w:tc>
          <w:tcPr>
            <w:tcW w:w="765" w:type="pct"/>
            <w:tcBorders>
              <w:top w:val="nil"/>
              <w:left w:val="nil"/>
              <w:bottom w:val="double" w:sz="6" w:space="0" w:color="000000"/>
              <w:right w:val="nil"/>
            </w:tcBorders>
            <w:shd w:val="clear" w:color="auto" w:fill="auto"/>
            <w:noWrap/>
            <w:vAlign w:val="center"/>
            <w:hideMark/>
          </w:tcPr>
          <w:p w:rsidR="00504398" w:rsidRPr="00357752" w:rsidRDefault="00504398" w:rsidP="00007300">
            <w:pPr>
              <w:spacing w:after="0" w:line="240" w:lineRule="auto"/>
              <w:jc w:val="center"/>
              <w:rPr>
                <w:rFonts w:ascii="Times New Roman" w:eastAsia="Times New Roman" w:hAnsi="Times New Roman" w:cs="Times New Roman"/>
                <w:sz w:val="20"/>
                <w:szCs w:val="20"/>
              </w:rPr>
            </w:pPr>
            <w:r w:rsidRPr="00357752">
              <w:rPr>
                <w:rFonts w:ascii="Times New Roman" w:eastAsia="Times New Roman" w:hAnsi="Times New Roman" w:cs="Times New Roman"/>
                <w:sz w:val="20"/>
                <w:szCs w:val="20"/>
              </w:rPr>
              <w:t>-0.43</w:t>
            </w:r>
          </w:p>
        </w:tc>
      </w:tr>
    </w:tbl>
    <w:p w:rsidR="00504398" w:rsidRPr="00CB6774" w:rsidRDefault="00504398" w:rsidP="003F3439">
      <w:pPr>
        <w:pStyle w:val="Caption"/>
        <w:spacing w:before="0" w:after="0"/>
        <w:jc w:val="left"/>
        <w:rPr>
          <w:b w:val="0"/>
          <w:sz w:val="18"/>
        </w:rPr>
      </w:pPr>
      <w:r w:rsidRPr="00CB6774">
        <w:rPr>
          <w:b w:val="0"/>
          <w:i/>
          <w:sz w:val="18"/>
        </w:rPr>
        <w:t>Source:</w:t>
      </w:r>
      <w:r w:rsidRPr="00CB6774">
        <w:rPr>
          <w:b w:val="0"/>
          <w:sz w:val="18"/>
        </w:rPr>
        <w:t xml:space="preserve"> World Bank calculation based on the EDAM 3.</w:t>
      </w:r>
    </w:p>
    <w:p w:rsidR="00CB6774" w:rsidRPr="00CB6774" w:rsidRDefault="00CB6774" w:rsidP="00CB6774">
      <w:pPr>
        <w:widowControl w:val="0"/>
        <w:autoSpaceDE w:val="0"/>
        <w:autoSpaceDN w:val="0"/>
        <w:adjustRightInd w:val="0"/>
        <w:spacing w:after="0" w:line="240" w:lineRule="auto"/>
        <w:jc w:val="both"/>
        <w:rPr>
          <w:rFonts w:ascii="Times New Roman" w:hAnsi="Times New Roman"/>
          <w:b/>
        </w:rPr>
      </w:pPr>
    </w:p>
    <w:p w:rsidR="00504398" w:rsidRPr="00CB6774"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b/>
        </w:rPr>
      </w:pPr>
      <w:r w:rsidRPr="00CB6774">
        <w:rPr>
          <w:rFonts w:ascii="Times New Roman" w:hAnsi="Times New Roman" w:cs="Times New Roman"/>
          <w:bCs/>
        </w:rPr>
        <w:t>The impact of the reform on government budget would result in a gain, the highest coming from fuel bought directly at the pump</w:t>
      </w:r>
      <w:r w:rsidRPr="00CB6774">
        <w:rPr>
          <w:rFonts w:ascii="Times New Roman" w:hAnsi="Times New Roman" w:cs="Times New Roman"/>
        </w:rPr>
        <w:t xml:space="preserve">. </w:t>
      </w:r>
      <w:r w:rsidR="00CB6774" w:rsidRPr="00CB6774">
        <w:rPr>
          <w:rFonts w:ascii="Times New Roman" w:hAnsi="Times New Roman" w:cs="Times New Roman"/>
        </w:rPr>
        <w:fldChar w:fldCharType="begin"/>
      </w:r>
      <w:r w:rsidR="00CB6774" w:rsidRPr="00CB6774">
        <w:rPr>
          <w:rFonts w:ascii="Times New Roman" w:hAnsi="Times New Roman" w:cs="Times New Roman"/>
        </w:rPr>
        <w:instrText xml:space="preserve"> REF _Ref411954145 \h </w:instrText>
      </w:r>
      <w:r w:rsidR="00CB6774">
        <w:rPr>
          <w:rFonts w:ascii="Times New Roman" w:hAnsi="Times New Roman" w:cs="Times New Roman"/>
        </w:rPr>
        <w:instrText xml:space="preserve"> \* MERGEFORMAT </w:instrText>
      </w:r>
      <w:r w:rsidR="00CB6774" w:rsidRPr="00CB6774">
        <w:rPr>
          <w:rFonts w:ascii="Times New Roman" w:hAnsi="Times New Roman" w:cs="Times New Roman"/>
        </w:rPr>
      </w:r>
      <w:r w:rsidR="00CB6774" w:rsidRPr="00CB6774">
        <w:rPr>
          <w:rFonts w:ascii="Times New Roman" w:hAnsi="Times New Roman" w:cs="Times New Roman"/>
        </w:rPr>
        <w:fldChar w:fldCharType="separate"/>
      </w:r>
      <w:r w:rsidR="00CB6774" w:rsidRPr="00CB6774">
        <w:rPr>
          <w:rFonts w:ascii="Times New Roman" w:hAnsi="Times New Roman" w:cs="Times New Roman"/>
        </w:rPr>
        <w:t xml:space="preserve">Table </w:t>
      </w:r>
      <w:r w:rsidR="00CB6774" w:rsidRPr="00CB6774">
        <w:rPr>
          <w:rFonts w:ascii="Times New Roman" w:hAnsi="Times New Roman" w:cs="Times New Roman"/>
          <w:noProof/>
        </w:rPr>
        <w:t>9</w:t>
      </w:r>
      <w:r w:rsidR="00CB6774" w:rsidRPr="00CB6774">
        <w:rPr>
          <w:rFonts w:ascii="Times New Roman" w:hAnsi="Times New Roman" w:cs="Times New Roman"/>
        </w:rPr>
        <w:fldChar w:fldCharType="end"/>
      </w:r>
      <w:r w:rsidR="00CB6774" w:rsidRPr="00CB6774">
        <w:rPr>
          <w:rFonts w:ascii="Times New Roman" w:hAnsi="Times New Roman" w:cs="Times New Roman"/>
        </w:rPr>
        <w:t xml:space="preserve"> </w:t>
      </w:r>
      <w:r w:rsidRPr="00CB6774">
        <w:rPr>
          <w:rFonts w:ascii="Times New Roman" w:hAnsi="Times New Roman" w:cs="Times New Roman"/>
        </w:rPr>
        <w:t xml:space="preserve">shows the impact of the reform on government budget </w:t>
      </w:r>
      <w:r w:rsidRPr="00200909">
        <w:rPr>
          <w:rFonts w:ascii="Times New Roman" w:hAnsi="Times New Roman" w:cs="Times New Roman"/>
        </w:rPr>
        <w:t>from the different subsidized products</w:t>
      </w:r>
      <w:r w:rsidRPr="00CB6774">
        <w:rPr>
          <w:rFonts w:ascii="Times New Roman" w:hAnsi="Times New Roman" w:cs="Times New Roman"/>
        </w:rPr>
        <w:t xml:space="preserve">. The impact of the reform on government budget would result in a total gain of DF 408.6 million (or 0.16 percent of GDP). </w:t>
      </w:r>
      <w:r w:rsidR="00D92EC4">
        <w:rPr>
          <w:rFonts w:ascii="Times New Roman" w:hAnsi="Times New Roman" w:cs="Times New Roman"/>
        </w:rPr>
        <w:t>Sixty</w:t>
      </w:r>
      <w:r w:rsidR="00D92EC4" w:rsidRPr="00CB6774">
        <w:rPr>
          <w:rFonts w:ascii="Times New Roman" w:hAnsi="Times New Roman" w:cs="Times New Roman"/>
        </w:rPr>
        <w:t xml:space="preserve"> </w:t>
      </w:r>
      <w:r w:rsidRPr="00CB6774">
        <w:rPr>
          <w:rFonts w:ascii="Times New Roman" w:hAnsi="Times New Roman" w:cs="Times New Roman"/>
        </w:rPr>
        <w:t xml:space="preserve">percent of that gain would come from fuel sold at the pump (96 percent of the gain from fuel will originate from the richest households) and the remaining 40 percent from public transport. </w:t>
      </w:r>
      <w:r w:rsidRPr="00200909">
        <w:rPr>
          <w:rFonts w:ascii="Times New Roman" w:hAnsi="Times New Roman" w:cs="Times New Roman"/>
        </w:rPr>
        <w:t>It should be noted</w:t>
      </w:r>
      <w:r w:rsidRPr="00CB6774">
        <w:rPr>
          <w:rFonts w:ascii="Times New Roman" w:hAnsi="Times New Roman" w:cs="Times New Roman"/>
        </w:rPr>
        <w:t xml:space="preserve"> that since we assume a price elasticity of 0.2, the amount gained by the government is less than the loss incurred by the different households.</w:t>
      </w:r>
    </w:p>
    <w:p w:rsidR="00CB6774" w:rsidRDefault="00CB6774" w:rsidP="00CB6774">
      <w:pPr>
        <w:pStyle w:val="Caption"/>
      </w:pPr>
      <w:bookmarkStart w:id="35" w:name="_Ref411954145"/>
      <w:bookmarkStart w:id="36" w:name="_Toc412105840"/>
      <w:r>
        <w:t xml:space="preserve">Table </w:t>
      </w:r>
      <w:fldSimple w:instr=" SEQ Table \* ARABIC ">
        <w:r w:rsidR="001000E9">
          <w:rPr>
            <w:noProof/>
          </w:rPr>
          <w:t>9</w:t>
        </w:r>
      </w:fldSimple>
      <w:bookmarkEnd w:id="35"/>
      <w:r>
        <w:t xml:space="preserve">: </w:t>
      </w:r>
      <w:r w:rsidRPr="005D1C15">
        <w:t xml:space="preserve">The Impact of the Reform on the Government Revenue (in </w:t>
      </w:r>
      <w:r w:rsidR="001811EE">
        <w:t>DF</w:t>
      </w:r>
      <w:r w:rsidR="00E34652">
        <w:t>,</w:t>
      </w:r>
      <w:r w:rsidR="001811EE">
        <w:t xml:space="preserve"> </w:t>
      </w:r>
      <w:r w:rsidRPr="005D1C15">
        <w:t>million</w:t>
      </w:r>
      <w:r w:rsidR="00560747">
        <w:t>s</w:t>
      </w:r>
      <w:r w:rsidRPr="005D1C15">
        <w:t>)</w:t>
      </w:r>
      <w:bookmarkEnd w:id="36"/>
    </w:p>
    <w:tbl>
      <w:tblPr>
        <w:tblW w:w="4925" w:type="pct"/>
        <w:tblLook w:val="04A0" w:firstRow="1" w:lastRow="0" w:firstColumn="1" w:lastColumn="0" w:noHBand="0" w:noVBand="1"/>
      </w:tblPr>
      <w:tblGrid>
        <w:gridCol w:w="1937"/>
        <w:gridCol w:w="1495"/>
        <w:gridCol w:w="2198"/>
        <w:gridCol w:w="2172"/>
        <w:gridCol w:w="1418"/>
      </w:tblGrid>
      <w:tr w:rsidR="00504398" w:rsidRPr="00CB6774" w:rsidTr="007A3FA3">
        <w:trPr>
          <w:trHeight w:val="465"/>
        </w:trPr>
        <w:tc>
          <w:tcPr>
            <w:tcW w:w="1050" w:type="pct"/>
            <w:tcBorders>
              <w:top w:val="double" w:sz="6" w:space="0" w:color="000000"/>
              <w:left w:val="nil"/>
              <w:bottom w:val="single" w:sz="4" w:space="0" w:color="000000"/>
              <w:right w:val="nil"/>
            </w:tcBorders>
            <w:shd w:val="clear" w:color="auto" w:fill="auto"/>
            <w:vAlign w:val="center"/>
            <w:hideMark/>
          </w:tcPr>
          <w:p w:rsidR="00504398" w:rsidRPr="00CB6774" w:rsidRDefault="00504398" w:rsidP="00D56EDF">
            <w:pPr>
              <w:spacing w:after="0" w:line="240" w:lineRule="auto"/>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 </w:t>
            </w:r>
          </w:p>
        </w:tc>
        <w:tc>
          <w:tcPr>
            <w:tcW w:w="811" w:type="pct"/>
            <w:tcBorders>
              <w:top w:val="double" w:sz="6" w:space="0" w:color="000000"/>
              <w:left w:val="nil"/>
              <w:bottom w:val="single" w:sz="4" w:space="0" w:color="000000"/>
              <w:right w:val="nil"/>
            </w:tcBorders>
            <w:shd w:val="clear" w:color="auto" w:fill="auto"/>
            <w:vAlign w:val="center"/>
            <w:hideMark/>
          </w:tcPr>
          <w:p w:rsidR="00504398" w:rsidRPr="00CB6774" w:rsidRDefault="00504398" w:rsidP="001811EE">
            <w:pPr>
              <w:spacing w:after="0" w:line="240" w:lineRule="auto"/>
              <w:jc w:val="center"/>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Fuel</w:t>
            </w:r>
          </w:p>
        </w:tc>
        <w:tc>
          <w:tcPr>
            <w:tcW w:w="1192" w:type="pct"/>
            <w:tcBorders>
              <w:top w:val="double" w:sz="6" w:space="0" w:color="000000"/>
              <w:left w:val="nil"/>
              <w:bottom w:val="single" w:sz="4" w:space="0" w:color="000000"/>
              <w:right w:val="nil"/>
            </w:tcBorders>
            <w:shd w:val="clear" w:color="auto" w:fill="auto"/>
            <w:vAlign w:val="center"/>
            <w:hideMark/>
          </w:tcPr>
          <w:p w:rsidR="00504398" w:rsidRPr="00CB6774" w:rsidRDefault="00504398" w:rsidP="001811EE">
            <w:pPr>
              <w:spacing w:after="0" w:line="240" w:lineRule="auto"/>
              <w:jc w:val="center"/>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Public Transport</w:t>
            </w:r>
          </w:p>
        </w:tc>
        <w:tc>
          <w:tcPr>
            <w:tcW w:w="1178" w:type="pct"/>
            <w:tcBorders>
              <w:top w:val="double" w:sz="6" w:space="0" w:color="000000"/>
              <w:left w:val="nil"/>
              <w:bottom w:val="single" w:sz="4" w:space="0" w:color="000000"/>
              <w:right w:val="nil"/>
            </w:tcBorders>
            <w:shd w:val="clear" w:color="auto" w:fill="auto"/>
            <w:vAlign w:val="center"/>
            <w:hideMark/>
          </w:tcPr>
          <w:p w:rsidR="00504398" w:rsidRPr="00CB6774" w:rsidRDefault="00504398" w:rsidP="001811EE">
            <w:pPr>
              <w:spacing w:after="0" w:line="240" w:lineRule="auto"/>
              <w:jc w:val="center"/>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School Transport</w:t>
            </w:r>
          </w:p>
        </w:tc>
        <w:tc>
          <w:tcPr>
            <w:tcW w:w="769" w:type="pct"/>
            <w:tcBorders>
              <w:top w:val="double" w:sz="6" w:space="0" w:color="000000"/>
              <w:left w:val="nil"/>
              <w:bottom w:val="single" w:sz="4" w:space="0" w:color="000000"/>
              <w:right w:val="nil"/>
            </w:tcBorders>
            <w:shd w:val="clear" w:color="auto" w:fill="auto"/>
            <w:vAlign w:val="center"/>
            <w:hideMark/>
          </w:tcPr>
          <w:p w:rsidR="00504398" w:rsidRPr="00CB6774" w:rsidRDefault="00504398" w:rsidP="001811EE">
            <w:pPr>
              <w:spacing w:after="0" w:line="240" w:lineRule="auto"/>
              <w:jc w:val="center"/>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Total</w:t>
            </w:r>
          </w:p>
        </w:tc>
      </w:tr>
      <w:tr w:rsidR="00504398" w:rsidRPr="00CB6774" w:rsidTr="007A3FA3">
        <w:trPr>
          <w:trHeight w:val="300"/>
        </w:trPr>
        <w:tc>
          <w:tcPr>
            <w:tcW w:w="1050" w:type="pct"/>
            <w:tcBorders>
              <w:top w:val="nil"/>
              <w:left w:val="nil"/>
              <w:bottom w:val="nil"/>
              <w:right w:val="nil"/>
            </w:tcBorders>
            <w:shd w:val="clear" w:color="auto" w:fill="auto"/>
            <w:vAlign w:val="center"/>
            <w:hideMark/>
          </w:tcPr>
          <w:p w:rsidR="00504398" w:rsidRPr="00CB6774" w:rsidRDefault="00504398" w:rsidP="00D56EDF">
            <w:pPr>
              <w:spacing w:after="0" w:line="240" w:lineRule="auto"/>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Poorest</w:t>
            </w:r>
          </w:p>
        </w:tc>
        <w:tc>
          <w:tcPr>
            <w:tcW w:w="811"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0.0</w:t>
            </w:r>
          </w:p>
        </w:tc>
        <w:tc>
          <w:tcPr>
            <w:tcW w:w="1192"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1.2</w:t>
            </w:r>
          </w:p>
        </w:tc>
        <w:tc>
          <w:tcPr>
            <w:tcW w:w="1178"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1.3</w:t>
            </w:r>
          </w:p>
        </w:tc>
        <w:tc>
          <w:tcPr>
            <w:tcW w:w="769"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2.5</w:t>
            </w:r>
          </w:p>
        </w:tc>
      </w:tr>
      <w:tr w:rsidR="00504398" w:rsidRPr="00CB6774" w:rsidTr="007A3FA3">
        <w:trPr>
          <w:trHeight w:val="300"/>
        </w:trPr>
        <w:tc>
          <w:tcPr>
            <w:tcW w:w="1050" w:type="pct"/>
            <w:tcBorders>
              <w:top w:val="nil"/>
              <w:left w:val="nil"/>
              <w:bottom w:val="nil"/>
              <w:right w:val="nil"/>
            </w:tcBorders>
            <w:shd w:val="clear" w:color="auto" w:fill="auto"/>
            <w:vAlign w:val="center"/>
            <w:hideMark/>
          </w:tcPr>
          <w:p w:rsidR="00504398" w:rsidRPr="00CB6774" w:rsidRDefault="00504398" w:rsidP="00D56EDF">
            <w:pPr>
              <w:spacing w:after="0" w:line="240" w:lineRule="auto"/>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Second</w:t>
            </w:r>
          </w:p>
        </w:tc>
        <w:tc>
          <w:tcPr>
            <w:tcW w:w="811"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0.8</w:t>
            </w:r>
          </w:p>
        </w:tc>
        <w:tc>
          <w:tcPr>
            <w:tcW w:w="1192"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6.5</w:t>
            </w:r>
          </w:p>
        </w:tc>
        <w:tc>
          <w:tcPr>
            <w:tcW w:w="1178"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6.5</w:t>
            </w:r>
          </w:p>
        </w:tc>
        <w:tc>
          <w:tcPr>
            <w:tcW w:w="769"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13.8</w:t>
            </w:r>
          </w:p>
        </w:tc>
      </w:tr>
      <w:tr w:rsidR="00504398" w:rsidRPr="00CB6774" w:rsidTr="007A3FA3">
        <w:trPr>
          <w:trHeight w:val="300"/>
        </w:trPr>
        <w:tc>
          <w:tcPr>
            <w:tcW w:w="1050" w:type="pct"/>
            <w:tcBorders>
              <w:top w:val="nil"/>
              <w:left w:val="nil"/>
              <w:bottom w:val="nil"/>
              <w:right w:val="nil"/>
            </w:tcBorders>
            <w:shd w:val="clear" w:color="auto" w:fill="auto"/>
            <w:vAlign w:val="center"/>
            <w:hideMark/>
          </w:tcPr>
          <w:p w:rsidR="00504398" w:rsidRPr="00CB6774" w:rsidRDefault="00504398" w:rsidP="00D56EDF">
            <w:pPr>
              <w:spacing w:after="0" w:line="240" w:lineRule="auto"/>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Third</w:t>
            </w:r>
          </w:p>
        </w:tc>
        <w:tc>
          <w:tcPr>
            <w:tcW w:w="811"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1.1</w:t>
            </w:r>
          </w:p>
        </w:tc>
        <w:tc>
          <w:tcPr>
            <w:tcW w:w="1192"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13.0</w:t>
            </w:r>
          </w:p>
        </w:tc>
        <w:tc>
          <w:tcPr>
            <w:tcW w:w="1178"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16.3</w:t>
            </w:r>
          </w:p>
        </w:tc>
        <w:tc>
          <w:tcPr>
            <w:tcW w:w="769"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30.4</w:t>
            </w:r>
          </w:p>
        </w:tc>
      </w:tr>
      <w:tr w:rsidR="00504398" w:rsidRPr="00CB6774" w:rsidTr="007A3FA3">
        <w:trPr>
          <w:trHeight w:val="300"/>
        </w:trPr>
        <w:tc>
          <w:tcPr>
            <w:tcW w:w="1050" w:type="pct"/>
            <w:tcBorders>
              <w:top w:val="nil"/>
              <w:left w:val="nil"/>
              <w:bottom w:val="nil"/>
              <w:right w:val="nil"/>
            </w:tcBorders>
            <w:shd w:val="clear" w:color="auto" w:fill="auto"/>
            <w:vAlign w:val="center"/>
            <w:hideMark/>
          </w:tcPr>
          <w:p w:rsidR="00504398" w:rsidRPr="00CB6774" w:rsidRDefault="00504398" w:rsidP="00D56EDF">
            <w:pPr>
              <w:spacing w:after="0" w:line="240" w:lineRule="auto"/>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Fourth</w:t>
            </w:r>
          </w:p>
        </w:tc>
        <w:tc>
          <w:tcPr>
            <w:tcW w:w="811"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7.8</w:t>
            </w:r>
          </w:p>
        </w:tc>
        <w:tc>
          <w:tcPr>
            <w:tcW w:w="1192"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21.4</w:t>
            </w:r>
          </w:p>
        </w:tc>
        <w:tc>
          <w:tcPr>
            <w:tcW w:w="1178"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26.4</w:t>
            </w:r>
          </w:p>
        </w:tc>
        <w:tc>
          <w:tcPr>
            <w:tcW w:w="769" w:type="pct"/>
            <w:tcBorders>
              <w:top w:val="nil"/>
              <w:left w:val="nil"/>
              <w:bottom w:val="nil"/>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55.6</w:t>
            </w:r>
          </w:p>
        </w:tc>
      </w:tr>
      <w:tr w:rsidR="00504398" w:rsidRPr="00CB6774" w:rsidTr="007A3FA3">
        <w:trPr>
          <w:trHeight w:val="300"/>
        </w:trPr>
        <w:tc>
          <w:tcPr>
            <w:tcW w:w="1050" w:type="pct"/>
            <w:tcBorders>
              <w:top w:val="nil"/>
              <w:left w:val="nil"/>
              <w:bottom w:val="single" w:sz="4" w:space="0" w:color="000000"/>
              <w:right w:val="nil"/>
            </w:tcBorders>
            <w:shd w:val="clear" w:color="auto" w:fill="auto"/>
            <w:vAlign w:val="center"/>
            <w:hideMark/>
          </w:tcPr>
          <w:p w:rsidR="00504398" w:rsidRPr="00CB6774" w:rsidRDefault="00504398" w:rsidP="00D56EDF">
            <w:pPr>
              <w:spacing w:after="0" w:line="240" w:lineRule="auto"/>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Richest</w:t>
            </w:r>
          </w:p>
        </w:tc>
        <w:tc>
          <w:tcPr>
            <w:tcW w:w="811" w:type="pct"/>
            <w:tcBorders>
              <w:top w:val="nil"/>
              <w:left w:val="nil"/>
              <w:bottom w:val="single" w:sz="4" w:space="0" w:color="000000"/>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234.1</w:t>
            </w:r>
          </w:p>
        </w:tc>
        <w:tc>
          <w:tcPr>
            <w:tcW w:w="1192" w:type="pct"/>
            <w:tcBorders>
              <w:top w:val="nil"/>
              <w:left w:val="nil"/>
              <w:bottom w:val="single" w:sz="4" w:space="0" w:color="000000"/>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35.7</w:t>
            </w:r>
          </w:p>
        </w:tc>
        <w:tc>
          <w:tcPr>
            <w:tcW w:w="1178" w:type="pct"/>
            <w:tcBorders>
              <w:top w:val="nil"/>
              <w:left w:val="nil"/>
              <w:bottom w:val="single" w:sz="4" w:space="0" w:color="000000"/>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36.5</w:t>
            </w:r>
          </w:p>
        </w:tc>
        <w:tc>
          <w:tcPr>
            <w:tcW w:w="769" w:type="pct"/>
            <w:tcBorders>
              <w:top w:val="nil"/>
              <w:left w:val="nil"/>
              <w:bottom w:val="single" w:sz="4" w:space="0" w:color="000000"/>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306.3</w:t>
            </w:r>
          </w:p>
        </w:tc>
      </w:tr>
      <w:tr w:rsidR="00504398" w:rsidRPr="00CB6774" w:rsidTr="007A3FA3">
        <w:trPr>
          <w:trHeight w:val="315"/>
        </w:trPr>
        <w:tc>
          <w:tcPr>
            <w:tcW w:w="1050" w:type="pct"/>
            <w:tcBorders>
              <w:top w:val="nil"/>
              <w:left w:val="nil"/>
              <w:bottom w:val="double" w:sz="6" w:space="0" w:color="000000"/>
              <w:right w:val="nil"/>
            </w:tcBorders>
            <w:shd w:val="clear" w:color="auto" w:fill="auto"/>
            <w:vAlign w:val="center"/>
            <w:hideMark/>
          </w:tcPr>
          <w:p w:rsidR="00504398" w:rsidRPr="00CB6774" w:rsidRDefault="00504398" w:rsidP="00D56EDF">
            <w:pPr>
              <w:spacing w:after="0" w:line="240" w:lineRule="auto"/>
              <w:rPr>
                <w:rFonts w:ascii="Times New Roman" w:eastAsia="Times New Roman" w:hAnsi="Times New Roman" w:cs="Times New Roman"/>
                <w:b/>
                <w:bCs/>
                <w:sz w:val="20"/>
                <w:szCs w:val="20"/>
              </w:rPr>
            </w:pPr>
            <w:r w:rsidRPr="00CB6774">
              <w:rPr>
                <w:rFonts w:ascii="Times New Roman" w:eastAsia="Times New Roman" w:hAnsi="Times New Roman" w:cs="Times New Roman"/>
                <w:b/>
                <w:bCs/>
                <w:sz w:val="20"/>
                <w:szCs w:val="20"/>
              </w:rPr>
              <w:t>Total</w:t>
            </w:r>
          </w:p>
        </w:tc>
        <w:tc>
          <w:tcPr>
            <w:tcW w:w="811" w:type="pct"/>
            <w:tcBorders>
              <w:top w:val="nil"/>
              <w:left w:val="nil"/>
              <w:bottom w:val="double" w:sz="6" w:space="0" w:color="000000"/>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243.8</w:t>
            </w:r>
          </w:p>
        </w:tc>
        <w:tc>
          <w:tcPr>
            <w:tcW w:w="1192" w:type="pct"/>
            <w:tcBorders>
              <w:top w:val="nil"/>
              <w:left w:val="nil"/>
              <w:bottom w:val="double" w:sz="6" w:space="0" w:color="000000"/>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77.8</w:t>
            </w:r>
          </w:p>
        </w:tc>
        <w:tc>
          <w:tcPr>
            <w:tcW w:w="1178" w:type="pct"/>
            <w:tcBorders>
              <w:top w:val="nil"/>
              <w:left w:val="nil"/>
              <w:bottom w:val="double" w:sz="6" w:space="0" w:color="000000"/>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87.0</w:t>
            </w:r>
          </w:p>
        </w:tc>
        <w:tc>
          <w:tcPr>
            <w:tcW w:w="769" w:type="pct"/>
            <w:tcBorders>
              <w:top w:val="nil"/>
              <w:left w:val="nil"/>
              <w:bottom w:val="double" w:sz="6" w:space="0" w:color="000000"/>
              <w:right w:val="nil"/>
            </w:tcBorders>
            <w:shd w:val="clear" w:color="auto" w:fill="auto"/>
            <w:noWrap/>
            <w:vAlign w:val="center"/>
            <w:hideMark/>
          </w:tcPr>
          <w:p w:rsidR="00504398" w:rsidRPr="00CB6774" w:rsidRDefault="00504398" w:rsidP="001811EE">
            <w:pPr>
              <w:spacing w:after="0" w:line="240" w:lineRule="auto"/>
              <w:jc w:val="center"/>
              <w:rPr>
                <w:rFonts w:ascii="Times New Roman" w:eastAsia="Times New Roman" w:hAnsi="Times New Roman" w:cs="Times New Roman"/>
                <w:sz w:val="20"/>
                <w:szCs w:val="20"/>
              </w:rPr>
            </w:pPr>
            <w:r w:rsidRPr="00CB6774">
              <w:rPr>
                <w:rFonts w:ascii="Times New Roman" w:eastAsia="Times New Roman" w:hAnsi="Times New Roman" w:cs="Times New Roman"/>
                <w:sz w:val="20"/>
                <w:szCs w:val="20"/>
              </w:rPr>
              <w:t>408.6</w:t>
            </w:r>
          </w:p>
        </w:tc>
      </w:tr>
    </w:tbl>
    <w:p w:rsidR="00504398" w:rsidRPr="00CB6774" w:rsidRDefault="00504398" w:rsidP="003F3439">
      <w:pPr>
        <w:pStyle w:val="Caption"/>
        <w:spacing w:before="0" w:after="0"/>
        <w:jc w:val="left"/>
        <w:rPr>
          <w:b w:val="0"/>
          <w:sz w:val="18"/>
          <w:szCs w:val="18"/>
        </w:rPr>
      </w:pPr>
      <w:r w:rsidRPr="00CB6774">
        <w:rPr>
          <w:b w:val="0"/>
          <w:i/>
          <w:sz w:val="18"/>
          <w:szCs w:val="18"/>
        </w:rPr>
        <w:t>Source:</w:t>
      </w:r>
      <w:r w:rsidRPr="00CB6774">
        <w:rPr>
          <w:b w:val="0"/>
          <w:sz w:val="18"/>
          <w:szCs w:val="18"/>
        </w:rPr>
        <w:t xml:space="preserve"> World Bank calculation based on the EDAM 3 (2014 prices).</w:t>
      </w:r>
    </w:p>
    <w:p w:rsidR="00504398" w:rsidRPr="007B41E9" w:rsidRDefault="00504398" w:rsidP="00504398">
      <w:pPr>
        <w:widowControl w:val="0"/>
        <w:autoSpaceDE w:val="0"/>
        <w:autoSpaceDN w:val="0"/>
        <w:adjustRightInd w:val="0"/>
        <w:spacing w:after="0" w:line="240" w:lineRule="auto"/>
        <w:jc w:val="both"/>
        <w:rPr>
          <w:rFonts w:ascii="Times New Roman" w:hAnsi="Times New Roman"/>
          <w:b/>
        </w:rPr>
      </w:pPr>
    </w:p>
    <w:p w:rsidR="00504398" w:rsidRPr="006E088E"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6E088E">
        <w:rPr>
          <w:rFonts w:ascii="Times New Roman" w:hAnsi="Times New Roman"/>
          <w:bCs/>
        </w:rPr>
        <w:t>As the poor spend most of their income on food-related products, the elimination of tax exemptions on fuel products would reduce inequality but with no apparent impact on poverty.</w:t>
      </w:r>
      <w:r w:rsidRPr="00FA34C2">
        <w:rPr>
          <w:rFonts w:ascii="Times New Roman" w:hAnsi="Times New Roman"/>
          <w:b/>
          <w:bCs/>
        </w:rPr>
        <w:t xml:space="preserve"> </w:t>
      </w:r>
      <w:r w:rsidRPr="00FA34C2">
        <w:rPr>
          <w:rFonts w:ascii="Times New Roman" w:hAnsi="Times New Roman"/>
        </w:rPr>
        <w:t xml:space="preserve">The elimination of tax exemptions on fuel would not affect the poorest </w:t>
      </w:r>
      <w:r>
        <w:rPr>
          <w:rFonts w:ascii="Times New Roman" w:hAnsi="Times New Roman"/>
        </w:rPr>
        <w:t>because</w:t>
      </w:r>
      <w:r w:rsidRPr="006E088E">
        <w:rPr>
          <w:rFonts w:ascii="Times New Roman" w:hAnsi="Times New Roman"/>
        </w:rPr>
        <w:t xml:space="preserve"> </w:t>
      </w:r>
      <w:r w:rsidRPr="00FA34C2">
        <w:rPr>
          <w:rFonts w:ascii="Times New Roman" w:hAnsi="Times New Roman"/>
        </w:rPr>
        <w:t>the consumption of this product is negligible among the poor</w:t>
      </w:r>
      <w:r>
        <w:rPr>
          <w:rFonts w:ascii="Times New Roman" w:hAnsi="Times New Roman"/>
        </w:rPr>
        <w:t xml:space="preserve">. On the other hand, the consumption of this product is </w:t>
      </w:r>
      <w:r w:rsidRPr="00FA34C2">
        <w:rPr>
          <w:rFonts w:ascii="Times New Roman" w:hAnsi="Times New Roman"/>
        </w:rPr>
        <w:t xml:space="preserve">one of the highest </w:t>
      </w:r>
      <w:r w:rsidR="001811EE" w:rsidRPr="00FA34C2">
        <w:rPr>
          <w:rFonts w:ascii="Times New Roman" w:hAnsi="Times New Roman"/>
        </w:rPr>
        <w:t>among the subsidized products</w:t>
      </w:r>
      <w:r w:rsidR="001811EE" w:rsidRPr="00FA34C2" w:rsidDel="001811EE">
        <w:rPr>
          <w:rFonts w:ascii="Times New Roman" w:hAnsi="Times New Roman"/>
        </w:rPr>
        <w:t xml:space="preserve"> </w:t>
      </w:r>
      <w:r w:rsidR="001811EE">
        <w:rPr>
          <w:rFonts w:ascii="Times New Roman" w:hAnsi="Times New Roman"/>
        </w:rPr>
        <w:t>in</w:t>
      </w:r>
      <w:r w:rsidRPr="00FA34C2">
        <w:rPr>
          <w:rFonts w:ascii="Times New Roman" w:hAnsi="Times New Roman"/>
        </w:rPr>
        <w:t xml:space="preserve"> rich households</w:t>
      </w:r>
      <w:r>
        <w:rPr>
          <w:rFonts w:ascii="Times New Roman" w:hAnsi="Times New Roman"/>
        </w:rPr>
        <w:t xml:space="preserve">, and an elimination of tax exemption would result in a reduction </w:t>
      </w:r>
      <w:r w:rsidR="001811EE">
        <w:rPr>
          <w:rFonts w:ascii="Times New Roman" w:hAnsi="Times New Roman"/>
        </w:rPr>
        <w:t xml:space="preserve">in </w:t>
      </w:r>
      <w:r w:rsidRPr="00FA34C2">
        <w:rPr>
          <w:rFonts w:ascii="Times New Roman" w:hAnsi="Times New Roman"/>
        </w:rPr>
        <w:t>inequality by 0.12 percentage points</w:t>
      </w:r>
      <w:r>
        <w:rPr>
          <w:rFonts w:ascii="Times New Roman" w:hAnsi="Times New Roman"/>
        </w:rPr>
        <w:t>.</w:t>
      </w:r>
    </w:p>
    <w:p w:rsidR="00504398" w:rsidRPr="006E088E" w:rsidRDefault="0073442C"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Pr>
          <w:rFonts w:ascii="Times New Roman" w:hAnsi="Times New Roman"/>
        </w:rPr>
        <w:t>R</w:t>
      </w:r>
      <w:r w:rsidR="00504398">
        <w:rPr>
          <w:rFonts w:ascii="Times New Roman" w:hAnsi="Times New Roman"/>
        </w:rPr>
        <w:t xml:space="preserve">esults </w:t>
      </w:r>
      <w:r>
        <w:rPr>
          <w:rFonts w:ascii="Times New Roman" w:hAnsi="Times New Roman"/>
        </w:rPr>
        <w:t xml:space="preserve">of the PSIA </w:t>
      </w:r>
      <w:r w:rsidR="00504398">
        <w:rPr>
          <w:rFonts w:ascii="Times New Roman" w:hAnsi="Times New Roman"/>
        </w:rPr>
        <w:t>show that an elimination of tax exemption on fuel at the pump offers potential for higher government revenues without impacting poverty. An increase of prices on public transport would increase poverty, but at a lower rate than increases on school transport.</w:t>
      </w:r>
    </w:p>
    <w:p w:rsidR="00504398" w:rsidRDefault="00504398" w:rsidP="008D71E6">
      <w:pPr>
        <w:pStyle w:val="Heading2"/>
        <w:spacing w:after="240"/>
      </w:pPr>
      <w:bookmarkStart w:id="37" w:name="_Toc410901649"/>
      <w:bookmarkStart w:id="38" w:name="_Toc412105858"/>
      <w:r w:rsidRPr="00C12274">
        <w:t>Impact of Introducing Consumer Tax on Basic Food Items</w:t>
      </w:r>
      <w:bookmarkEnd w:id="37"/>
      <w:bookmarkEnd w:id="38"/>
    </w:p>
    <w:p w:rsidR="00504398" w:rsidRPr="00470FC2"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b/>
        </w:rPr>
      </w:pPr>
      <w:r w:rsidRPr="00A82193">
        <w:rPr>
          <w:rFonts w:ascii="Times New Roman" w:hAnsi="Times New Roman"/>
        </w:rPr>
        <w:t>The government is not considering levying consumer tax on basic food items and the simulations below are merely for illustrative purposes.</w:t>
      </w:r>
      <w:r w:rsidRPr="00AF6F4F">
        <w:rPr>
          <w:rFonts w:ascii="Times New Roman" w:hAnsi="Times New Roman"/>
          <w:b/>
        </w:rPr>
        <w:t xml:space="preserve"> </w:t>
      </w:r>
      <w:r>
        <w:rPr>
          <w:rFonts w:ascii="Times New Roman" w:hAnsi="Times New Roman"/>
        </w:rPr>
        <w:t>As mentioned above, a</w:t>
      </w:r>
      <w:r w:rsidRPr="00AF6F4F">
        <w:rPr>
          <w:rFonts w:ascii="Times New Roman" w:hAnsi="Times New Roman"/>
        </w:rPr>
        <w:t xml:space="preserve">mong the basic food items that are tax exempt, only a certain quality/type is exempt (for example, broken rice). For rice, only 6 percent of the </w:t>
      </w:r>
      <w:r w:rsidRPr="00AF6F4F">
        <w:rPr>
          <w:rFonts w:ascii="Times New Roman" w:hAnsi="Times New Roman"/>
        </w:rPr>
        <w:lastRenderedPageBreak/>
        <w:t>imported rice is exempt, but about 88 percent of flour, about 60 percent of sugar and edible oil, and about 50 percent of powdered milk produ</w:t>
      </w:r>
      <w:r>
        <w:rPr>
          <w:rFonts w:ascii="Times New Roman" w:hAnsi="Times New Roman"/>
        </w:rPr>
        <w:t>cts are exempt. T</w:t>
      </w:r>
      <w:r w:rsidRPr="00AF6F4F">
        <w:rPr>
          <w:rFonts w:ascii="Times New Roman" w:hAnsi="Times New Roman"/>
        </w:rPr>
        <w:t>he implicit subsidy represents 7 percent of the unsubsidized price</w:t>
      </w:r>
      <w:r>
        <w:rPr>
          <w:rFonts w:ascii="Times New Roman" w:hAnsi="Times New Roman"/>
        </w:rPr>
        <w:t>.</w:t>
      </w:r>
    </w:p>
    <w:p w:rsidR="00504398" w:rsidRPr="00272AF2"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b/>
        </w:rPr>
      </w:pPr>
      <w:r w:rsidRPr="00272AF2">
        <w:rPr>
          <w:rFonts w:ascii="Times New Roman" w:hAnsi="Times New Roman" w:cs="Times New Roman"/>
          <w:bCs/>
        </w:rPr>
        <w:t>Introducing consumer taxes would imply a loss of DF 558.7 million (or 0.22 percent of GDP) for the population. The per capita values indicate that the loss would be considerably higher for the richest in absolute terms</w:t>
      </w:r>
      <w:r w:rsidR="00CD31A5" w:rsidRPr="00272AF2">
        <w:rPr>
          <w:rFonts w:ascii="Times New Roman" w:hAnsi="Times New Roman" w:cs="Times New Roman"/>
          <w:bCs/>
        </w:rPr>
        <w:t xml:space="preserve"> (</w:t>
      </w:r>
      <w:r w:rsidR="00272AF2" w:rsidRPr="00272AF2">
        <w:rPr>
          <w:rFonts w:ascii="Times New Roman" w:hAnsi="Times New Roman" w:cs="Times New Roman"/>
          <w:bCs/>
        </w:rPr>
        <w:fldChar w:fldCharType="begin"/>
      </w:r>
      <w:r w:rsidR="00272AF2" w:rsidRPr="00272AF2">
        <w:rPr>
          <w:rFonts w:ascii="Times New Roman" w:hAnsi="Times New Roman" w:cs="Times New Roman"/>
          <w:bCs/>
        </w:rPr>
        <w:instrText xml:space="preserve"> REF _Ref411954212 \h </w:instrText>
      </w:r>
      <w:r w:rsidR="00272AF2">
        <w:rPr>
          <w:rFonts w:ascii="Times New Roman" w:hAnsi="Times New Roman" w:cs="Times New Roman"/>
          <w:bCs/>
        </w:rPr>
        <w:instrText xml:space="preserve"> \* MERGEFORMAT </w:instrText>
      </w:r>
      <w:r w:rsidR="00272AF2" w:rsidRPr="00272AF2">
        <w:rPr>
          <w:rFonts w:ascii="Times New Roman" w:hAnsi="Times New Roman" w:cs="Times New Roman"/>
          <w:bCs/>
        </w:rPr>
      </w:r>
      <w:r w:rsidR="00272AF2" w:rsidRPr="00272AF2">
        <w:rPr>
          <w:rFonts w:ascii="Times New Roman" w:hAnsi="Times New Roman" w:cs="Times New Roman"/>
          <w:bCs/>
        </w:rPr>
        <w:fldChar w:fldCharType="separate"/>
      </w:r>
      <w:r w:rsidR="00CC444C">
        <w:rPr>
          <w:rFonts w:ascii="Times New Roman" w:hAnsi="Times New Roman" w:cs="Times New Roman"/>
        </w:rPr>
        <w:t>t</w:t>
      </w:r>
      <w:r w:rsidR="00272AF2" w:rsidRPr="00272AF2">
        <w:rPr>
          <w:rFonts w:ascii="Times New Roman" w:hAnsi="Times New Roman" w:cs="Times New Roman"/>
        </w:rPr>
        <w:t xml:space="preserve">able </w:t>
      </w:r>
      <w:r w:rsidR="00272AF2" w:rsidRPr="00272AF2">
        <w:rPr>
          <w:rFonts w:ascii="Times New Roman" w:hAnsi="Times New Roman" w:cs="Times New Roman"/>
          <w:noProof/>
        </w:rPr>
        <w:t>10</w:t>
      </w:r>
      <w:r w:rsidR="00272AF2" w:rsidRPr="00272AF2">
        <w:rPr>
          <w:rFonts w:ascii="Times New Roman" w:hAnsi="Times New Roman" w:cs="Times New Roman"/>
          <w:bCs/>
        </w:rPr>
        <w:fldChar w:fldCharType="end"/>
      </w:r>
      <w:r w:rsidR="00CD31A5" w:rsidRPr="00272AF2">
        <w:rPr>
          <w:rFonts w:ascii="Times New Roman" w:hAnsi="Times New Roman" w:cs="Times New Roman"/>
          <w:bCs/>
        </w:rPr>
        <w:t>)</w:t>
      </w:r>
      <w:r w:rsidRPr="00272AF2">
        <w:rPr>
          <w:rFonts w:ascii="Times New Roman" w:hAnsi="Times New Roman" w:cs="Times New Roman"/>
          <w:bCs/>
        </w:rPr>
        <w:t xml:space="preserve">. </w:t>
      </w:r>
      <w:r w:rsidR="00CD31A5" w:rsidRPr="00272AF2">
        <w:rPr>
          <w:rFonts w:ascii="Times New Roman" w:hAnsi="Times New Roman" w:cs="Times New Roman"/>
          <w:bCs/>
        </w:rPr>
        <w:t>Overall, the impact of the reform on the poorest 20 percent would imply a decrease in well</w:t>
      </w:r>
      <w:r w:rsidR="00CC444C">
        <w:rPr>
          <w:rFonts w:ascii="Times New Roman" w:hAnsi="Times New Roman" w:cs="Times New Roman"/>
          <w:bCs/>
        </w:rPr>
        <w:t>-</w:t>
      </w:r>
      <w:r w:rsidR="00CD31A5" w:rsidRPr="00272AF2">
        <w:rPr>
          <w:rFonts w:ascii="Times New Roman" w:hAnsi="Times New Roman" w:cs="Times New Roman"/>
          <w:bCs/>
        </w:rPr>
        <w:t xml:space="preserve">being by </w:t>
      </w:r>
      <w:r w:rsidR="00CC444C">
        <w:rPr>
          <w:rFonts w:ascii="Times New Roman" w:hAnsi="Times New Roman" w:cs="Times New Roman"/>
          <w:bCs/>
        </w:rPr>
        <w:t xml:space="preserve">DF </w:t>
      </w:r>
      <w:r w:rsidR="00CD31A5" w:rsidRPr="00272AF2">
        <w:rPr>
          <w:rFonts w:ascii="Times New Roman" w:hAnsi="Times New Roman" w:cs="Times New Roman"/>
          <w:bCs/>
        </w:rPr>
        <w:t xml:space="preserve">500 or 1.06 percent of household spending. For the richest quintile, the loss would be equivalent to </w:t>
      </w:r>
      <w:r w:rsidR="00CC444C">
        <w:rPr>
          <w:rFonts w:ascii="Times New Roman" w:hAnsi="Times New Roman" w:cs="Times New Roman"/>
          <w:bCs/>
        </w:rPr>
        <w:t xml:space="preserve">DF </w:t>
      </w:r>
      <w:r w:rsidR="00CD31A5" w:rsidRPr="00272AF2">
        <w:rPr>
          <w:rFonts w:ascii="Times New Roman" w:hAnsi="Times New Roman" w:cs="Times New Roman"/>
          <w:bCs/>
        </w:rPr>
        <w:t>1,836 or 0.33 percent of household spending. This comparison shows that the poor</w:t>
      </w:r>
      <w:r w:rsidRPr="00272AF2">
        <w:rPr>
          <w:rFonts w:ascii="Times New Roman" w:hAnsi="Times New Roman" w:cs="Times New Roman"/>
          <w:bCs/>
        </w:rPr>
        <w:t xml:space="preserve"> spend more in relative terms on tax-exempt food product</w:t>
      </w:r>
      <w:r w:rsidR="00CC444C">
        <w:rPr>
          <w:rFonts w:ascii="Times New Roman" w:hAnsi="Times New Roman" w:cs="Times New Roman"/>
          <w:bCs/>
        </w:rPr>
        <w:t>s</w:t>
      </w:r>
      <w:r w:rsidRPr="00272AF2">
        <w:rPr>
          <w:rFonts w:ascii="Times New Roman" w:hAnsi="Times New Roman" w:cs="Times New Roman"/>
          <w:bCs/>
        </w:rPr>
        <w:t xml:space="preserve">. </w:t>
      </w:r>
      <w:r w:rsidR="00CD31A5" w:rsidRPr="00272AF2">
        <w:rPr>
          <w:rFonts w:ascii="Times New Roman" w:hAnsi="Times New Roman" w:cs="Times New Roman"/>
          <w:bCs/>
        </w:rPr>
        <w:t>Therefor</w:t>
      </w:r>
      <w:r w:rsidR="00CC444C">
        <w:rPr>
          <w:rFonts w:ascii="Times New Roman" w:hAnsi="Times New Roman" w:cs="Times New Roman"/>
          <w:bCs/>
        </w:rPr>
        <w:t>e</w:t>
      </w:r>
      <w:r w:rsidR="00CD31A5" w:rsidRPr="00272AF2">
        <w:rPr>
          <w:rFonts w:ascii="Times New Roman" w:hAnsi="Times New Roman" w:cs="Times New Roman"/>
          <w:bCs/>
        </w:rPr>
        <w:t>, i</w:t>
      </w:r>
      <w:r w:rsidRPr="00272AF2">
        <w:rPr>
          <w:rFonts w:ascii="Times New Roman" w:hAnsi="Times New Roman" w:cs="Times New Roman"/>
          <w:bCs/>
        </w:rPr>
        <w:t>ntroducing consumer taxes would affect poverty.</w:t>
      </w:r>
    </w:p>
    <w:p w:rsidR="00272AF2" w:rsidRDefault="00272AF2" w:rsidP="00272AF2">
      <w:pPr>
        <w:pStyle w:val="Caption"/>
      </w:pPr>
      <w:bookmarkStart w:id="39" w:name="_Ref411954212"/>
      <w:bookmarkStart w:id="40" w:name="_Toc412105841"/>
      <w:r>
        <w:t xml:space="preserve">Table </w:t>
      </w:r>
      <w:fldSimple w:instr=" SEQ Table \* ARABIC ">
        <w:r w:rsidR="001000E9">
          <w:rPr>
            <w:noProof/>
          </w:rPr>
          <w:t>10</w:t>
        </w:r>
      </w:fldSimple>
      <w:bookmarkEnd w:id="39"/>
      <w:r>
        <w:t xml:space="preserve">: </w:t>
      </w:r>
      <w:r w:rsidRPr="00DE376E">
        <w:t xml:space="preserve">The Total Impact on the Population’s Well-Being (in </w:t>
      </w:r>
      <w:r w:rsidR="00CC444C">
        <w:t>DF</w:t>
      </w:r>
      <w:r w:rsidR="00E34652">
        <w:t>,</w:t>
      </w:r>
      <w:r w:rsidR="00CC444C">
        <w:t xml:space="preserve"> </w:t>
      </w:r>
      <w:r w:rsidRPr="00DE376E">
        <w:t>million</w:t>
      </w:r>
      <w:r w:rsidR="00560747">
        <w:t>s</w:t>
      </w:r>
      <w:r w:rsidRPr="00DE376E">
        <w:t>)</w:t>
      </w:r>
      <w:bookmarkEnd w:id="40"/>
    </w:p>
    <w:tbl>
      <w:tblPr>
        <w:tblW w:w="4944" w:type="pct"/>
        <w:tblLook w:val="04A0" w:firstRow="1" w:lastRow="0" w:firstColumn="1" w:lastColumn="0" w:noHBand="0" w:noVBand="1"/>
      </w:tblPr>
      <w:tblGrid>
        <w:gridCol w:w="2176"/>
        <w:gridCol w:w="1339"/>
        <w:gridCol w:w="1338"/>
        <w:gridCol w:w="1246"/>
        <w:gridCol w:w="1660"/>
        <w:gridCol w:w="1496"/>
      </w:tblGrid>
      <w:tr w:rsidR="00504398" w:rsidRPr="00272AF2" w:rsidTr="007A3FA3">
        <w:trPr>
          <w:trHeight w:val="315"/>
        </w:trPr>
        <w:tc>
          <w:tcPr>
            <w:tcW w:w="1175"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w:t>
            </w:r>
          </w:p>
        </w:tc>
        <w:tc>
          <w:tcPr>
            <w:tcW w:w="723"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CC444C">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Powder Milk</w:t>
            </w:r>
          </w:p>
        </w:tc>
        <w:tc>
          <w:tcPr>
            <w:tcW w:w="723"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CC444C">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Flour</w:t>
            </w:r>
          </w:p>
        </w:tc>
        <w:tc>
          <w:tcPr>
            <w:tcW w:w="673"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CC444C">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Cooking Oil</w:t>
            </w:r>
          </w:p>
        </w:tc>
        <w:tc>
          <w:tcPr>
            <w:tcW w:w="897"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CC444C">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Sugar</w:t>
            </w:r>
          </w:p>
        </w:tc>
        <w:tc>
          <w:tcPr>
            <w:tcW w:w="808"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CC444C">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Total</w:t>
            </w:r>
          </w:p>
        </w:tc>
      </w:tr>
      <w:tr w:rsidR="00504398" w:rsidRPr="00272AF2" w:rsidTr="007A3FA3">
        <w:trPr>
          <w:trHeight w:val="300"/>
        </w:trPr>
        <w:tc>
          <w:tcPr>
            <w:tcW w:w="1175"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Poorest</w:t>
            </w:r>
          </w:p>
        </w:tc>
        <w:tc>
          <w:tcPr>
            <w:tcW w:w="72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-3.1</w:t>
            </w:r>
          </w:p>
        </w:tc>
        <w:tc>
          <w:tcPr>
            <w:tcW w:w="72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-24.8</w:t>
            </w:r>
          </w:p>
        </w:tc>
        <w:tc>
          <w:tcPr>
            <w:tcW w:w="67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-7.3</w:t>
            </w:r>
          </w:p>
        </w:tc>
        <w:tc>
          <w:tcPr>
            <w:tcW w:w="897"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-18.4</w:t>
            </w:r>
          </w:p>
        </w:tc>
        <w:tc>
          <w:tcPr>
            <w:tcW w:w="808"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-53.6</w:t>
            </w:r>
          </w:p>
        </w:tc>
      </w:tr>
      <w:tr w:rsidR="00504398" w:rsidRPr="00272AF2" w:rsidTr="007A3FA3">
        <w:trPr>
          <w:trHeight w:val="300"/>
        </w:trPr>
        <w:tc>
          <w:tcPr>
            <w:tcW w:w="1175"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Second</w:t>
            </w:r>
          </w:p>
        </w:tc>
        <w:tc>
          <w:tcPr>
            <w:tcW w:w="72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-11.2</w:t>
            </w:r>
          </w:p>
        </w:tc>
        <w:tc>
          <w:tcPr>
            <w:tcW w:w="72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-34.0</w:t>
            </w:r>
          </w:p>
        </w:tc>
        <w:tc>
          <w:tcPr>
            <w:tcW w:w="67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-13.8</w:t>
            </w:r>
          </w:p>
        </w:tc>
        <w:tc>
          <w:tcPr>
            <w:tcW w:w="897"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w:t>
            </w:r>
            <w:r w:rsidRPr="00200909">
              <w:rPr>
                <w:rFonts w:ascii="Times New Roman" w:eastAsia="Times New Roman" w:hAnsi="Times New Roman" w:cs="Times New Roman"/>
                <w:sz w:val="20"/>
                <w:szCs w:val="20"/>
              </w:rPr>
              <w:t>27.0</w:t>
            </w:r>
          </w:p>
        </w:tc>
        <w:tc>
          <w:tcPr>
            <w:tcW w:w="808"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-86.0</w:t>
            </w:r>
          </w:p>
        </w:tc>
      </w:tr>
      <w:tr w:rsidR="00504398" w:rsidRPr="00272AF2" w:rsidTr="007A3FA3">
        <w:trPr>
          <w:trHeight w:val="300"/>
        </w:trPr>
        <w:tc>
          <w:tcPr>
            <w:tcW w:w="1175"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Third</w:t>
            </w:r>
          </w:p>
        </w:tc>
        <w:tc>
          <w:tcPr>
            <w:tcW w:w="72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-18.1</w:t>
            </w:r>
          </w:p>
        </w:tc>
        <w:tc>
          <w:tcPr>
            <w:tcW w:w="72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-33.4</w:t>
            </w:r>
          </w:p>
        </w:tc>
        <w:tc>
          <w:tcPr>
            <w:tcW w:w="67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-16.7</w:t>
            </w:r>
          </w:p>
        </w:tc>
        <w:tc>
          <w:tcPr>
            <w:tcW w:w="897"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-30.8</w:t>
            </w:r>
          </w:p>
        </w:tc>
        <w:tc>
          <w:tcPr>
            <w:tcW w:w="808"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-99.0</w:t>
            </w:r>
          </w:p>
        </w:tc>
      </w:tr>
      <w:tr w:rsidR="00504398" w:rsidRPr="00272AF2" w:rsidTr="007A3FA3">
        <w:trPr>
          <w:trHeight w:val="300"/>
        </w:trPr>
        <w:tc>
          <w:tcPr>
            <w:tcW w:w="1175"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Fourth</w:t>
            </w:r>
          </w:p>
        </w:tc>
        <w:tc>
          <w:tcPr>
            <w:tcW w:w="72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-26.3</w:t>
            </w:r>
          </w:p>
        </w:tc>
        <w:tc>
          <w:tcPr>
            <w:tcW w:w="72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-40.8</w:t>
            </w:r>
          </w:p>
        </w:tc>
        <w:tc>
          <w:tcPr>
            <w:tcW w:w="673"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-21.3</w:t>
            </w:r>
          </w:p>
        </w:tc>
        <w:tc>
          <w:tcPr>
            <w:tcW w:w="897"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-35.1</w:t>
            </w:r>
          </w:p>
        </w:tc>
        <w:tc>
          <w:tcPr>
            <w:tcW w:w="808" w:type="pct"/>
            <w:tcBorders>
              <w:top w:val="nil"/>
              <w:left w:val="nil"/>
              <w:bottom w:val="nil"/>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-123.5</w:t>
            </w:r>
          </w:p>
        </w:tc>
      </w:tr>
      <w:tr w:rsidR="00504398" w:rsidRPr="00272AF2" w:rsidTr="007A3FA3">
        <w:trPr>
          <w:trHeight w:val="300"/>
        </w:trPr>
        <w:tc>
          <w:tcPr>
            <w:tcW w:w="1175" w:type="pct"/>
            <w:tcBorders>
              <w:top w:val="nil"/>
              <w:left w:val="nil"/>
              <w:bottom w:val="single" w:sz="4"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Richest</w:t>
            </w:r>
          </w:p>
        </w:tc>
        <w:tc>
          <w:tcPr>
            <w:tcW w:w="723" w:type="pct"/>
            <w:tcBorders>
              <w:top w:val="nil"/>
              <w:left w:val="nil"/>
              <w:bottom w:val="single" w:sz="4"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-52.4</w:t>
            </w:r>
          </w:p>
        </w:tc>
        <w:tc>
          <w:tcPr>
            <w:tcW w:w="723" w:type="pct"/>
            <w:tcBorders>
              <w:top w:val="nil"/>
              <w:left w:val="nil"/>
              <w:bottom w:val="single" w:sz="4"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-58.1</w:t>
            </w:r>
          </w:p>
        </w:tc>
        <w:tc>
          <w:tcPr>
            <w:tcW w:w="673" w:type="pct"/>
            <w:tcBorders>
              <w:top w:val="nil"/>
              <w:left w:val="nil"/>
              <w:bottom w:val="single" w:sz="4"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-37.8</w:t>
            </w:r>
          </w:p>
        </w:tc>
        <w:tc>
          <w:tcPr>
            <w:tcW w:w="897" w:type="pct"/>
            <w:tcBorders>
              <w:top w:val="nil"/>
              <w:left w:val="nil"/>
              <w:bottom w:val="single" w:sz="4"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-48.2</w:t>
            </w:r>
          </w:p>
        </w:tc>
        <w:tc>
          <w:tcPr>
            <w:tcW w:w="808" w:type="pct"/>
            <w:tcBorders>
              <w:top w:val="nil"/>
              <w:left w:val="nil"/>
              <w:bottom w:val="single" w:sz="4"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-196.6</w:t>
            </w:r>
          </w:p>
        </w:tc>
      </w:tr>
      <w:tr w:rsidR="00504398" w:rsidRPr="00272AF2" w:rsidTr="007A3FA3">
        <w:trPr>
          <w:trHeight w:val="315"/>
        </w:trPr>
        <w:tc>
          <w:tcPr>
            <w:tcW w:w="1175" w:type="pct"/>
            <w:tcBorders>
              <w:top w:val="nil"/>
              <w:left w:val="nil"/>
              <w:bottom w:val="double" w:sz="6"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Total</w:t>
            </w:r>
          </w:p>
        </w:tc>
        <w:tc>
          <w:tcPr>
            <w:tcW w:w="723" w:type="pct"/>
            <w:tcBorders>
              <w:top w:val="nil"/>
              <w:left w:val="nil"/>
              <w:bottom w:val="double" w:sz="6"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-111.2</w:t>
            </w:r>
          </w:p>
        </w:tc>
        <w:tc>
          <w:tcPr>
            <w:tcW w:w="723" w:type="pct"/>
            <w:tcBorders>
              <w:top w:val="nil"/>
              <w:left w:val="nil"/>
              <w:bottom w:val="double" w:sz="6"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-191.0</w:t>
            </w:r>
          </w:p>
        </w:tc>
        <w:tc>
          <w:tcPr>
            <w:tcW w:w="673" w:type="pct"/>
            <w:tcBorders>
              <w:top w:val="nil"/>
              <w:left w:val="nil"/>
              <w:bottom w:val="double" w:sz="6"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-96.8</w:t>
            </w:r>
          </w:p>
        </w:tc>
        <w:tc>
          <w:tcPr>
            <w:tcW w:w="897" w:type="pct"/>
            <w:tcBorders>
              <w:top w:val="nil"/>
              <w:left w:val="nil"/>
              <w:bottom w:val="double" w:sz="6"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-159.6</w:t>
            </w:r>
          </w:p>
        </w:tc>
        <w:tc>
          <w:tcPr>
            <w:tcW w:w="808" w:type="pct"/>
            <w:tcBorders>
              <w:top w:val="nil"/>
              <w:left w:val="nil"/>
              <w:bottom w:val="double" w:sz="6" w:space="0" w:color="000000"/>
              <w:right w:val="nil"/>
            </w:tcBorders>
            <w:shd w:val="clear" w:color="auto" w:fill="auto"/>
            <w:noWrap/>
            <w:vAlign w:val="center"/>
            <w:hideMark/>
          </w:tcPr>
          <w:p w:rsidR="00504398" w:rsidRPr="00272AF2" w:rsidRDefault="00504398" w:rsidP="00CC444C">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-558.7</w:t>
            </w:r>
          </w:p>
        </w:tc>
      </w:tr>
    </w:tbl>
    <w:p w:rsidR="00504398" w:rsidRPr="00272AF2" w:rsidRDefault="00504398" w:rsidP="003F3439">
      <w:pPr>
        <w:pStyle w:val="Caption"/>
        <w:keepNext w:val="0"/>
        <w:spacing w:before="0" w:after="0"/>
        <w:jc w:val="left"/>
        <w:rPr>
          <w:b w:val="0"/>
          <w:sz w:val="18"/>
          <w:szCs w:val="18"/>
        </w:rPr>
      </w:pPr>
      <w:r w:rsidRPr="00272AF2">
        <w:rPr>
          <w:b w:val="0"/>
          <w:i/>
          <w:sz w:val="18"/>
          <w:szCs w:val="18"/>
        </w:rPr>
        <w:t>Source:</w:t>
      </w:r>
      <w:r w:rsidRPr="00272AF2">
        <w:rPr>
          <w:b w:val="0"/>
          <w:sz w:val="18"/>
          <w:szCs w:val="18"/>
        </w:rPr>
        <w:t xml:space="preserve"> World Bank calculation based on the EDAM 3 (2014 prices).</w:t>
      </w:r>
    </w:p>
    <w:p w:rsidR="00272AF2" w:rsidRDefault="00272AF2" w:rsidP="00272AF2">
      <w:pPr>
        <w:pStyle w:val="Caption"/>
      </w:pPr>
      <w:bookmarkStart w:id="41" w:name="_Toc412105842"/>
      <w:r>
        <w:t xml:space="preserve">Table </w:t>
      </w:r>
      <w:fldSimple w:instr=" SEQ Table \* ARABIC ">
        <w:r w:rsidR="001000E9">
          <w:rPr>
            <w:noProof/>
          </w:rPr>
          <w:t>11</w:t>
        </w:r>
      </w:fldSimple>
      <w:r>
        <w:t xml:space="preserve">: </w:t>
      </w:r>
      <w:r w:rsidRPr="004C2CAA">
        <w:t>The Impact on the Per Capita Well-Being (in DF)</w:t>
      </w:r>
      <w:bookmarkEnd w:id="41"/>
    </w:p>
    <w:tbl>
      <w:tblPr>
        <w:tblW w:w="4944" w:type="pct"/>
        <w:tblLook w:val="04A0" w:firstRow="1" w:lastRow="0" w:firstColumn="1" w:lastColumn="0" w:noHBand="0" w:noVBand="1"/>
      </w:tblPr>
      <w:tblGrid>
        <w:gridCol w:w="2172"/>
        <w:gridCol w:w="1327"/>
        <w:gridCol w:w="1346"/>
        <w:gridCol w:w="1420"/>
        <w:gridCol w:w="1496"/>
        <w:gridCol w:w="1494"/>
      </w:tblGrid>
      <w:tr w:rsidR="00504398" w:rsidRPr="00272AF2" w:rsidTr="008C39B4">
        <w:trPr>
          <w:trHeight w:hRule="exact" w:val="403"/>
        </w:trPr>
        <w:tc>
          <w:tcPr>
            <w:tcW w:w="1174"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w:t>
            </w:r>
          </w:p>
        </w:tc>
        <w:tc>
          <w:tcPr>
            <w:tcW w:w="717"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Powder Milk  </w:t>
            </w:r>
          </w:p>
        </w:tc>
        <w:tc>
          <w:tcPr>
            <w:tcW w:w="727"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Flour  </w:t>
            </w:r>
          </w:p>
        </w:tc>
        <w:tc>
          <w:tcPr>
            <w:tcW w:w="767"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Cooking Oil  </w:t>
            </w:r>
          </w:p>
        </w:tc>
        <w:tc>
          <w:tcPr>
            <w:tcW w:w="808"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Sugar </w:t>
            </w:r>
          </w:p>
        </w:tc>
        <w:tc>
          <w:tcPr>
            <w:tcW w:w="807"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Total</w:t>
            </w:r>
          </w:p>
        </w:tc>
      </w:tr>
      <w:tr w:rsidR="00504398" w:rsidRPr="00272AF2" w:rsidTr="008C39B4">
        <w:trPr>
          <w:trHeight w:hRule="exact" w:val="288"/>
        </w:trPr>
        <w:tc>
          <w:tcPr>
            <w:tcW w:w="1174"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Poorest</w:t>
            </w:r>
          </w:p>
        </w:tc>
        <w:tc>
          <w:tcPr>
            <w:tcW w:w="71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-29</w:t>
            </w:r>
          </w:p>
        </w:tc>
        <w:tc>
          <w:tcPr>
            <w:tcW w:w="72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-231</w:t>
            </w:r>
          </w:p>
        </w:tc>
        <w:tc>
          <w:tcPr>
            <w:tcW w:w="76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-68</w:t>
            </w:r>
          </w:p>
        </w:tc>
        <w:tc>
          <w:tcPr>
            <w:tcW w:w="808"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-172</w:t>
            </w:r>
          </w:p>
        </w:tc>
        <w:tc>
          <w:tcPr>
            <w:tcW w:w="80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-499</w:t>
            </w:r>
          </w:p>
        </w:tc>
      </w:tr>
      <w:tr w:rsidR="00504398" w:rsidRPr="00272AF2" w:rsidTr="008C39B4">
        <w:trPr>
          <w:trHeight w:hRule="exact" w:val="288"/>
        </w:trPr>
        <w:tc>
          <w:tcPr>
            <w:tcW w:w="1174"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Second</w:t>
            </w:r>
          </w:p>
        </w:tc>
        <w:tc>
          <w:tcPr>
            <w:tcW w:w="71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-104</w:t>
            </w:r>
          </w:p>
        </w:tc>
        <w:tc>
          <w:tcPr>
            <w:tcW w:w="72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-316</w:t>
            </w:r>
          </w:p>
        </w:tc>
        <w:tc>
          <w:tcPr>
            <w:tcW w:w="76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-128</w:t>
            </w:r>
          </w:p>
        </w:tc>
        <w:tc>
          <w:tcPr>
            <w:tcW w:w="808"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-251</w:t>
            </w:r>
          </w:p>
        </w:tc>
        <w:tc>
          <w:tcPr>
            <w:tcW w:w="80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-800</w:t>
            </w:r>
          </w:p>
        </w:tc>
      </w:tr>
      <w:tr w:rsidR="00504398" w:rsidRPr="00272AF2" w:rsidTr="008C39B4">
        <w:trPr>
          <w:trHeight w:hRule="exact" w:val="288"/>
        </w:trPr>
        <w:tc>
          <w:tcPr>
            <w:tcW w:w="1174"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Third</w:t>
            </w:r>
          </w:p>
        </w:tc>
        <w:tc>
          <w:tcPr>
            <w:tcW w:w="71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-169</w:t>
            </w:r>
          </w:p>
        </w:tc>
        <w:tc>
          <w:tcPr>
            <w:tcW w:w="72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-312</w:t>
            </w:r>
          </w:p>
        </w:tc>
        <w:tc>
          <w:tcPr>
            <w:tcW w:w="76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-156</w:t>
            </w:r>
          </w:p>
        </w:tc>
        <w:tc>
          <w:tcPr>
            <w:tcW w:w="808"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-288</w:t>
            </w:r>
          </w:p>
        </w:tc>
        <w:tc>
          <w:tcPr>
            <w:tcW w:w="80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-924</w:t>
            </w:r>
          </w:p>
        </w:tc>
      </w:tr>
      <w:tr w:rsidR="00504398" w:rsidRPr="00272AF2" w:rsidTr="008C39B4">
        <w:trPr>
          <w:trHeight w:hRule="exact" w:val="288"/>
        </w:trPr>
        <w:tc>
          <w:tcPr>
            <w:tcW w:w="1174"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Fourth</w:t>
            </w:r>
          </w:p>
        </w:tc>
        <w:tc>
          <w:tcPr>
            <w:tcW w:w="71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-245</w:t>
            </w:r>
          </w:p>
        </w:tc>
        <w:tc>
          <w:tcPr>
            <w:tcW w:w="72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-379</w:t>
            </w:r>
          </w:p>
        </w:tc>
        <w:tc>
          <w:tcPr>
            <w:tcW w:w="76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-198</w:t>
            </w:r>
          </w:p>
        </w:tc>
        <w:tc>
          <w:tcPr>
            <w:tcW w:w="808"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-326</w:t>
            </w:r>
          </w:p>
        </w:tc>
        <w:tc>
          <w:tcPr>
            <w:tcW w:w="80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-1,148</w:t>
            </w:r>
          </w:p>
        </w:tc>
      </w:tr>
      <w:tr w:rsidR="00504398" w:rsidRPr="00272AF2" w:rsidTr="008C39B4">
        <w:trPr>
          <w:trHeight w:hRule="exact" w:val="288"/>
        </w:trPr>
        <w:tc>
          <w:tcPr>
            <w:tcW w:w="1174" w:type="pct"/>
            <w:tcBorders>
              <w:top w:val="nil"/>
              <w:left w:val="nil"/>
              <w:bottom w:val="single" w:sz="4"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Richest</w:t>
            </w:r>
          </w:p>
        </w:tc>
        <w:tc>
          <w:tcPr>
            <w:tcW w:w="717"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-490</w:t>
            </w:r>
          </w:p>
        </w:tc>
        <w:tc>
          <w:tcPr>
            <w:tcW w:w="727"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-543</w:t>
            </w:r>
          </w:p>
        </w:tc>
        <w:tc>
          <w:tcPr>
            <w:tcW w:w="767"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-353</w:t>
            </w:r>
          </w:p>
        </w:tc>
        <w:tc>
          <w:tcPr>
            <w:tcW w:w="808"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-450</w:t>
            </w:r>
          </w:p>
        </w:tc>
        <w:tc>
          <w:tcPr>
            <w:tcW w:w="807"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-1,836</w:t>
            </w:r>
          </w:p>
        </w:tc>
      </w:tr>
      <w:tr w:rsidR="00504398" w:rsidRPr="00272AF2" w:rsidTr="008C39B4">
        <w:trPr>
          <w:trHeight w:hRule="exact" w:val="288"/>
        </w:trPr>
        <w:tc>
          <w:tcPr>
            <w:tcW w:w="1174" w:type="pct"/>
            <w:tcBorders>
              <w:top w:val="nil"/>
              <w:left w:val="nil"/>
              <w:bottom w:val="double" w:sz="6"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Total</w:t>
            </w:r>
          </w:p>
        </w:tc>
        <w:tc>
          <w:tcPr>
            <w:tcW w:w="717"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-207</w:t>
            </w:r>
          </w:p>
        </w:tc>
        <w:tc>
          <w:tcPr>
            <w:tcW w:w="727"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-356</w:t>
            </w:r>
          </w:p>
        </w:tc>
        <w:tc>
          <w:tcPr>
            <w:tcW w:w="767"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-180</w:t>
            </w:r>
          </w:p>
        </w:tc>
        <w:tc>
          <w:tcPr>
            <w:tcW w:w="808"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-297</w:t>
            </w:r>
          </w:p>
        </w:tc>
        <w:tc>
          <w:tcPr>
            <w:tcW w:w="807"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-1,041</w:t>
            </w:r>
          </w:p>
        </w:tc>
      </w:tr>
    </w:tbl>
    <w:p w:rsidR="00504398" w:rsidRPr="00272AF2" w:rsidRDefault="00504398" w:rsidP="003F3439">
      <w:pPr>
        <w:pStyle w:val="Caption"/>
        <w:keepNext w:val="0"/>
        <w:spacing w:before="0" w:after="0"/>
        <w:jc w:val="left"/>
        <w:rPr>
          <w:b w:val="0"/>
          <w:sz w:val="18"/>
          <w:szCs w:val="18"/>
        </w:rPr>
      </w:pPr>
      <w:r w:rsidRPr="00272AF2">
        <w:rPr>
          <w:b w:val="0"/>
          <w:i/>
          <w:sz w:val="18"/>
          <w:szCs w:val="18"/>
        </w:rPr>
        <w:t>Source:</w:t>
      </w:r>
      <w:r w:rsidRPr="00272AF2">
        <w:rPr>
          <w:b w:val="0"/>
          <w:sz w:val="18"/>
          <w:szCs w:val="18"/>
        </w:rPr>
        <w:t xml:space="preserve"> World Bank calculation based on the EDAM 3 (2014 prices).</w:t>
      </w:r>
    </w:p>
    <w:p w:rsidR="00272AF2" w:rsidRDefault="00272AF2" w:rsidP="00272AF2">
      <w:pPr>
        <w:pStyle w:val="Caption"/>
      </w:pPr>
      <w:bookmarkStart w:id="42" w:name="_Toc412105843"/>
      <w:r>
        <w:t xml:space="preserve">Table </w:t>
      </w:r>
      <w:fldSimple w:instr=" SEQ Table \* ARABIC ">
        <w:r w:rsidR="001000E9">
          <w:rPr>
            <w:noProof/>
          </w:rPr>
          <w:t>12</w:t>
        </w:r>
      </w:fldSimple>
      <w:r>
        <w:t xml:space="preserve">: </w:t>
      </w:r>
      <w:r w:rsidRPr="003222DA">
        <w:t>The Impact on Well-Being (in %)</w:t>
      </w:r>
      <w:bookmarkEnd w:id="42"/>
    </w:p>
    <w:tbl>
      <w:tblPr>
        <w:tblW w:w="4953" w:type="pct"/>
        <w:tblLook w:val="04A0" w:firstRow="1" w:lastRow="0" w:firstColumn="1" w:lastColumn="0" w:noHBand="0" w:noVBand="1"/>
      </w:tblPr>
      <w:tblGrid>
        <w:gridCol w:w="2174"/>
        <w:gridCol w:w="1346"/>
        <w:gridCol w:w="1346"/>
        <w:gridCol w:w="1348"/>
        <w:gridCol w:w="1554"/>
        <w:gridCol w:w="1504"/>
      </w:tblGrid>
      <w:tr w:rsidR="00504398" w:rsidRPr="00272AF2" w:rsidTr="008C39B4">
        <w:trPr>
          <w:trHeight w:hRule="exact" w:val="403"/>
          <w:tblHeader/>
        </w:trPr>
        <w:tc>
          <w:tcPr>
            <w:tcW w:w="1172"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w:t>
            </w:r>
          </w:p>
        </w:tc>
        <w:tc>
          <w:tcPr>
            <w:tcW w:w="726"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Powder Milk  </w:t>
            </w:r>
          </w:p>
        </w:tc>
        <w:tc>
          <w:tcPr>
            <w:tcW w:w="726"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Flour  </w:t>
            </w:r>
          </w:p>
        </w:tc>
        <w:tc>
          <w:tcPr>
            <w:tcW w:w="727"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Cooking Oil  </w:t>
            </w:r>
          </w:p>
        </w:tc>
        <w:tc>
          <w:tcPr>
            <w:tcW w:w="838"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Sugar </w:t>
            </w:r>
          </w:p>
        </w:tc>
        <w:tc>
          <w:tcPr>
            <w:tcW w:w="811"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Total</w:t>
            </w:r>
          </w:p>
        </w:tc>
      </w:tr>
      <w:tr w:rsidR="00504398" w:rsidRPr="00272AF2" w:rsidTr="008C39B4">
        <w:trPr>
          <w:trHeight w:hRule="exact" w:val="288"/>
        </w:trPr>
        <w:tc>
          <w:tcPr>
            <w:tcW w:w="1172"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Poorest</w:t>
            </w:r>
          </w:p>
        </w:tc>
        <w:tc>
          <w:tcPr>
            <w:tcW w:w="72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-0.06</w:t>
            </w:r>
          </w:p>
        </w:tc>
        <w:tc>
          <w:tcPr>
            <w:tcW w:w="72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-0.49</w:t>
            </w:r>
          </w:p>
        </w:tc>
        <w:tc>
          <w:tcPr>
            <w:tcW w:w="72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-0.14</w:t>
            </w:r>
          </w:p>
        </w:tc>
        <w:tc>
          <w:tcPr>
            <w:tcW w:w="838"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-0.37</w:t>
            </w:r>
          </w:p>
        </w:tc>
        <w:tc>
          <w:tcPr>
            <w:tcW w:w="811"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-1.06</w:t>
            </w:r>
          </w:p>
        </w:tc>
      </w:tr>
      <w:tr w:rsidR="00504398" w:rsidRPr="00272AF2" w:rsidTr="008C39B4">
        <w:trPr>
          <w:trHeight w:hRule="exact" w:val="288"/>
        </w:trPr>
        <w:tc>
          <w:tcPr>
            <w:tcW w:w="1172"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Second</w:t>
            </w:r>
          </w:p>
        </w:tc>
        <w:tc>
          <w:tcPr>
            <w:tcW w:w="72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-0.10</w:t>
            </w:r>
          </w:p>
        </w:tc>
        <w:tc>
          <w:tcPr>
            <w:tcW w:w="72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-0.29</w:t>
            </w:r>
          </w:p>
        </w:tc>
        <w:tc>
          <w:tcPr>
            <w:tcW w:w="72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-0.12</w:t>
            </w:r>
          </w:p>
        </w:tc>
        <w:tc>
          <w:tcPr>
            <w:tcW w:w="838"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-0.23</w:t>
            </w:r>
          </w:p>
        </w:tc>
        <w:tc>
          <w:tcPr>
            <w:tcW w:w="811"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-0.75</w:t>
            </w:r>
          </w:p>
        </w:tc>
      </w:tr>
      <w:tr w:rsidR="00504398" w:rsidRPr="00272AF2" w:rsidTr="008C39B4">
        <w:trPr>
          <w:trHeight w:hRule="exact" w:val="288"/>
        </w:trPr>
        <w:tc>
          <w:tcPr>
            <w:tcW w:w="1172"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Third</w:t>
            </w:r>
          </w:p>
        </w:tc>
        <w:tc>
          <w:tcPr>
            <w:tcW w:w="72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-0.11</w:t>
            </w:r>
          </w:p>
        </w:tc>
        <w:tc>
          <w:tcPr>
            <w:tcW w:w="72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-0.20</w:t>
            </w:r>
          </w:p>
        </w:tc>
        <w:tc>
          <w:tcPr>
            <w:tcW w:w="72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-0.10</w:t>
            </w:r>
          </w:p>
        </w:tc>
        <w:tc>
          <w:tcPr>
            <w:tcW w:w="838"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-0.18</w:t>
            </w:r>
          </w:p>
        </w:tc>
        <w:tc>
          <w:tcPr>
            <w:tcW w:w="811"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-0.58</w:t>
            </w:r>
          </w:p>
        </w:tc>
      </w:tr>
      <w:tr w:rsidR="00504398" w:rsidRPr="00272AF2" w:rsidTr="008C39B4">
        <w:trPr>
          <w:trHeight w:hRule="exact" w:val="288"/>
        </w:trPr>
        <w:tc>
          <w:tcPr>
            <w:tcW w:w="1172"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Fourth</w:t>
            </w:r>
          </w:p>
        </w:tc>
        <w:tc>
          <w:tcPr>
            <w:tcW w:w="72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-0.11</w:t>
            </w:r>
          </w:p>
        </w:tc>
        <w:tc>
          <w:tcPr>
            <w:tcW w:w="72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-0.16</w:t>
            </w:r>
          </w:p>
        </w:tc>
        <w:tc>
          <w:tcPr>
            <w:tcW w:w="72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-0.08</w:t>
            </w:r>
          </w:p>
        </w:tc>
        <w:tc>
          <w:tcPr>
            <w:tcW w:w="838"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-0.14</w:t>
            </w:r>
          </w:p>
        </w:tc>
        <w:tc>
          <w:tcPr>
            <w:tcW w:w="811"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-0.49</w:t>
            </w:r>
          </w:p>
        </w:tc>
      </w:tr>
      <w:tr w:rsidR="00504398" w:rsidRPr="00272AF2" w:rsidTr="008C39B4">
        <w:trPr>
          <w:trHeight w:hRule="exact" w:val="288"/>
        </w:trPr>
        <w:tc>
          <w:tcPr>
            <w:tcW w:w="1172" w:type="pct"/>
            <w:tcBorders>
              <w:top w:val="nil"/>
              <w:left w:val="nil"/>
              <w:bottom w:val="single" w:sz="4"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Richest</w:t>
            </w:r>
          </w:p>
        </w:tc>
        <w:tc>
          <w:tcPr>
            <w:tcW w:w="726"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-0.09</w:t>
            </w:r>
          </w:p>
        </w:tc>
        <w:tc>
          <w:tcPr>
            <w:tcW w:w="726"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-0.10</w:t>
            </w:r>
          </w:p>
        </w:tc>
        <w:tc>
          <w:tcPr>
            <w:tcW w:w="727"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-0.06</w:t>
            </w:r>
          </w:p>
        </w:tc>
        <w:tc>
          <w:tcPr>
            <w:tcW w:w="838"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-0.08</w:t>
            </w:r>
          </w:p>
        </w:tc>
        <w:tc>
          <w:tcPr>
            <w:tcW w:w="811"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-0.33</w:t>
            </w:r>
          </w:p>
        </w:tc>
      </w:tr>
      <w:tr w:rsidR="00504398" w:rsidRPr="00272AF2" w:rsidTr="008C39B4">
        <w:trPr>
          <w:trHeight w:hRule="exact" w:val="288"/>
        </w:trPr>
        <w:tc>
          <w:tcPr>
            <w:tcW w:w="1172" w:type="pct"/>
            <w:tcBorders>
              <w:top w:val="nil"/>
              <w:left w:val="nil"/>
              <w:bottom w:val="double" w:sz="6"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Total</w:t>
            </w:r>
          </w:p>
        </w:tc>
        <w:tc>
          <w:tcPr>
            <w:tcW w:w="726"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-0.09</w:t>
            </w:r>
          </w:p>
        </w:tc>
        <w:tc>
          <w:tcPr>
            <w:tcW w:w="726"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-0.16</w:t>
            </w:r>
          </w:p>
        </w:tc>
        <w:tc>
          <w:tcPr>
            <w:tcW w:w="727"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-0.08</w:t>
            </w:r>
          </w:p>
        </w:tc>
        <w:tc>
          <w:tcPr>
            <w:tcW w:w="838"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-0.14</w:t>
            </w:r>
          </w:p>
        </w:tc>
        <w:tc>
          <w:tcPr>
            <w:tcW w:w="811"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-0.47</w:t>
            </w:r>
          </w:p>
        </w:tc>
      </w:tr>
    </w:tbl>
    <w:p w:rsidR="008C39B4" w:rsidRPr="00CB6774" w:rsidRDefault="008C39B4" w:rsidP="008C39B4">
      <w:pPr>
        <w:pStyle w:val="Caption"/>
        <w:spacing w:before="0" w:after="0"/>
        <w:jc w:val="left"/>
        <w:rPr>
          <w:b w:val="0"/>
          <w:sz w:val="18"/>
        </w:rPr>
      </w:pPr>
      <w:r w:rsidRPr="00CB6774">
        <w:rPr>
          <w:b w:val="0"/>
          <w:i/>
          <w:sz w:val="18"/>
        </w:rPr>
        <w:t>Source:</w:t>
      </w:r>
      <w:r w:rsidRPr="00CB6774">
        <w:rPr>
          <w:b w:val="0"/>
          <w:sz w:val="18"/>
        </w:rPr>
        <w:t xml:space="preserve"> World Bank calculation based on the EDAM 3.</w:t>
      </w:r>
    </w:p>
    <w:p w:rsidR="00504398" w:rsidRDefault="00504398" w:rsidP="00E57B35">
      <w:pPr>
        <w:pStyle w:val="Caption"/>
        <w:rPr>
          <w:rStyle w:val="Hyperlink"/>
          <w:color w:val="auto"/>
          <w:sz w:val="22"/>
        </w:rPr>
      </w:pPr>
    </w:p>
    <w:p w:rsidR="008C39B4" w:rsidRDefault="008C39B4">
      <w:pPr>
        <w:rPr>
          <w:rFonts w:ascii="Times New Roman" w:eastAsiaTheme="minorHAnsi" w:hAnsi="Times New Roman" w:cs="Times New Roman"/>
          <w:b/>
          <w:bCs/>
          <w:sz w:val="20"/>
          <w:szCs w:val="20"/>
        </w:rPr>
      </w:pPr>
      <w:r>
        <w:br w:type="page"/>
      </w:r>
    </w:p>
    <w:p w:rsidR="00272AF2" w:rsidRDefault="00272AF2" w:rsidP="00272AF2">
      <w:pPr>
        <w:pStyle w:val="Caption"/>
      </w:pPr>
      <w:bookmarkStart w:id="43" w:name="_Toc412105844"/>
      <w:r>
        <w:lastRenderedPageBreak/>
        <w:t xml:space="preserve">Table </w:t>
      </w:r>
      <w:fldSimple w:instr=" SEQ Table \* ARABIC ">
        <w:r w:rsidR="001000E9">
          <w:rPr>
            <w:noProof/>
          </w:rPr>
          <w:t>13</w:t>
        </w:r>
      </w:fldSimple>
      <w:r>
        <w:t xml:space="preserve">: </w:t>
      </w:r>
      <w:r w:rsidRPr="00B84F73">
        <w:t xml:space="preserve">The Impact of the Reform on the Government Revenue (in </w:t>
      </w:r>
      <w:r w:rsidR="00A2188B">
        <w:t>DF</w:t>
      </w:r>
      <w:r w:rsidR="00E34652">
        <w:t>,</w:t>
      </w:r>
      <w:r w:rsidR="00A2188B">
        <w:t xml:space="preserve"> </w:t>
      </w:r>
      <w:r w:rsidRPr="00B84F73">
        <w:t>million</w:t>
      </w:r>
      <w:r w:rsidR="00560747">
        <w:t>s</w:t>
      </w:r>
      <w:r w:rsidRPr="00B84F73">
        <w:t>)</w:t>
      </w:r>
      <w:bookmarkEnd w:id="43"/>
    </w:p>
    <w:tbl>
      <w:tblPr>
        <w:tblW w:w="4948" w:type="pct"/>
        <w:tblLook w:val="04A0" w:firstRow="1" w:lastRow="0" w:firstColumn="1" w:lastColumn="0" w:noHBand="0" w:noVBand="1"/>
      </w:tblPr>
      <w:tblGrid>
        <w:gridCol w:w="2166"/>
        <w:gridCol w:w="1352"/>
        <w:gridCol w:w="1373"/>
        <w:gridCol w:w="1328"/>
        <w:gridCol w:w="1549"/>
        <w:gridCol w:w="1495"/>
      </w:tblGrid>
      <w:tr w:rsidR="00504398" w:rsidRPr="00272AF2" w:rsidTr="008C39B4">
        <w:trPr>
          <w:trHeight w:hRule="exact" w:val="403"/>
        </w:trPr>
        <w:tc>
          <w:tcPr>
            <w:tcW w:w="1169"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w:t>
            </w:r>
          </w:p>
        </w:tc>
        <w:tc>
          <w:tcPr>
            <w:tcW w:w="730"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Powder Milk  </w:t>
            </w:r>
          </w:p>
        </w:tc>
        <w:tc>
          <w:tcPr>
            <w:tcW w:w="741"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Flour  </w:t>
            </w:r>
          </w:p>
        </w:tc>
        <w:tc>
          <w:tcPr>
            <w:tcW w:w="717"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Cooking Oil  </w:t>
            </w:r>
          </w:p>
        </w:tc>
        <w:tc>
          <w:tcPr>
            <w:tcW w:w="836"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 xml:space="preserve">Sugar </w:t>
            </w:r>
          </w:p>
        </w:tc>
        <w:tc>
          <w:tcPr>
            <w:tcW w:w="807" w:type="pct"/>
            <w:tcBorders>
              <w:top w:val="double" w:sz="6" w:space="0" w:color="000000"/>
              <w:left w:val="nil"/>
              <w:bottom w:val="single" w:sz="4" w:space="0" w:color="000000"/>
              <w:right w:val="nil"/>
            </w:tcBorders>
            <w:shd w:val="clear" w:color="auto" w:fill="auto"/>
            <w:vAlign w:val="center"/>
            <w:hideMark/>
          </w:tcPr>
          <w:p w:rsidR="00504398" w:rsidRPr="00272AF2" w:rsidRDefault="00504398" w:rsidP="00D56EDF">
            <w:pPr>
              <w:spacing w:after="0" w:line="240" w:lineRule="auto"/>
              <w:jc w:val="center"/>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Total</w:t>
            </w:r>
          </w:p>
        </w:tc>
      </w:tr>
      <w:tr w:rsidR="00504398" w:rsidRPr="00272AF2" w:rsidTr="008C39B4">
        <w:trPr>
          <w:trHeight w:hRule="exact" w:val="288"/>
        </w:trPr>
        <w:tc>
          <w:tcPr>
            <w:tcW w:w="1169"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Poorest</w:t>
            </w:r>
          </w:p>
        </w:tc>
        <w:tc>
          <w:tcPr>
            <w:tcW w:w="730"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2.5</w:t>
            </w:r>
          </w:p>
        </w:tc>
        <w:tc>
          <w:tcPr>
            <w:tcW w:w="741"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19.8</w:t>
            </w:r>
          </w:p>
        </w:tc>
        <w:tc>
          <w:tcPr>
            <w:tcW w:w="71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5.8</w:t>
            </w:r>
          </w:p>
        </w:tc>
        <w:tc>
          <w:tcPr>
            <w:tcW w:w="83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14.7</w:t>
            </w:r>
          </w:p>
        </w:tc>
        <w:tc>
          <w:tcPr>
            <w:tcW w:w="80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42.9</w:t>
            </w:r>
          </w:p>
        </w:tc>
      </w:tr>
      <w:tr w:rsidR="00504398" w:rsidRPr="00272AF2" w:rsidTr="008C39B4">
        <w:trPr>
          <w:trHeight w:hRule="exact" w:val="288"/>
        </w:trPr>
        <w:tc>
          <w:tcPr>
            <w:tcW w:w="1169"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Second</w:t>
            </w:r>
          </w:p>
        </w:tc>
        <w:tc>
          <w:tcPr>
            <w:tcW w:w="730"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9</w:t>
            </w:r>
            <w:r w:rsidRPr="00200909">
              <w:rPr>
                <w:rFonts w:ascii="Times New Roman" w:eastAsia="Times New Roman" w:hAnsi="Times New Roman" w:cs="Times New Roman"/>
                <w:sz w:val="20"/>
                <w:szCs w:val="20"/>
              </w:rPr>
              <w:t>.</w:t>
            </w:r>
            <w:r w:rsidRPr="00272AF2">
              <w:rPr>
                <w:rFonts w:ascii="Times New Roman" w:eastAsia="Times New Roman" w:hAnsi="Times New Roman" w:cs="Times New Roman"/>
                <w:sz w:val="20"/>
                <w:szCs w:val="20"/>
              </w:rPr>
              <w:t>0</w:t>
            </w:r>
          </w:p>
        </w:tc>
        <w:tc>
          <w:tcPr>
            <w:tcW w:w="741"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27.2</w:t>
            </w:r>
          </w:p>
        </w:tc>
        <w:tc>
          <w:tcPr>
            <w:tcW w:w="71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11.0</w:t>
            </w:r>
          </w:p>
        </w:tc>
        <w:tc>
          <w:tcPr>
            <w:tcW w:w="83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21.6</w:t>
            </w:r>
          </w:p>
        </w:tc>
        <w:tc>
          <w:tcPr>
            <w:tcW w:w="80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68.8</w:t>
            </w:r>
          </w:p>
        </w:tc>
      </w:tr>
      <w:tr w:rsidR="00504398" w:rsidRPr="00272AF2" w:rsidTr="008C39B4">
        <w:trPr>
          <w:trHeight w:hRule="exact" w:val="288"/>
        </w:trPr>
        <w:tc>
          <w:tcPr>
            <w:tcW w:w="1169"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Third</w:t>
            </w:r>
          </w:p>
        </w:tc>
        <w:tc>
          <w:tcPr>
            <w:tcW w:w="730"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14.5</w:t>
            </w:r>
          </w:p>
        </w:tc>
        <w:tc>
          <w:tcPr>
            <w:tcW w:w="741"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26.7</w:t>
            </w:r>
          </w:p>
        </w:tc>
        <w:tc>
          <w:tcPr>
            <w:tcW w:w="71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13.4</w:t>
            </w:r>
          </w:p>
        </w:tc>
        <w:tc>
          <w:tcPr>
            <w:tcW w:w="83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24.7</w:t>
            </w:r>
          </w:p>
        </w:tc>
        <w:tc>
          <w:tcPr>
            <w:tcW w:w="80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79.2</w:t>
            </w:r>
          </w:p>
        </w:tc>
      </w:tr>
      <w:tr w:rsidR="00504398" w:rsidRPr="00272AF2" w:rsidTr="008C39B4">
        <w:trPr>
          <w:trHeight w:hRule="exact" w:val="288"/>
        </w:trPr>
        <w:tc>
          <w:tcPr>
            <w:tcW w:w="1169" w:type="pct"/>
            <w:tcBorders>
              <w:top w:val="nil"/>
              <w:left w:val="nil"/>
              <w:bottom w:val="nil"/>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Fourth</w:t>
            </w:r>
          </w:p>
        </w:tc>
        <w:tc>
          <w:tcPr>
            <w:tcW w:w="730"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21.1</w:t>
            </w:r>
          </w:p>
        </w:tc>
        <w:tc>
          <w:tcPr>
            <w:tcW w:w="741"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32.6</w:t>
            </w:r>
          </w:p>
        </w:tc>
        <w:tc>
          <w:tcPr>
            <w:tcW w:w="71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17.0</w:t>
            </w:r>
          </w:p>
        </w:tc>
        <w:tc>
          <w:tcPr>
            <w:tcW w:w="836"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28.1</w:t>
            </w:r>
          </w:p>
        </w:tc>
        <w:tc>
          <w:tcPr>
            <w:tcW w:w="807" w:type="pct"/>
            <w:tcBorders>
              <w:top w:val="nil"/>
              <w:left w:val="nil"/>
              <w:bottom w:val="nil"/>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98.8</w:t>
            </w:r>
          </w:p>
        </w:tc>
      </w:tr>
      <w:tr w:rsidR="00504398" w:rsidRPr="00272AF2" w:rsidTr="008C39B4">
        <w:trPr>
          <w:trHeight w:hRule="exact" w:val="288"/>
        </w:trPr>
        <w:tc>
          <w:tcPr>
            <w:tcW w:w="1169" w:type="pct"/>
            <w:tcBorders>
              <w:top w:val="nil"/>
              <w:left w:val="nil"/>
              <w:bottom w:val="single" w:sz="4"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Richest</w:t>
            </w:r>
          </w:p>
        </w:tc>
        <w:tc>
          <w:tcPr>
            <w:tcW w:w="730"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42.0</w:t>
            </w:r>
          </w:p>
        </w:tc>
        <w:tc>
          <w:tcPr>
            <w:tcW w:w="741"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46.5</w:t>
            </w:r>
          </w:p>
        </w:tc>
        <w:tc>
          <w:tcPr>
            <w:tcW w:w="717"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30.2</w:t>
            </w:r>
          </w:p>
        </w:tc>
        <w:tc>
          <w:tcPr>
            <w:tcW w:w="836"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38.6</w:t>
            </w:r>
          </w:p>
        </w:tc>
        <w:tc>
          <w:tcPr>
            <w:tcW w:w="807" w:type="pct"/>
            <w:tcBorders>
              <w:top w:val="nil"/>
              <w:left w:val="nil"/>
              <w:bottom w:val="single" w:sz="4"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157.2</w:t>
            </w:r>
          </w:p>
        </w:tc>
      </w:tr>
      <w:tr w:rsidR="00504398" w:rsidRPr="00272AF2" w:rsidTr="008C39B4">
        <w:trPr>
          <w:trHeight w:hRule="exact" w:val="288"/>
        </w:trPr>
        <w:tc>
          <w:tcPr>
            <w:tcW w:w="1169" w:type="pct"/>
            <w:tcBorders>
              <w:top w:val="nil"/>
              <w:left w:val="nil"/>
              <w:bottom w:val="double" w:sz="6" w:space="0" w:color="000000"/>
              <w:right w:val="nil"/>
            </w:tcBorders>
            <w:shd w:val="clear" w:color="auto" w:fill="auto"/>
            <w:vAlign w:val="center"/>
            <w:hideMark/>
          </w:tcPr>
          <w:p w:rsidR="00504398" w:rsidRPr="00272AF2" w:rsidRDefault="00504398" w:rsidP="00D56EDF">
            <w:pPr>
              <w:spacing w:after="0" w:line="240" w:lineRule="auto"/>
              <w:rPr>
                <w:rFonts w:ascii="Times New Roman" w:eastAsia="Times New Roman" w:hAnsi="Times New Roman" w:cs="Times New Roman"/>
                <w:b/>
                <w:bCs/>
                <w:sz w:val="20"/>
                <w:szCs w:val="20"/>
              </w:rPr>
            </w:pPr>
            <w:r w:rsidRPr="00272AF2">
              <w:rPr>
                <w:rFonts w:ascii="Times New Roman" w:eastAsia="Times New Roman" w:hAnsi="Times New Roman" w:cs="Times New Roman"/>
                <w:b/>
                <w:bCs/>
                <w:sz w:val="20"/>
                <w:szCs w:val="20"/>
              </w:rPr>
              <w:t>Total</w:t>
            </w:r>
          </w:p>
        </w:tc>
        <w:tc>
          <w:tcPr>
            <w:tcW w:w="730"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89.0</w:t>
            </w:r>
          </w:p>
        </w:tc>
        <w:tc>
          <w:tcPr>
            <w:tcW w:w="741"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152.8</w:t>
            </w:r>
          </w:p>
        </w:tc>
        <w:tc>
          <w:tcPr>
            <w:tcW w:w="717"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77.5</w:t>
            </w:r>
          </w:p>
        </w:tc>
        <w:tc>
          <w:tcPr>
            <w:tcW w:w="836"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127.7</w:t>
            </w:r>
          </w:p>
        </w:tc>
        <w:tc>
          <w:tcPr>
            <w:tcW w:w="807" w:type="pct"/>
            <w:tcBorders>
              <w:top w:val="nil"/>
              <w:left w:val="nil"/>
              <w:bottom w:val="double" w:sz="6" w:space="0" w:color="000000"/>
              <w:right w:val="nil"/>
            </w:tcBorders>
            <w:shd w:val="clear" w:color="auto" w:fill="auto"/>
            <w:noWrap/>
            <w:vAlign w:val="center"/>
            <w:hideMark/>
          </w:tcPr>
          <w:p w:rsidR="00504398" w:rsidRPr="00272AF2" w:rsidRDefault="00504398" w:rsidP="00A2188B">
            <w:pPr>
              <w:spacing w:after="0" w:line="240" w:lineRule="auto"/>
              <w:jc w:val="center"/>
              <w:rPr>
                <w:rFonts w:ascii="Times New Roman" w:eastAsia="Times New Roman" w:hAnsi="Times New Roman" w:cs="Times New Roman"/>
                <w:sz w:val="20"/>
                <w:szCs w:val="20"/>
              </w:rPr>
            </w:pPr>
            <w:r w:rsidRPr="00272AF2">
              <w:rPr>
                <w:rFonts w:ascii="Times New Roman" w:eastAsia="Times New Roman" w:hAnsi="Times New Roman" w:cs="Times New Roman"/>
                <w:sz w:val="20"/>
                <w:szCs w:val="20"/>
              </w:rPr>
              <w:t>447.0</w:t>
            </w:r>
          </w:p>
        </w:tc>
      </w:tr>
    </w:tbl>
    <w:p w:rsidR="008C39B4" w:rsidRPr="00CB6774" w:rsidRDefault="008C39B4" w:rsidP="008C39B4">
      <w:pPr>
        <w:pStyle w:val="Caption"/>
        <w:spacing w:before="0" w:after="0"/>
        <w:jc w:val="left"/>
        <w:rPr>
          <w:b w:val="0"/>
          <w:sz w:val="18"/>
        </w:rPr>
      </w:pPr>
      <w:bookmarkStart w:id="44" w:name="_Toc410901650"/>
      <w:r w:rsidRPr="00CB6774">
        <w:rPr>
          <w:b w:val="0"/>
          <w:i/>
          <w:sz w:val="18"/>
        </w:rPr>
        <w:t>Source:</w:t>
      </w:r>
      <w:r w:rsidRPr="00CB6774">
        <w:rPr>
          <w:b w:val="0"/>
          <w:sz w:val="18"/>
        </w:rPr>
        <w:t xml:space="preserve"> World Bank calculation based on the EDAM 3.</w:t>
      </w:r>
    </w:p>
    <w:p w:rsidR="00504398" w:rsidRDefault="00504398" w:rsidP="00962ADE">
      <w:pPr>
        <w:pStyle w:val="Heading1"/>
        <w:spacing w:after="240"/>
        <w:rPr>
          <w:rFonts w:eastAsia="Times New Roman"/>
        </w:rPr>
      </w:pPr>
      <w:bookmarkStart w:id="45" w:name="_Toc412105859"/>
      <w:r w:rsidRPr="00504398">
        <w:rPr>
          <w:rFonts w:eastAsia="Times New Roman"/>
        </w:rPr>
        <w:t xml:space="preserve">What is </w:t>
      </w:r>
      <w:r w:rsidR="00CA70DF">
        <w:rPr>
          <w:rFonts w:eastAsia="Times New Roman"/>
        </w:rPr>
        <w:t>the Current R</w:t>
      </w:r>
      <w:r w:rsidRPr="00504398">
        <w:rPr>
          <w:rFonts w:eastAsia="Times New Roman"/>
        </w:rPr>
        <w:t xml:space="preserve">ole of </w:t>
      </w:r>
      <w:r w:rsidR="00CA70DF">
        <w:rPr>
          <w:rFonts w:eastAsia="Times New Roman"/>
        </w:rPr>
        <w:t>Social Safety Nets in Djibouti</w:t>
      </w:r>
      <w:r w:rsidRPr="00504398">
        <w:rPr>
          <w:rFonts w:eastAsia="Times New Roman"/>
        </w:rPr>
        <w:t>?</w:t>
      </w:r>
      <w:bookmarkEnd w:id="44"/>
      <w:bookmarkEnd w:id="45"/>
      <w:r w:rsidRPr="00504398">
        <w:rPr>
          <w:rFonts w:eastAsia="Times New Roman"/>
        </w:rPr>
        <w:t xml:space="preserve"> </w:t>
      </w:r>
    </w:p>
    <w:p w:rsidR="000E4797" w:rsidRDefault="00A2188B" w:rsidP="00600CD2">
      <w:pPr>
        <w:widowControl w:val="0"/>
        <w:numPr>
          <w:ilvl w:val="0"/>
          <w:numId w:val="1"/>
        </w:numPr>
        <w:autoSpaceDE w:val="0"/>
        <w:autoSpaceDN w:val="0"/>
        <w:adjustRightInd w:val="0"/>
        <w:spacing w:after="240" w:line="240" w:lineRule="auto"/>
        <w:ind w:left="0" w:firstLine="0"/>
        <w:jc w:val="both"/>
        <w:rPr>
          <w:rFonts w:ascii="Times New Roman" w:hAnsi="Times New Roman"/>
          <w:bCs/>
        </w:rPr>
      </w:pPr>
      <w:r>
        <w:rPr>
          <w:rFonts w:ascii="Times New Roman" w:hAnsi="Times New Roman"/>
          <w:bCs/>
        </w:rPr>
        <w:t>A</w:t>
      </w:r>
      <w:r w:rsidRPr="000E4797">
        <w:rPr>
          <w:rFonts w:ascii="Times New Roman" w:hAnsi="Times New Roman"/>
          <w:bCs/>
        </w:rPr>
        <w:t xml:space="preserve"> </w:t>
      </w:r>
      <w:r w:rsidR="00504398" w:rsidRPr="000E4797">
        <w:rPr>
          <w:rFonts w:ascii="Times New Roman" w:hAnsi="Times New Roman"/>
          <w:bCs/>
        </w:rPr>
        <w:t xml:space="preserve">public safety net typically consists of publicly sponsored programs that provide income or in-kind support and access to basic social services to the poorest and vulnerable members of society. In addition, there are other types of transfers such as contributory social insurance like pensions, labor market programs, subsidies on food and fuel products, </w:t>
      </w:r>
      <w:r>
        <w:rPr>
          <w:rFonts w:ascii="Times New Roman" w:hAnsi="Times New Roman"/>
          <w:bCs/>
        </w:rPr>
        <w:t>and</w:t>
      </w:r>
      <w:r w:rsidR="00504398" w:rsidRPr="000E4797">
        <w:rPr>
          <w:rFonts w:ascii="Times New Roman" w:hAnsi="Times New Roman"/>
          <w:bCs/>
        </w:rPr>
        <w:t xml:space="preserve"> private transfers (remittances) among households. To assess the effectiveness of these transfers to protect the poorest and vulnerable from shocks, a number of indicators are presented, for example, coverage, targeting accuracy, and generosity.</w:t>
      </w:r>
    </w:p>
    <w:p w:rsidR="00504398" w:rsidRPr="001000E9"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bCs/>
        </w:rPr>
      </w:pPr>
      <w:r w:rsidRPr="001000E9">
        <w:rPr>
          <w:rFonts w:ascii="Times New Roman" w:eastAsia="Times New Roman" w:hAnsi="Times New Roman" w:cs="Times New Roman"/>
        </w:rPr>
        <w:t xml:space="preserve">Untargeted tax exemptions (implicit subsidies) reach a wider part of the population than targeted programs. </w:t>
      </w:r>
      <w:r w:rsidR="001000E9" w:rsidRPr="001000E9">
        <w:rPr>
          <w:rFonts w:ascii="Times New Roman" w:eastAsia="Times New Roman" w:hAnsi="Times New Roman" w:cs="Times New Roman"/>
        </w:rPr>
        <w:fldChar w:fldCharType="begin"/>
      </w:r>
      <w:r w:rsidR="001000E9" w:rsidRPr="001000E9">
        <w:rPr>
          <w:rFonts w:ascii="Times New Roman" w:eastAsia="Times New Roman" w:hAnsi="Times New Roman" w:cs="Times New Roman"/>
        </w:rPr>
        <w:instrText xml:space="preserve"> REF _Ref411954421 \h </w:instrText>
      </w:r>
      <w:r w:rsidR="001000E9">
        <w:rPr>
          <w:rFonts w:ascii="Times New Roman" w:eastAsia="Times New Roman" w:hAnsi="Times New Roman" w:cs="Times New Roman"/>
        </w:rPr>
        <w:instrText xml:space="preserve"> \* MERGEFORMAT </w:instrText>
      </w:r>
      <w:r w:rsidR="001000E9" w:rsidRPr="001000E9">
        <w:rPr>
          <w:rFonts w:ascii="Times New Roman" w:eastAsia="Times New Roman" w:hAnsi="Times New Roman" w:cs="Times New Roman"/>
        </w:rPr>
      </w:r>
      <w:r w:rsidR="001000E9" w:rsidRPr="001000E9">
        <w:rPr>
          <w:rFonts w:ascii="Times New Roman" w:eastAsia="Times New Roman" w:hAnsi="Times New Roman" w:cs="Times New Roman"/>
        </w:rPr>
        <w:fldChar w:fldCharType="separate"/>
      </w:r>
      <w:r w:rsidR="001000E9" w:rsidRPr="001000E9">
        <w:rPr>
          <w:rFonts w:ascii="Times New Roman" w:hAnsi="Times New Roman" w:cs="Times New Roman"/>
        </w:rPr>
        <w:t xml:space="preserve">Table </w:t>
      </w:r>
      <w:r w:rsidR="001000E9" w:rsidRPr="001000E9">
        <w:rPr>
          <w:rFonts w:ascii="Times New Roman" w:hAnsi="Times New Roman" w:cs="Times New Roman"/>
          <w:noProof/>
        </w:rPr>
        <w:t>14</w:t>
      </w:r>
      <w:r w:rsidR="001000E9" w:rsidRPr="001000E9">
        <w:rPr>
          <w:rFonts w:ascii="Times New Roman" w:eastAsia="Times New Roman" w:hAnsi="Times New Roman" w:cs="Times New Roman"/>
        </w:rPr>
        <w:fldChar w:fldCharType="end"/>
      </w:r>
      <w:r w:rsidRPr="001000E9">
        <w:rPr>
          <w:rFonts w:ascii="Times New Roman" w:eastAsia="Times New Roman" w:hAnsi="Times New Roman" w:cs="Times New Roman"/>
        </w:rPr>
        <w:t xml:space="preserve"> shows the percentage of the population (by welfare quintile) receiving seven types of transfers: pensions (private or public), compensation for health care expenditure, food rations, cash transfers from the government or </w:t>
      </w:r>
      <w:r w:rsidR="00A2188B">
        <w:rPr>
          <w:rFonts w:ascii="Times New Roman" w:eastAsia="Times New Roman" w:hAnsi="Times New Roman" w:cs="Times New Roman"/>
        </w:rPr>
        <w:t>nongovernmental organizations (</w:t>
      </w:r>
      <w:r w:rsidRPr="001000E9">
        <w:rPr>
          <w:rFonts w:ascii="Times New Roman" w:eastAsia="Times New Roman" w:hAnsi="Times New Roman" w:cs="Times New Roman"/>
        </w:rPr>
        <w:t>NGOs</w:t>
      </w:r>
      <w:r w:rsidR="00A2188B">
        <w:rPr>
          <w:rFonts w:ascii="Times New Roman" w:eastAsia="Times New Roman" w:hAnsi="Times New Roman" w:cs="Times New Roman"/>
        </w:rPr>
        <w:t>)</w:t>
      </w:r>
      <w:r w:rsidRPr="001000E9">
        <w:rPr>
          <w:rFonts w:ascii="Times New Roman" w:eastAsia="Times New Roman" w:hAnsi="Times New Roman" w:cs="Times New Roman"/>
        </w:rPr>
        <w:t xml:space="preserve">, publicly provided food and fuel subsidies, and private transfers received from family and friends. Tax exemptions on basic food items reach </w:t>
      </w:r>
      <w:r w:rsidRPr="00200909">
        <w:rPr>
          <w:rFonts w:ascii="Times New Roman" w:eastAsia="Times New Roman" w:hAnsi="Times New Roman" w:cs="Times New Roman"/>
        </w:rPr>
        <w:t>the</w:t>
      </w:r>
      <w:r w:rsidRPr="001000E9">
        <w:rPr>
          <w:rFonts w:ascii="Times New Roman" w:eastAsia="Times New Roman" w:hAnsi="Times New Roman" w:cs="Times New Roman"/>
        </w:rPr>
        <w:t xml:space="preserve"> majority of </w:t>
      </w:r>
      <w:r w:rsidR="00A2188B">
        <w:rPr>
          <w:rFonts w:ascii="Times New Roman" w:eastAsia="Times New Roman" w:hAnsi="Times New Roman" w:cs="Times New Roman"/>
        </w:rPr>
        <w:t xml:space="preserve">the </w:t>
      </w:r>
      <w:r w:rsidRPr="001000E9">
        <w:rPr>
          <w:rFonts w:ascii="Times New Roman" w:eastAsia="Times New Roman" w:hAnsi="Times New Roman" w:cs="Times New Roman"/>
        </w:rPr>
        <w:t xml:space="preserve">poor (77.3 percent in the first quintile) and almost </w:t>
      </w:r>
      <w:r w:rsidRPr="00200909">
        <w:rPr>
          <w:rFonts w:ascii="Times New Roman" w:eastAsia="Times New Roman" w:hAnsi="Times New Roman" w:cs="Times New Roman"/>
        </w:rPr>
        <w:t>the</w:t>
      </w:r>
      <w:r w:rsidRPr="001000E9">
        <w:rPr>
          <w:rFonts w:ascii="Times New Roman" w:eastAsia="Times New Roman" w:hAnsi="Times New Roman" w:cs="Times New Roman"/>
        </w:rPr>
        <w:t xml:space="preserve"> majority of individuals in the other quintiles. Tax exemptions on certain fuel products, on the other hand, benefit only</w:t>
      </w:r>
      <w:r w:rsidR="00B4739E">
        <w:rPr>
          <w:rFonts w:ascii="Times New Roman" w:eastAsia="Times New Roman" w:hAnsi="Times New Roman" w:cs="Times New Roman"/>
        </w:rPr>
        <w:t xml:space="preserve"> </w:t>
      </w:r>
      <w:r w:rsidRPr="001000E9">
        <w:rPr>
          <w:rFonts w:ascii="Times New Roman" w:eastAsia="Times New Roman" w:hAnsi="Times New Roman" w:cs="Times New Roman"/>
        </w:rPr>
        <w:t xml:space="preserve">17 percent of the poorest quintile but more than 82 percent of the richest. About a quarter of the population in the poorest quintile benefits from food rations, </w:t>
      </w:r>
      <w:r w:rsidRPr="001000E9">
        <w:rPr>
          <w:rFonts w:ascii="Times New Roman" w:eastAsia="Times New Roman" w:hAnsi="Times New Roman" w:cs="Times New Roman"/>
          <w:lang w:val="en"/>
        </w:rPr>
        <w:t>making it a program with relatively effective targeting</w:t>
      </w:r>
      <w:r w:rsidR="0072385D" w:rsidRPr="001000E9">
        <w:rPr>
          <w:rFonts w:ascii="Times New Roman" w:eastAsia="Times New Roman" w:hAnsi="Times New Roman" w:cs="Times New Roman"/>
          <w:lang w:val="en"/>
        </w:rPr>
        <w:t xml:space="preserve">. </w:t>
      </w:r>
      <w:r w:rsidRPr="001000E9">
        <w:rPr>
          <w:rFonts w:ascii="Times New Roman" w:eastAsia="Times New Roman" w:hAnsi="Times New Roman" w:cs="Times New Roman"/>
        </w:rPr>
        <w:t>Compensation for health expenditure disproportionately benefits the richer quintiles. Very few households (less than 10 percent) benefit from pensions. Finally, 21 percent of Djibouti households receive private transfers (international or national) and these transfers mainly benefit the poorest households.</w:t>
      </w:r>
    </w:p>
    <w:p w:rsidR="001000E9" w:rsidRDefault="001000E9" w:rsidP="001000E9">
      <w:pPr>
        <w:pStyle w:val="Caption"/>
      </w:pPr>
      <w:bookmarkStart w:id="46" w:name="_Ref411954421"/>
      <w:bookmarkStart w:id="47" w:name="_Toc412105845"/>
      <w:bookmarkStart w:id="48" w:name="_Ref404180968"/>
      <w:bookmarkStart w:id="49" w:name="_Toc404619680"/>
      <w:r>
        <w:t xml:space="preserve">Table </w:t>
      </w:r>
      <w:fldSimple w:instr=" SEQ Table \* ARABIC ">
        <w:r>
          <w:rPr>
            <w:noProof/>
          </w:rPr>
          <w:t>14</w:t>
        </w:r>
      </w:fldSimple>
      <w:bookmarkEnd w:id="46"/>
      <w:r>
        <w:t xml:space="preserve">: </w:t>
      </w:r>
      <w:r w:rsidRPr="0014506F">
        <w:t>Coverage of Transfer Programs</w:t>
      </w:r>
      <w:bookmarkEnd w:id="47"/>
    </w:p>
    <w:bookmarkEnd w:id="48"/>
    <w:bookmarkEnd w:id="49"/>
    <w:tbl>
      <w:tblPr>
        <w:tblW w:w="4891" w:type="pct"/>
        <w:tblInd w:w="108" w:type="dxa"/>
        <w:tblLayout w:type="fixed"/>
        <w:tblLook w:val="04A0" w:firstRow="1" w:lastRow="0" w:firstColumn="1" w:lastColumn="0" w:noHBand="0" w:noVBand="1"/>
      </w:tblPr>
      <w:tblGrid>
        <w:gridCol w:w="976"/>
        <w:gridCol w:w="985"/>
        <w:gridCol w:w="1524"/>
        <w:gridCol w:w="925"/>
        <w:gridCol w:w="1331"/>
        <w:gridCol w:w="1049"/>
        <w:gridCol w:w="1060"/>
        <w:gridCol w:w="1306"/>
      </w:tblGrid>
      <w:tr w:rsidR="00504398" w:rsidRPr="008847D3" w:rsidTr="00EF6B01">
        <w:trPr>
          <w:trHeight w:val="510"/>
          <w:tblHeader/>
        </w:trPr>
        <w:tc>
          <w:tcPr>
            <w:tcW w:w="533" w:type="pct"/>
            <w:tcBorders>
              <w:top w:val="double" w:sz="4" w:space="0" w:color="auto"/>
              <w:bottom w:val="single" w:sz="4" w:space="0" w:color="000000"/>
              <w:right w:val="nil"/>
            </w:tcBorders>
            <w:shd w:val="clear" w:color="auto" w:fill="auto"/>
            <w:vAlign w:val="center"/>
            <w:hideMark/>
          </w:tcPr>
          <w:p w:rsidR="00504398" w:rsidRPr="008847D3" w:rsidRDefault="00504398" w:rsidP="00D56EDF">
            <w:pPr>
              <w:spacing w:after="0"/>
              <w:jc w:val="center"/>
              <w:rPr>
                <w:rFonts w:ascii="Times New Roman" w:eastAsia="Times New Roman" w:hAnsi="Times New Roman" w:cs="Times New Roman"/>
                <w:b/>
                <w:bCs/>
                <w:color w:val="000000"/>
                <w:sz w:val="20"/>
                <w:szCs w:val="20"/>
                <w:lang w:eastAsia="zh-CN"/>
              </w:rPr>
            </w:pPr>
          </w:p>
        </w:tc>
        <w:tc>
          <w:tcPr>
            <w:tcW w:w="538" w:type="pct"/>
            <w:tcBorders>
              <w:top w:val="double" w:sz="4" w:space="0" w:color="auto"/>
              <w:left w:val="nil"/>
              <w:bottom w:val="single" w:sz="4" w:space="0" w:color="auto"/>
              <w:right w:val="nil"/>
            </w:tcBorders>
            <w:shd w:val="clear" w:color="auto" w:fill="auto"/>
            <w:vAlign w:val="center"/>
            <w:hideMark/>
          </w:tcPr>
          <w:p w:rsidR="00504398" w:rsidRPr="008847D3" w:rsidRDefault="00504398" w:rsidP="00D56EDF">
            <w:pPr>
              <w:spacing w:after="0"/>
              <w:jc w:val="center"/>
              <w:rPr>
                <w:rFonts w:ascii="Times New Roman" w:eastAsia="Times New Roman" w:hAnsi="Times New Roman" w:cs="Times New Roman"/>
                <w:b/>
                <w:color w:val="000000"/>
                <w:sz w:val="20"/>
                <w:szCs w:val="20"/>
                <w:lang w:eastAsia="zh-CN"/>
              </w:rPr>
            </w:pPr>
            <w:r w:rsidRPr="008847D3">
              <w:rPr>
                <w:rFonts w:ascii="Times New Roman" w:eastAsia="Times New Roman" w:hAnsi="Times New Roman" w:cs="Times New Roman"/>
                <w:b/>
                <w:color w:val="000000"/>
                <w:sz w:val="20"/>
                <w:szCs w:val="20"/>
                <w:lang w:eastAsia="zh-CN"/>
              </w:rPr>
              <w:t>Pensions</w:t>
            </w:r>
          </w:p>
        </w:tc>
        <w:tc>
          <w:tcPr>
            <w:tcW w:w="832" w:type="pct"/>
            <w:tcBorders>
              <w:top w:val="double" w:sz="4" w:space="0" w:color="auto"/>
              <w:left w:val="nil"/>
              <w:bottom w:val="single" w:sz="4" w:space="0" w:color="auto"/>
              <w:right w:val="nil"/>
            </w:tcBorders>
            <w:shd w:val="clear" w:color="auto" w:fill="auto"/>
            <w:vAlign w:val="center"/>
            <w:hideMark/>
          </w:tcPr>
          <w:p w:rsidR="00504398" w:rsidRPr="008847D3" w:rsidRDefault="00504398" w:rsidP="00D56EDF">
            <w:pPr>
              <w:spacing w:after="0"/>
              <w:jc w:val="center"/>
              <w:rPr>
                <w:rFonts w:ascii="Times New Roman" w:eastAsia="Times New Roman" w:hAnsi="Times New Roman" w:cs="Times New Roman"/>
                <w:b/>
                <w:color w:val="000000"/>
                <w:sz w:val="20"/>
                <w:szCs w:val="20"/>
                <w:lang w:eastAsia="zh-CN"/>
              </w:rPr>
            </w:pPr>
            <w:r w:rsidRPr="008847D3">
              <w:rPr>
                <w:rFonts w:ascii="Times New Roman" w:eastAsia="Times New Roman" w:hAnsi="Times New Roman" w:cs="Times New Roman"/>
                <w:b/>
                <w:color w:val="000000"/>
                <w:sz w:val="20"/>
                <w:szCs w:val="20"/>
                <w:lang w:eastAsia="zh-CN"/>
              </w:rPr>
              <w:t>Compensation for Health Care Expenditure</w:t>
            </w:r>
          </w:p>
        </w:tc>
        <w:tc>
          <w:tcPr>
            <w:tcW w:w="505" w:type="pct"/>
            <w:tcBorders>
              <w:top w:val="double" w:sz="4" w:space="0" w:color="auto"/>
              <w:left w:val="nil"/>
              <w:bottom w:val="single" w:sz="4" w:space="0" w:color="auto"/>
              <w:right w:val="nil"/>
            </w:tcBorders>
            <w:shd w:val="clear" w:color="auto" w:fill="auto"/>
            <w:vAlign w:val="center"/>
            <w:hideMark/>
          </w:tcPr>
          <w:p w:rsidR="00504398" w:rsidRPr="008847D3" w:rsidRDefault="00504398" w:rsidP="00D56EDF">
            <w:pPr>
              <w:spacing w:after="0"/>
              <w:jc w:val="center"/>
              <w:rPr>
                <w:rFonts w:ascii="Times New Roman" w:eastAsia="Times New Roman" w:hAnsi="Times New Roman" w:cs="Times New Roman"/>
                <w:b/>
                <w:color w:val="000000"/>
                <w:sz w:val="20"/>
                <w:szCs w:val="20"/>
                <w:lang w:eastAsia="zh-CN"/>
              </w:rPr>
            </w:pPr>
            <w:r w:rsidRPr="008847D3">
              <w:rPr>
                <w:rFonts w:ascii="Times New Roman" w:eastAsia="Times New Roman" w:hAnsi="Times New Roman" w:cs="Times New Roman"/>
                <w:b/>
                <w:color w:val="000000"/>
                <w:sz w:val="20"/>
                <w:szCs w:val="20"/>
                <w:lang w:eastAsia="zh-CN"/>
              </w:rPr>
              <w:t>Food Rations</w:t>
            </w:r>
          </w:p>
        </w:tc>
        <w:tc>
          <w:tcPr>
            <w:tcW w:w="727" w:type="pct"/>
            <w:tcBorders>
              <w:top w:val="double" w:sz="4" w:space="0" w:color="auto"/>
              <w:left w:val="nil"/>
              <w:bottom w:val="single" w:sz="4" w:space="0" w:color="auto"/>
              <w:right w:val="nil"/>
            </w:tcBorders>
            <w:shd w:val="clear" w:color="auto" w:fill="auto"/>
            <w:vAlign w:val="center"/>
            <w:hideMark/>
          </w:tcPr>
          <w:p w:rsidR="00504398" w:rsidRPr="008847D3" w:rsidRDefault="00504398" w:rsidP="00D56EDF">
            <w:pPr>
              <w:spacing w:after="0"/>
              <w:jc w:val="center"/>
              <w:rPr>
                <w:rFonts w:ascii="Times New Roman" w:eastAsia="Times New Roman" w:hAnsi="Times New Roman" w:cs="Times New Roman"/>
                <w:b/>
                <w:color w:val="000000"/>
                <w:sz w:val="20"/>
                <w:szCs w:val="20"/>
                <w:lang w:eastAsia="zh-CN"/>
              </w:rPr>
            </w:pPr>
            <w:r w:rsidRPr="008847D3">
              <w:rPr>
                <w:rFonts w:ascii="Times New Roman" w:eastAsia="Times New Roman" w:hAnsi="Times New Roman" w:cs="Times New Roman"/>
                <w:b/>
                <w:color w:val="000000"/>
                <w:sz w:val="20"/>
                <w:szCs w:val="20"/>
                <w:lang w:eastAsia="zh-CN"/>
              </w:rPr>
              <w:t>Transfers from Government or NGOs</w:t>
            </w:r>
          </w:p>
        </w:tc>
        <w:tc>
          <w:tcPr>
            <w:tcW w:w="573" w:type="pct"/>
            <w:tcBorders>
              <w:top w:val="double" w:sz="4" w:space="0" w:color="auto"/>
              <w:left w:val="nil"/>
              <w:bottom w:val="single" w:sz="4" w:space="0" w:color="auto"/>
              <w:right w:val="nil"/>
            </w:tcBorders>
            <w:shd w:val="clear" w:color="auto" w:fill="auto"/>
            <w:vAlign w:val="center"/>
            <w:hideMark/>
          </w:tcPr>
          <w:p w:rsidR="00504398" w:rsidRPr="008847D3" w:rsidRDefault="00504398" w:rsidP="00D56EDF">
            <w:pPr>
              <w:spacing w:after="0"/>
              <w:jc w:val="center"/>
              <w:rPr>
                <w:rFonts w:ascii="Times New Roman" w:eastAsia="Times New Roman" w:hAnsi="Times New Roman" w:cs="Times New Roman"/>
                <w:b/>
                <w:color w:val="000000"/>
                <w:sz w:val="20"/>
                <w:szCs w:val="20"/>
                <w:lang w:eastAsia="zh-CN"/>
              </w:rPr>
            </w:pPr>
            <w:r w:rsidRPr="008847D3">
              <w:rPr>
                <w:rFonts w:ascii="Times New Roman" w:eastAsia="Times New Roman" w:hAnsi="Times New Roman" w:cs="Times New Roman"/>
                <w:b/>
                <w:color w:val="000000"/>
                <w:sz w:val="20"/>
                <w:szCs w:val="20"/>
                <w:lang w:eastAsia="zh-CN"/>
              </w:rPr>
              <w:t>Food Subsidies</w:t>
            </w:r>
          </w:p>
        </w:tc>
        <w:tc>
          <w:tcPr>
            <w:tcW w:w="579" w:type="pct"/>
            <w:tcBorders>
              <w:top w:val="double" w:sz="4" w:space="0" w:color="auto"/>
              <w:left w:val="nil"/>
              <w:bottom w:val="single" w:sz="4" w:space="0" w:color="auto"/>
              <w:right w:val="nil"/>
            </w:tcBorders>
            <w:shd w:val="clear" w:color="auto" w:fill="auto"/>
            <w:vAlign w:val="center"/>
            <w:hideMark/>
          </w:tcPr>
          <w:p w:rsidR="00504398" w:rsidRPr="008847D3" w:rsidRDefault="00504398" w:rsidP="00D56EDF">
            <w:pPr>
              <w:spacing w:after="0"/>
              <w:jc w:val="center"/>
              <w:rPr>
                <w:rFonts w:ascii="Times New Roman" w:eastAsia="Times New Roman" w:hAnsi="Times New Roman" w:cs="Times New Roman"/>
                <w:b/>
                <w:color w:val="000000"/>
                <w:sz w:val="20"/>
                <w:szCs w:val="20"/>
                <w:lang w:eastAsia="zh-CN"/>
              </w:rPr>
            </w:pPr>
            <w:r w:rsidRPr="008847D3">
              <w:rPr>
                <w:rFonts w:ascii="Times New Roman" w:eastAsia="Times New Roman" w:hAnsi="Times New Roman" w:cs="Times New Roman"/>
                <w:b/>
                <w:color w:val="000000"/>
                <w:sz w:val="20"/>
                <w:szCs w:val="20"/>
                <w:lang w:eastAsia="zh-CN"/>
              </w:rPr>
              <w:t>Fuel Subsidies</w:t>
            </w:r>
          </w:p>
        </w:tc>
        <w:tc>
          <w:tcPr>
            <w:tcW w:w="713" w:type="pct"/>
            <w:tcBorders>
              <w:top w:val="double" w:sz="4" w:space="0" w:color="auto"/>
              <w:left w:val="nil"/>
              <w:bottom w:val="single" w:sz="4" w:space="0" w:color="auto"/>
            </w:tcBorders>
            <w:shd w:val="clear" w:color="auto" w:fill="auto"/>
            <w:vAlign w:val="center"/>
            <w:hideMark/>
          </w:tcPr>
          <w:p w:rsidR="00504398" w:rsidRPr="008847D3" w:rsidRDefault="00504398" w:rsidP="00D56EDF">
            <w:pPr>
              <w:spacing w:after="0"/>
              <w:jc w:val="center"/>
              <w:rPr>
                <w:rFonts w:ascii="Times New Roman" w:eastAsia="Times New Roman" w:hAnsi="Times New Roman" w:cs="Times New Roman"/>
                <w:b/>
                <w:color w:val="000000"/>
                <w:sz w:val="20"/>
                <w:szCs w:val="20"/>
                <w:lang w:eastAsia="zh-CN"/>
              </w:rPr>
            </w:pPr>
            <w:r w:rsidRPr="008847D3">
              <w:rPr>
                <w:rFonts w:ascii="Times New Roman" w:eastAsia="Times New Roman" w:hAnsi="Times New Roman" w:cs="Times New Roman"/>
                <w:b/>
                <w:color w:val="000000"/>
                <w:sz w:val="20"/>
                <w:szCs w:val="20"/>
                <w:lang w:eastAsia="zh-CN"/>
              </w:rPr>
              <w:t>Remittances</w:t>
            </w:r>
          </w:p>
        </w:tc>
      </w:tr>
      <w:tr w:rsidR="00504398" w:rsidRPr="008847D3" w:rsidTr="00EF6B01">
        <w:trPr>
          <w:trHeight w:val="300"/>
        </w:trPr>
        <w:tc>
          <w:tcPr>
            <w:tcW w:w="533" w:type="pct"/>
            <w:tcBorders>
              <w:top w:val="single" w:sz="4" w:space="0" w:color="000000"/>
              <w:bottom w:val="single" w:sz="4" w:space="0" w:color="000000"/>
              <w:right w:val="nil"/>
            </w:tcBorders>
            <w:shd w:val="clear" w:color="auto" w:fill="auto"/>
            <w:vAlign w:val="center"/>
            <w:hideMark/>
          </w:tcPr>
          <w:p w:rsidR="00504398" w:rsidRPr="008847D3" w:rsidRDefault="00504398" w:rsidP="00B4739E">
            <w:pPr>
              <w:spacing w:after="0"/>
              <w:jc w:val="center"/>
              <w:rPr>
                <w:rFonts w:ascii="Times New Roman" w:eastAsia="Times New Roman" w:hAnsi="Times New Roman" w:cs="Times New Roman"/>
                <w:b/>
                <w:bCs/>
                <w:color w:val="000000"/>
                <w:sz w:val="20"/>
                <w:szCs w:val="20"/>
                <w:lang w:eastAsia="zh-CN"/>
              </w:rPr>
            </w:pPr>
            <w:r w:rsidRPr="008847D3">
              <w:rPr>
                <w:rFonts w:ascii="Times New Roman" w:eastAsia="Times New Roman" w:hAnsi="Times New Roman" w:cs="Times New Roman"/>
                <w:b/>
                <w:bCs/>
                <w:color w:val="000000"/>
                <w:sz w:val="20"/>
                <w:szCs w:val="20"/>
                <w:lang w:eastAsia="zh-CN"/>
              </w:rPr>
              <w:t>Total</w:t>
            </w:r>
          </w:p>
        </w:tc>
        <w:tc>
          <w:tcPr>
            <w:tcW w:w="538" w:type="pct"/>
            <w:tcBorders>
              <w:top w:val="single" w:sz="4" w:space="0" w:color="auto"/>
              <w:left w:val="nil"/>
              <w:bottom w:val="single" w:sz="4" w:space="0" w:color="000000"/>
              <w:right w:val="nil"/>
            </w:tcBorders>
            <w:shd w:val="clear" w:color="auto" w:fill="auto"/>
            <w:noWrap/>
            <w:vAlign w:val="center"/>
            <w:hideMark/>
          </w:tcPr>
          <w:p w:rsidR="00504398" w:rsidRPr="008847D3" w:rsidRDefault="00504398" w:rsidP="00B4739E">
            <w:pPr>
              <w:spacing w:after="0"/>
              <w:jc w:val="center"/>
              <w:rPr>
                <w:rFonts w:ascii="Times New Roman" w:eastAsia="Times New Roman" w:hAnsi="Times New Roman" w:cs="Times New Roman"/>
                <w:color w:val="000000"/>
                <w:sz w:val="20"/>
                <w:szCs w:val="20"/>
                <w:lang w:eastAsia="zh-CN"/>
              </w:rPr>
            </w:pPr>
            <w:r w:rsidRPr="008847D3">
              <w:rPr>
                <w:rFonts w:ascii="Times New Roman" w:eastAsia="Times New Roman" w:hAnsi="Times New Roman" w:cs="Times New Roman"/>
                <w:color w:val="000000"/>
                <w:sz w:val="20"/>
                <w:szCs w:val="20"/>
                <w:lang w:eastAsia="zh-CN"/>
              </w:rPr>
              <w:t>8.5</w:t>
            </w:r>
          </w:p>
        </w:tc>
        <w:tc>
          <w:tcPr>
            <w:tcW w:w="832" w:type="pct"/>
            <w:tcBorders>
              <w:top w:val="single" w:sz="4" w:space="0" w:color="auto"/>
              <w:left w:val="nil"/>
              <w:bottom w:val="single" w:sz="4" w:space="0" w:color="000000"/>
              <w:right w:val="nil"/>
            </w:tcBorders>
            <w:shd w:val="clear" w:color="auto" w:fill="auto"/>
            <w:noWrap/>
            <w:vAlign w:val="center"/>
            <w:hideMark/>
          </w:tcPr>
          <w:p w:rsidR="00504398" w:rsidRPr="008847D3" w:rsidRDefault="00504398" w:rsidP="00B4739E">
            <w:pPr>
              <w:spacing w:after="0"/>
              <w:jc w:val="center"/>
              <w:rPr>
                <w:rFonts w:ascii="Times New Roman" w:eastAsia="Times New Roman" w:hAnsi="Times New Roman" w:cs="Times New Roman"/>
                <w:color w:val="000000"/>
                <w:sz w:val="20"/>
                <w:szCs w:val="20"/>
                <w:lang w:eastAsia="zh-CN"/>
              </w:rPr>
            </w:pPr>
            <w:r w:rsidRPr="008847D3">
              <w:rPr>
                <w:rFonts w:ascii="Times New Roman" w:eastAsia="Times New Roman" w:hAnsi="Times New Roman" w:cs="Times New Roman"/>
                <w:color w:val="000000"/>
                <w:sz w:val="20"/>
                <w:szCs w:val="20"/>
                <w:lang w:eastAsia="zh-CN"/>
              </w:rPr>
              <w:t>4.3</w:t>
            </w:r>
          </w:p>
        </w:tc>
        <w:tc>
          <w:tcPr>
            <w:tcW w:w="505" w:type="pct"/>
            <w:tcBorders>
              <w:top w:val="single" w:sz="4" w:space="0" w:color="auto"/>
              <w:left w:val="nil"/>
              <w:bottom w:val="single" w:sz="4" w:space="0" w:color="000000"/>
              <w:right w:val="nil"/>
            </w:tcBorders>
            <w:shd w:val="clear" w:color="auto" w:fill="auto"/>
            <w:noWrap/>
            <w:vAlign w:val="center"/>
            <w:hideMark/>
          </w:tcPr>
          <w:p w:rsidR="00504398" w:rsidRPr="008847D3" w:rsidRDefault="00504398" w:rsidP="00B4739E">
            <w:pPr>
              <w:spacing w:after="0"/>
              <w:jc w:val="center"/>
              <w:rPr>
                <w:rFonts w:ascii="Times New Roman" w:eastAsia="Times New Roman" w:hAnsi="Times New Roman" w:cs="Times New Roman"/>
                <w:color w:val="000000"/>
                <w:sz w:val="20"/>
                <w:szCs w:val="20"/>
                <w:lang w:eastAsia="zh-CN"/>
              </w:rPr>
            </w:pPr>
            <w:r w:rsidRPr="008847D3">
              <w:rPr>
                <w:rFonts w:ascii="Times New Roman" w:eastAsia="Times New Roman" w:hAnsi="Times New Roman" w:cs="Times New Roman"/>
                <w:color w:val="000000"/>
                <w:sz w:val="20"/>
                <w:szCs w:val="20"/>
                <w:lang w:eastAsia="zh-CN"/>
              </w:rPr>
              <w:t>8.1</w:t>
            </w:r>
          </w:p>
        </w:tc>
        <w:tc>
          <w:tcPr>
            <w:tcW w:w="727" w:type="pct"/>
            <w:tcBorders>
              <w:top w:val="single" w:sz="4" w:space="0" w:color="auto"/>
              <w:left w:val="nil"/>
              <w:bottom w:val="single" w:sz="4" w:space="0" w:color="000000"/>
              <w:right w:val="nil"/>
            </w:tcBorders>
            <w:shd w:val="clear" w:color="auto" w:fill="auto"/>
            <w:noWrap/>
            <w:vAlign w:val="center"/>
            <w:hideMark/>
          </w:tcPr>
          <w:p w:rsidR="00504398" w:rsidRPr="008847D3" w:rsidRDefault="00504398" w:rsidP="00B4739E">
            <w:pPr>
              <w:spacing w:after="0"/>
              <w:jc w:val="center"/>
              <w:rPr>
                <w:rFonts w:ascii="Times New Roman" w:eastAsia="Times New Roman" w:hAnsi="Times New Roman" w:cs="Times New Roman"/>
                <w:color w:val="000000"/>
                <w:sz w:val="20"/>
                <w:szCs w:val="20"/>
                <w:lang w:eastAsia="zh-CN"/>
              </w:rPr>
            </w:pPr>
            <w:r w:rsidRPr="008847D3">
              <w:rPr>
                <w:rFonts w:ascii="Times New Roman" w:eastAsia="Times New Roman" w:hAnsi="Times New Roman" w:cs="Times New Roman"/>
                <w:color w:val="000000"/>
                <w:sz w:val="20"/>
                <w:szCs w:val="20"/>
                <w:lang w:eastAsia="zh-CN"/>
              </w:rPr>
              <w:t>2.1</w:t>
            </w:r>
          </w:p>
        </w:tc>
        <w:tc>
          <w:tcPr>
            <w:tcW w:w="573" w:type="pct"/>
            <w:tcBorders>
              <w:top w:val="single" w:sz="4" w:space="0" w:color="auto"/>
              <w:left w:val="nil"/>
              <w:bottom w:val="single" w:sz="4" w:space="0" w:color="000000"/>
              <w:right w:val="nil"/>
            </w:tcBorders>
            <w:shd w:val="clear" w:color="auto" w:fill="auto"/>
            <w:noWrap/>
            <w:vAlign w:val="center"/>
            <w:hideMark/>
          </w:tcPr>
          <w:p w:rsidR="00504398" w:rsidRPr="008847D3" w:rsidRDefault="00504398" w:rsidP="00B4739E">
            <w:pPr>
              <w:spacing w:after="0"/>
              <w:jc w:val="center"/>
              <w:rPr>
                <w:rFonts w:ascii="Times New Roman" w:eastAsia="Times New Roman" w:hAnsi="Times New Roman" w:cs="Times New Roman"/>
                <w:color w:val="000000"/>
                <w:sz w:val="20"/>
                <w:szCs w:val="20"/>
                <w:lang w:eastAsia="zh-CN"/>
              </w:rPr>
            </w:pPr>
            <w:r w:rsidRPr="008847D3">
              <w:rPr>
                <w:rFonts w:ascii="Times New Roman" w:eastAsia="Times New Roman" w:hAnsi="Times New Roman" w:cs="Times New Roman"/>
                <w:color w:val="000000"/>
                <w:sz w:val="20"/>
                <w:szCs w:val="20"/>
                <w:lang w:eastAsia="zh-CN"/>
              </w:rPr>
              <w:t>94.7</w:t>
            </w:r>
          </w:p>
        </w:tc>
        <w:tc>
          <w:tcPr>
            <w:tcW w:w="579" w:type="pct"/>
            <w:tcBorders>
              <w:top w:val="single" w:sz="4" w:space="0" w:color="auto"/>
              <w:left w:val="nil"/>
              <w:bottom w:val="single" w:sz="4" w:space="0" w:color="000000"/>
              <w:right w:val="nil"/>
            </w:tcBorders>
            <w:shd w:val="clear" w:color="auto" w:fill="auto"/>
            <w:noWrap/>
            <w:vAlign w:val="center"/>
            <w:hideMark/>
          </w:tcPr>
          <w:p w:rsidR="00504398" w:rsidRPr="008847D3" w:rsidRDefault="00504398" w:rsidP="00B4739E">
            <w:pPr>
              <w:spacing w:after="0"/>
              <w:jc w:val="center"/>
              <w:rPr>
                <w:rFonts w:ascii="Times New Roman" w:eastAsia="Times New Roman" w:hAnsi="Times New Roman" w:cs="Times New Roman"/>
                <w:color w:val="000000"/>
                <w:sz w:val="20"/>
                <w:szCs w:val="20"/>
                <w:lang w:eastAsia="zh-CN"/>
              </w:rPr>
            </w:pPr>
            <w:r w:rsidRPr="008847D3">
              <w:rPr>
                <w:rFonts w:ascii="Times New Roman" w:eastAsia="Times New Roman" w:hAnsi="Times New Roman" w:cs="Times New Roman"/>
                <w:color w:val="000000"/>
                <w:sz w:val="20"/>
                <w:szCs w:val="20"/>
                <w:lang w:eastAsia="zh-CN"/>
              </w:rPr>
              <w:t>58.2</w:t>
            </w:r>
          </w:p>
        </w:tc>
        <w:tc>
          <w:tcPr>
            <w:tcW w:w="713" w:type="pct"/>
            <w:tcBorders>
              <w:top w:val="single" w:sz="4" w:space="0" w:color="auto"/>
              <w:left w:val="nil"/>
              <w:bottom w:val="single" w:sz="4" w:space="0" w:color="000000"/>
            </w:tcBorders>
            <w:shd w:val="clear" w:color="auto" w:fill="auto"/>
            <w:noWrap/>
            <w:vAlign w:val="center"/>
            <w:hideMark/>
          </w:tcPr>
          <w:p w:rsidR="00504398" w:rsidRPr="008847D3" w:rsidRDefault="00504398" w:rsidP="00B4739E">
            <w:pPr>
              <w:spacing w:after="0"/>
              <w:jc w:val="center"/>
              <w:rPr>
                <w:rFonts w:ascii="Times New Roman" w:eastAsia="Times New Roman" w:hAnsi="Times New Roman" w:cs="Times New Roman"/>
                <w:color w:val="000000"/>
                <w:sz w:val="20"/>
                <w:szCs w:val="20"/>
                <w:lang w:eastAsia="zh-CN"/>
              </w:rPr>
            </w:pPr>
            <w:r w:rsidRPr="008847D3">
              <w:rPr>
                <w:rFonts w:ascii="Times New Roman" w:eastAsia="Times New Roman" w:hAnsi="Times New Roman" w:cs="Times New Roman"/>
                <w:color w:val="000000"/>
                <w:sz w:val="20"/>
                <w:szCs w:val="20"/>
                <w:lang w:eastAsia="zh-CN"/>
              </w:rPr>
              <w:t>21.0</w:t>
            </w:r>
          </w:p>
        </w:tc>
      </w:tr>
      <w:tr w:rsidR="00504398" w:rsidRPr="008847D3" w:rsidTr="00EF6B01">
        <w:trPr>
          <w:trHeight w:val="300"/>
        </w:trPr>
        <w:tc>
          <w:tcPr>
            <w:tcW w:w="5000" w:type="pct"/>
            <w:gridSpan w:val="8"/>
            <w:tcBorders>
              <w:top w:val="single" w:sz="4" w:space="0" w:color="auto"/>
            </w:tcBorders>
            <w:shd w:val="clear" w:color="auto" w:fill="auto"/>
            <w:vAlign w:val="center"/>
          </w:tcPr>
          <w:p w:rsidR="00504398" w:rsidRPr="008847D3" w:rsidRDefault="00504398" w:rsidP="00D56EDF">
            <w:pPr>
              <w:spacing w:after="0"/>
              <w:rPr>
                <w:rFonts w:ascii="Times New Roman" w:hAnsi="Times New Roman" w:cs="Times New Roman"/>
                <w:color w:val="000000"/>
                <w:sz w:val="20"/>
                <w:szCs w:val="20"/>
              </w:rPr>
            </w:pPr>
            <w:r w:rsidRPr="008847D3">
              <w:rPr>
                <w:rFonts w:ascii="Times New Roman" w:eastAsia="Times New Roman" w:hAnsi="Times New Roman" w:cs="Times New Roman"/>
                <w:b/>
                <w:bCs/>
                <w:color w:val="000000"/>
                <w:sz w:val="20"/>
                <w:szCs w:val="20"/>
                <w:lang w:eastAsia="zh-CN"/>
              </w:rPr>
              <w:t>Quintiles of per capita consumption</w:t>
            </w:r>
          </w:p>
        </w:tc>
      </w:tr>
      <w:tr w:rsidR="00504398" w:rsidRPr="008847D3" w:rsidTr="00EF6B01">
        <w:trPr>
          <w:trHeight w:val="300"/>
        </w:trPr>
        <w:tc>
          <w:tcPr>
            <w:tcW w:w="533" w:type="pct"/>
            <w:tcBorders>
              <w:right w:val="nil"/>
            </w:tcBorders>
            <w:shd w:val="clear" w:color="auto" w:fill="auto"/>
            <w:vAlign w:val="center"/>
            <w:hideMark/>
          </w:tcPr>
          <w:p w:rsidR="00504398" w:rsidRPr="000A5693" w:rsidRDefault="00504398" w:rsidP="00D56EDF">
            <w:pPr>
              <w:spacing w:after="0"/>
              <w:jc w:val="center"/>
              <w:rPr>
                <w:rFonts w:ascii="Times New Roman" w:eastAsia="Times New Roman" w:hAnsi="Times New Roman" w:cs="Times New Roman"/>
                <w:bCs/>
                <w:color w:val="000000"/>
                <w:sz w:val="20"/>
                <w:szCs w:val="20"/>
                <w:lang w:eastAsia="zh-CN"/>
              </w:rPr>
            </w:pPr>
            <w:r w:rsidRPr="000A5693">
              <w:rPr>
                <w:rFonts w:ascii="Times New Roman" w:eastAsia="Times New Roman" w:hAnsi="Times New Roman" w:cs="Times New Roman"/>
                <w:bCs/>
                <w:color w:val="000000"/>
                <w:sz w:val="20"/>
                <w:szCs w:val="20"/>
                <w:lang w:eastAsia="zh-CN"/>
              </w:rPr>
              <w:t>Q1</w:t>
            </w:r>
          </w:p>
        </w:tc>
        <w:tc>
          <w:tcPr>
            <w:tcW w:w="538" w:type="pct"/>
            <w:tcBorders>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5.3</w:t>
            </w:r>
          </w:p>
        </w:tc>
        <w:tc>
          <w:tcPr>
            <w:tcW w:w="832" w:type="pct"/>
            <w:tcBorders>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1.3</w:t>
            </w:r>
          </w:p>
        </w:tc>
        <w:tc>
          <w:tcPr>
            <w:tcW w:w="505" w:type="pct"/>
            <w:tcBorders>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27</w:t>
            </w:r>
            <w:r w:rsidRPr="00200909">
              <w:rPr>
                <w:rFonts w:ascii="Times New Roman" w:hAnsi="Times New Roman" w:cs="Times New Roman"/>
                <w:color w:val="000000"/>
                <w:sz w:val="20"/>
                <w:szCs w:val="20"/>
              </w:rPr>
              <w:t>.</w:t>
            </w:r>
            <w:r w:rsidRPr="008847D3">
              <w:rPr>
                <w:rFonts w:ascii="Times New Roman" w:hAnsi="Times New Roman" w:cs="Times New Roman"/>
                <w:color w:val="000000"/>
                <w:sz w:val="20"/>
                <w:szCs w:val="20"/>
              </w:rPr>
              <w:t>0</w:t>
            </w:r>
          </w:p>
        </w:tc>
        <w:tc>
          <w:tcPr>
            <w:tcW w:w="727" w:type="pct"/>
            <w:tcBorders>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5.8</w:t>
            </w:r>
          </w:p>
        </w:tc>
        <w:tc>
          <w:tcPr>
            <w:tcW w:w="573" w:type="pct"/>
            <w:tcBorders>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77.3</w:t>
            </w:r>
          </w:p>
        </w:tc>
        <w:tc>
          <w:tcPr>
            <w:tcW w:w="579" w:type="pct"/>
            <w:tcBorders>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17.1</w:t>
            </w:r>
          </w:p>
        </w:tc>
        <w:tc>
          <w:tcPr>
            <w:tcW w:w="713" w:type="pct"/>
            <w:tcBorders>
              <w:left w:val="nil"/>
              <w:bottom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29.7</w:t>
            </w:r>
          </w:p>
        </w:tc>
      </w:tr>
      <w:tr w:rsidR="00504398" w:rsidRPr="008847D3" w:rsidTr="00EF6B01">
        <w:trPr>
          <w:trHeight w:val="300"/>
        </w:trPr>
        <w:tc>
          <w:tcPr>
            <w:tcW w:w="533" w:type="pct"/>
            <w:tcBorders>
              <w:right w:val="nil"/>
            </w:tcBorders>
            <w:shd w:val="clear" w:color="auto" w:fill="auto"/>
            <w:vAlign w:val="center"/>
            <w:hideMark/>
          </w:tcPr>
          <w:p w:rsidR="00504398" w:rsidRPr="000A5693" w:rsidRDefault="00504398" w:rsidP="00D56EDF">
            <w:pPr>
              <w:spacing w:after="0"/>
              <w:jc w:val="center"/>
              <w:rPr>
                <w:rFonts w:ascii="Times New Roman" w:eastAsia="Times New Roman" w:hAnsi="Times New Roman" w:cs="Times New Roman"/>
                <w:bCs/>
                <w:color w:val="000000"/>
                <w:sz w:val="20"/>
                <w:szCs w:val="20"/>
                <w:lang w:eastAsia="zh-CN"/>
              </w:rPr>
            </w:pPr>
            <w:r w:rsidRPr="000A5693">
              <w:rPr>
                <w:rFonts w:ascii="Times New Roman" w:eastAsia="Times New Roman" w:hAnsi="Times New Roman" w:cs="Times New Roman"/>
                <w:bCs/>
                <w:color w:val="000000"/>
                <w:sz w:val="20"/>
                <w:szCs w:val="20"/>
                <w:lang w:eastAsia="zh-CN"/>
              </w:rPr>
              <w:t>Q2</w:t>
            </w:r>
          </w:p>
        </w:tc>
        <w:tc>
          <w:tcPr>
            <w:tcW w:w="538"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8.6</w:t>
            </w:r>
          </w:p>
        </w:tc>
        <w:tc>
          <w:tcPr>
            <w:tcW w:w="832"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3.5</w:t>
            </w:r>
          </w:p>
        </w:tc>
        <w:tc>
          <w:tcPr>
            <w:tcW w:w="505"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8.6</w:t>
            </w:r>
          </w:p>
        </w:tc>
        <w:tc>
          <w:tcPr>
            <w:tcW w:w="727"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1.3</w:t>
            </w:r>
          </w:p>
        </w:tc>
        <w:tc>
          <w:tcPr>
            <w:tcW w:w="573"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98.1</w:t>
            </w:r>
          </w:p>
        </w:tc>
        <w:tc>
          <w:tcPr>
            <w:tcW w:w="579"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48.2</w:t>
            </w:r>
          </w:p>
        </w:tc>
        <w:tc>
          <w:tcPr>
            <w:tcW w:w="713" w:type="pct"/>
            <w:tcBorders>
              <w:top w:val="nil"/>
              <w:left w:val="nil"/>
              <w:bottom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23.6</w:t>
            </w:r>
          </w:p>
        </w:tc>
      </w:tr>
      <w:tr w:rsidR="00504398" w:rsidRPr="008847D3" w:rsidTr="00EF6B01">
        <w:trPr>
          <w:trHeight w:val="300"/>
        </w:trPr>
        <w:tc>
          <w:tcPr>
            <w:tcW w:w="533" w:type="pct"/>
            <w:tcBorders>
              <w:right w:val="nil"/>
            </w:tcBorders>
            <w:shd w:val="clear" w:color="auto" w:fill="auto"/>
            <w:vAlign w:val="center"/>
            <w:hideMark/>
          </w:tcPr>
          <w:p w:rsidR="00504398" w:rsidRPr="000A5693" w:rsidRDefault="00504398" w:rsidP="00D56EDF">
            <w:pPr>
              <w:spacing w:after="0"/>
              <w:jc w:val="center"/>
              <w:rPr>
                <w:rFonts w:ascii="Times New Roman" w:eastAsia="Times New Roman" w:hAnsi="Times New Roman" w:cs="Times New Roman"/>
                <w:bCs/>
                <w:color w:val="000000"/>
                <w:sz w:val="20"/>
                <w:szCs w:val="20"/>
                <w:lang w:eastAsia="zh-CN"/>
              </w:rPr>
            </w:pPr>
            <w:r w:rsidRPr="000A5693">
              <w:rPr>
                <w:rFonts w:ascii="Times New Roman" w:eastAsia="Times New Roman" w:hAnsi="Times New Roman" w:cs="Times New Roman"/>
                <w:bCs/>
                <w:color w:val="000000"/>
                <w:sz w:val="20"/>
                <w:szCs w:val="20"/>
                <w:lang w:eastAsia="zh-CN"/>
              </w:rPr>
              <w:t>Q3</w:t>
            </w:r>
          </w:p>
        </w:tc>
        <w:tc>
          <w:tcPr>
            <w:tcW w:w="538"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10.5</w:t>
            </w:r>
          </w:p>
        </w:tc>
        <w:tc>
          <w:tcPr>
            <w:tcW w:w="832"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4.2</w:t>
            </w:r>
          </w:p>
        </w:tc>
        <w:tc>
          <w:tcPr>
            <w:tcW w:w="505"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2.5</w:t>
            </w:r>
          </w:p>
        </w:tc>
        <w:tc>
          <w:tcPr>
            <w:tcW w:w="727"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1.5</w:t>
            </w:r>
          </w:p>
        </w:tc>
        <w:tc>
          <w:tcPr>
            <w:tcW w:w="573"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99.7</w:t>
            </w:r>
          </w:p>
        </w:tc>
        <w:tc>
          <w:tcPr>
            <w:tcW w:w="579" w:type="pct"/>
            <w:tcBorders>
              <w:top w:val="nil"/>
              <w:left w:val="nil"/>
              <w:bottom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66.9</w:t>
            </w:r>
          </w:p>
        </w:tc>
        <w:tc>
          <w:tcPr>
            <w:tcW w:w="713" w:type="pct"/>
            <w:tcBorders>
              <w:top w:val="nil"/>
              <w:left w:val="nil"/>
              <w:bottom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20.2</w:t>
            </w:r>
          </w:p>
        </w:tc>
      </w:tr>
      <w:tr w:rsidR="00504398" w:rsidRPr="008847D3" w:rsidTr="00EF6B01">
        <w:trPr>
          <w:trHeight w:val="300"/>
        </w:trPr>
        <w:tc>
          <w:tcPr>
            <w:tcW w:w="533" w:type="pct"/>
            <w:tcBorders>
              <w:right w:val="nil"/>
            </w:tcBorders>
            <w:shd w:val="clear" w:color="auto" w:fill="auto"/>
            <w:vAlign w:val="center"/>
            <w:hideMark/>
          </w:tcPr>
          <w:p w:rsidR="00504398" w:rsidRPr="000A5693" w:rsidRDefault="00504398" w:rsidP="00D56EDF">
            <w:pPr>
              <w:spacing w:after="0"/>
              <w:jc w:val="center"/>
              <w:rPr>
                <w:rFonts w:ascii="Times New Roman" w:eastAsia="Times New Roman" w:hAnsi="Times New Roman" w:cs="Times New Roman"/>
                <w:bCs/>
                <w:color w:val="000000"/>
                <w:sz w:val="20"/>
                <w:szCs w:val="20"/>
                <w:lang w:eastAsia="zh-CN"/>
              </w:rPr>
            </w:pPr>
            <w:r w:rsidRPr="000A5693">
              <w:rPr>
                <w:rFonts w:ascii="Times New Roman" w:eastAsia="Times New Roman" w:hAnsi="Times New Roman" w:cs="Times New Roman"/>
                <w:bCs/>
                <w:color w:val="000000"/>
                <w:sz w:val="20"/>
                <w:szCs w:val="20"/>
                <w:lang w:eastAsia="zh-CN"/>
              </w:rPr>
              <w:t>Q4</w:t>
            </w:r>
          </w:p>
        </w:tc>
        <w:tc>
          <w:tcPr>
            <w:tcW w:w="538" w:type="pct"/>
            <w:tcBorders>
              <w:top w:val="nil"/>
              <w:left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8.5</w:t>
            </w:r>
          </w:p>
        </w:tc>
        <w:tc>
          <w:tcPr>
            <w:tcW w:w="832" w:type="pct"/>
            <w:tcBorders>
              <w:top w:val="nil"/>
              <w:left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5.5</w:t>
            </w:r>
          </w:p>
        </w:tc>
        <w:tc>
          <w:tcPr>
            <w:tcW w:w="505" w:type="pct"/>
            <w:tcBorders>
              <w:top w:val="nil"/>
              <w:left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1.3</w:t>
            </w:r>
          </w:p>
        </w:tc>
        <w:tc>
          <w:tcPr>
            <w:tcW w:w="727" w:type="pct"/>
            <w:tcBorders>
              <w:top w:val="nil"/>
              <w:left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0.9</w:t>
            </w:r>
          </w:p>
        </w:tc>
        <w:tc>
          <w:tcPr>
            <w:tcW w:w="573" w:type="pct"/>
            <w:tcBorders>
              <w:top w:val="nil"/>
              <w:left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99.3</w:t>
            </w:r>
          </w:p>
        </w:tc>
        <w:tc>
          <w:tcPr>
            <w:tcW w:w="579" w:type="pct"/>
            <w:tcBorders>
              <w:top w:val="nil"/>
              <w:left w:val="nil"/>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76.2</w:t>
            </w:r>
          </w:p>
        </w:tc>
        <w:tc>
          <w:tcPr>
            <w:tcW w:w="713" w:type="pct"/>
            <w:tcBorders>
              <w:top w:val="nil"/>
              <w:lef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18.3</w:t>
            </w:r>
          </w:p>
        </w:tc>
      </w:tr>
      <w:tr w:rsidR="00504398" w:rsidRPr="008847D3" w:rsidTr="00EF6B01">
        <w:trPr>
          <w:trHeight w:val="300"/>
        </w:trPr>
        <w:tc>
          <w:tcPr>
            <w:tcW w:w="533" w:type="pct"/>
            <w:tcBorders>
              <w:bottom w:val="double" w:sz="4" w:space="0" w:color="auto"/>
              <w:right w:val="nil"/>
            </w:tcBorders>
            <w:shd w:val="clear" w:color="auto" w:fill="auto"/>
            <w:vAlign w:val="center"/>
            <w:hideMark/>
          </w:tcPr>
          <w:p w:rsidR="00504398" w:rsidRPr="000A5693" w:rsidRDefault="00504398" w:rsidP="00D56EDF">
            <w:pPr>
              <w:spacing w:after="0"/>
              <w:jc w:val="center"/>
              <w:rPr>
                <w:rFonts w:ascii="Times New Roman" w:eastAsia="Times New Roman" w:hAnsi="Times New Roman" w:cs="Times New Roman"/>
                <w:bCs/>
                <w:color w:val="000000"/>
                <w:sz w:val="20"/>
                <w:szCs w:val="20"/>
                <w:lang w:eastAsia="zh-CN"/>
              </w:rPr>
            </w:pPr>
            <w:r w:rsidRPr="000A5693">
              <w:rPr>
                <w:rFonts w:ascii="Times New Roman" w:eastAsia="Times New Roman" w:hAnsi="Times New Roman" w:cs="Times New Roman"/>
                <w:bCs/>
                <w:color w:val="000000"/>
                <w:sz w:val="20"/>
                <w:szCs w:val="20"/>
                <w:lang w:eastAsia="zh-CN"/>
              </w:rPr>
              <w:t>Q5</w:t>
            </w:r>
          </w:p>
        </w:tc>
        <w:tc>
          <w:tcPr>
            <w:tcW w:w="538" w:type="pct"/>
            <w:tcBorders>
              <w:top w:val="nil"/>
              <w:left w:val="nil"/>
              <w:bottom w:val="double" w:sz="4" w:space="0" w:color="auto"/>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9.6</w:t>
            </w:r>
          </w:p>
        </w:tc>
        <w:tc>
          <w:tcPr>
            <w:tcW w:w="832" w:type="pct"/>
            <w:tcBorders>
              <w:top w:val="nil"/>
              <w:left w:val="nil"/>
              <w:bottom w:val="double" w:sz="4" w:space="0" w:color="auto"/>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6.9</w:t>
            </w:r>
          </w:p>
        </w:tc>
        <w:tc>
          <w:tcPr>
            <w:tcW w:w="505" w:type="pct"/>
            <w:tcBorders>
              <w:top w:val="nil"/>
              <w:left w:val="nil"/>
              <w:bottom w:val="double" w:sz="4" w:space="0" w:color="auto"/>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1.1</w:t>
            </w:r>
          </w:p>
        </w:tc>
        <w:tc>
          <w:tcPr>
            <w:tcW w:w="727" w:type="pct"/>
            <w:tcBorders>
              <w:top w:val="nil"/>
              <w:left w:val="nil"/>
              <w:bottom w:val="double" w:sz="4" w:space="0" w:color="auto"/>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0.8</w:t>
            </w:r>
          </w:p>
        </w:tc>
        <w:tc>
          <w:tcPr>
            <w:tcW w:w="573" w:type="pct"/>
            <w:tcBorders>
              <w:top w:val="nil"/>
              <w:left w:val="nil"/>
              <w:bottom w:val="double" w:sz="4" w:space="0" w:color="auto"/>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99.2</w:t>
            </w:r>
          </w:p>
        </w:tc>
        <w:tc>
          <w:tcPr>
            <w:tcW w:w="579" w:type="pct"/>
            <w:tcBorders>
              <w:top w:val="nil"/>
              <w:left w:val="nil"/>
              <w:bottom w:val="double" w:sz="4" w:space="0" w:color="auto"/>
              <w:right w:val="nil"/>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82.5</w:t>
            </w:r>
          </w:p>
        </w:tc>
        <w:tc>
          <w:tcPr>
            <w:tcW w:w="713" w:type="pct"/>
            <w:tcBorders>
              <w:top w:val="nil"/>
              <w:left w:val="nil"/>
              <w:bottom w:val="double" w:sz="4" w:space="0" w:color="auto"/>
            </w:tcBorders>
            <w:shd w:val="clear" w:color="auto" w:fill="auto"/>
            <w:noWrap/>
            <w:vAlign w:val="center"/>
          </w:tcPr>
          <w:p w:rsidR="00504398" w:rsidRPr="008847D3" w:rsidRDefault="00504398" w:rsidP="00D56EDF">
            <w:pPr>
              <w:spacing w:after="0"/>
              <w:jc w:val="center"/>
              <w:rPr>
                <w:rFonts w:ascii="Times New Roman" w:eastAsia="Times New Roman" w:hAnsi="Times New Roman" w:cs="Times New Roman"/>
                <w:color w:val="000000"/>
                <w:sz w:val="20"/>
                <w:szCs w:val="20"/>
                <w:lang w:eastAsia="zh-CN"/>
              </w:rPr>
            </w:pPr>
            <w:r w:rsidRPr="008847D3">
              <w:rPr>
                <w:rFonts w:ascii="Times New Roman" w:hAnsi="Times New Roman" w:cs="Times New Roman"/>
                <w:color w:val="000000"/>
                <w:sz w:val="20"/>
                <w:szCs w:val="20"/>
              </w:rPr>
              <w:t>13.5</w:t>
            </w:r>
          </w:p>
        </w:tc>
      </w:tr>
    </w:tbl>
    <w:p w:rsidR="00504398" w:rsidRPr="007A1287" w:rsidRDefault="00504398" w:rsidP="003F3439">
      <w:pPr>
        <w:pStyle w:val="ListParagraph"/>
        <w:spacing w:after="0" w:line="240" w:lineRule="auto"/>
        <w:ind w:left="0"/>
        <w:contextualSpacing w:val="0"/>
        <w:rPr>
          <w:rFonts w:ascii="Times New Roman" w:eastAsia="Times New Roman" w:hAnsi="Times New Roman"/>
          <w:sz w:val="18"/>
        </w:rPr>
      </w:pPr>
      <w:r>
        <w:rPr>
          <w:rFonts w:ascii="Times New Roman" w:eastAsia="Times New Roman" w:hAnsi="Times New Roman"/>
          <w:i/>
          <w:sz w:val="18"/>
        </w:rPr>
        <w:t xml:space="preserve">Source: </w:t>
      </w:r>
      <w:r>
        <w:rPr>
          <w:rFonts w:ascii="Times New Roman" w:eastAsia="Times New Roman" w:hAnsi="Times New Roman"/>
          <w:sz w:val="18"/>
        </w:rPr>
        <w:t>World Bank calculation based on the EDAM 3.</w:t>
      </w:r>
    </w:p>
    <w:p w:rsidR="00504398" w:rsidRDefault="00504398" w:rsidP="00600CD2">
      <w:pPr>
        <w:widowControl w:val="0"/>
        <w:numPr>
          <w:ilvl w:val="0"/>
          <w:numId w:val="1"/>
        </w:numPr>
        <w:autoSpaceDE w:val="0"/>
        <w:autoSpaceDN w:val="0"/>
        <w:adjustRightInd w:val="0"/>
        <w:spacing w:after="240" w:line="240" w:lineRule="auto"/>
        <w:ind w:left="0" w:firstLine="0"/>
        <w:jc w:val="both"/>
        <w:rPr>
          <w:rFonts w:ascii="Times New Roman" w:eastAsia="Times New Roman" w:hAnsi="Times New Roman"/>
        </w:rPr>
      </w:pPr>
      <w:r w:rsidRPr="002F433A">
        <w:rPr>
          <w:rFonts w:ascii="Times New Roman" w:eastAsia="Times New Roman" w:hAnsi="Times New Roman"/>
        </w:rPr>
        <w:t>The intended beneficiaries of social safety net programs should be the poor</w:t>
      </w:r>
      <w:r w:rsidR="00B4739E">
        <w:rPr>
          <w:rFonts w:ascii="Times New Roman" w:eastAsia="Times New Roman" w:hAnsi="Times New Roman"/>
        </w:rPr>
        <w:t>.</w:t>
      </w:r>
      <w:r w:rsidRPr="002F433A">
        <w:rPr>
          <w:rFonts w:ascii="Times New Roman" w:eastAsia="Times New Roman" w:hAnsi="Times New Roman"/>
        </w:rPr>
        <w:t xml:space="preserve"> </w:t>
      </w:r>
      <w:r w:rsidR="00B4739E">
        <w:rPr>
          <w:rFonts w:ascii="Times New Roman" w:eastAsia="Times New Roman" w:hAnsi="Times New Roman"/>
        </w:rPr>
        <w:t>Therefore,</w:t>
      </w:r>
      <w:r w:rsidRPr="002F433A">
        <w:rPr>
          <w:rFonts w:ascii="Times New Roman" w:eastAsia="Times New Roman" w:hAnsi="Times New Roman"/>
        </w:rPr>
        <w:t xml:space="preserve"> the </w:t>
      </w:r>
      <w:r w:rsidRPr="002F433A">
        <w:rPr>
          <w:rFonts w:ascii="Times New Roman" w:eastAsia="Times New Roman" w:hAnsi="Times New Roman"/>
        </w:rPr>
        <w:lastRenderedPageBreak/>
        <w:t>performance of such programs can be assessed by estimating program leakage. One way to measure such leakage is by determining the share of total transfers received by non-poor beneficiaries.</w:t>
      </w:r>
      <w:r>
        <w:rPr>
          <w:rFonts w:ascii="Times New Roman" w:eastAsia="Times New Roman" w:hAnsi="Times New Roman"/>
        </w:rPr>
        <w:t xml:space="preserve"> In a well-targeted progressive program, the poor (bottom quintile) receive the highest share of transfers; this share declines as welfare increases.</w:t>
      </w:r>
      <w:r w:rsidR="0072385D">
        <w:rPr>
          <w:rFonts w:ascii="Times New Roman" w:eastAsia="Times New Roman" w:hAnsi="Times New Roman"/>
        </w:rPr>
        <w:t xml:space="preserve"> </w:t>
      </w:r>
      <w:r w:rsidR="0072385D">
        <w:rPr>
          <w:rFonts w:ascii="Times New Roman" w:eastAsia="Times New Roman" w:hAnsi="Times New Roman"/>
        </w:rPr>
        <w:fldChar w:fldCharType="begin"/>
      </w:r>
      <w:r w:rsidR="0072385D">
        <w:rPr>
          <w:rFonts w:ascii="Times New Roman" w:eastAsia="Times New Roman" w:hAnsi="Times New Roman"/>
        </w:rPr>
        <w:instrText xml:space="preserve"> REF _Ref404180978 \h  \* MERGEFORMAT </w:instrText>
      </w:r>
      <w:r w:rsidR="0072385D">
        <w:rPr>
          <w:rFonts w:ascii="Times New Roman" w:eastAsia="Times New Roman" w:hAnsi="Times New Roman"/>
        </w:rPr>
      </w:r>
      <w:r w:rsidR="0072385D">
        <w:rPr>
          <w:rFonts w:ascii="Times New Roman" w:eastAsia="Times New Roman" w:hAnsi="Times New Roman"/>
        </w:rPr>
        <w:fldChar w:fldCharType="separate"/>
      </w:r>
      <w:r w:rsidR="00600CD2" w:rsidRPr="00600CD2">
        <w:rPr>
          <w:rFonts w:ascii="Times New Roman" w:eastAsia="Times New Roman" w:hAnsi="Times New Roman"/>
        </w:rPr>
        <w:t>Table 15</w:t>
      </w:r>
      <w:r w:rsidR="0072385D">
        <w:rPr>
          <w:rFonts w:ascii="Times New Roman" w:eastAsia="Times New Roman" w:hAnsi="Times New Roman"/>
        </w:rPr>
        <w:fldChar w:fldCharType="end"/>
      </w:r>
      <w:r w:rsidR="0072385D" w:rsidRPr="002F433A">
        <w:rPr>
          <w:rFonts w:ascii="Times New Roman" w:eastAsia="Times New Roman" w:hAnsi="Times New Roman"/>
        </w:rPr>
        <w:t xml:space="preserve"> shows the distribution of benefits by </w:t>
      </w:r>
      <w:r w:rsidR="0072385D">
        <w:rPr>
          <w:rFonts w:ascii="Times New Roman" w:eastAsia="Times New Roman" w:hAnsi="Times New Roman"/>
        </w:rPr>
        <w:t xml:space="preserve">area and </w:t>
      </w:r>
      <w:r w:rsidR="0072385D" w:rsidRPr="002F433A">
        <w:rPr>
          <w:rFonts w:ascii="Times New Roman" w:eastAsia="Times New Roman" w:hAnsi="Times New Roman"/>
        </w:rPr>
        <w:t>welfare quintile</w:t>
      </w:r>
      <w:r w:rsidR="0072385D">
        <w:rPr>
          <w:rFonts w:ascii="Times New Roman" w:eastAsia="Times New Roman" w:hAnsi="Times New Roman"/>
        </w:rPr>
        <w:t>. I</w:t>
      </w:r>
      <w:r>
        <w:rPr>
          <w:rFonts w:ascii="Times New Roman" w:eastAsia="Times New Roman" w:hAnsi="Times New Roman"/>
        </w:rPr>
        <w:t xml:space="preserve">n Djibouti, </w:t>
      </w:r>
      <w:r w:rsidRPr="002F433A">
        <w:rPr>
          <w:rFonts w:ascii="Times New Roman" w:eastAsia="Times New Roman" w:hAnsi="Times New Roman"/>
        </w:rPr>
        <w:t xml:space="preserve">food rations and cash transfers </w:t>
      </w:r>
      <w:r>
        <w:rPr>
          <w:rFonts w:ascii="Times New Roman" w:eastAsia="Times New Roman" w:hAnsi="Times New Roman"/>
        </w:rPr>
        <w:t>generally fit this description as the</w:t>
      </w:r>
      <w:r w:rsidRPr="002F433A">
        <w:rPr>
          <w:rFonts w:ascii="Times New Roman" w:eastAsia="Times New Roman" w:hAnsi="Times New Roman"/>
        </w:rPr>
        <w:t xml:space="preserve"> poor</w:t>
      </w:r>
      <w:r>
        <w:rPr>
          <w:rFonts w:ascii="Times New Roman" w:eastAsia="Times New Roman" w:hAnsi="Times New Roman"/>
        </w:rPr>
        <w:t xml:space="preserve"> receive most of the transfers</w:t>
      </w:r>
      <w:r w:rsidRPr="002F433A">
        <w:rPr>
          <w:rFonts w:ascii="Times New Roman" w:eastAsia="Times New Roman" w:hAnsi="Times New Roman"/>
        </w:rPr>
        <w:t>.</w:t>
      </w:r>
      <w:r>
        <w:rPr>
          <w:rFonts w:ascii="Times New Roman" w:eastAsia="Times New Roman" w:hAnsi="Times New Roman"/>
        </w:rPr>
        <w:t xml:space="preserve"> O</w:t>
      </w:r>
      <w:r w:rsidRPr="002F433A">
        <w:rPr>
          <w:rFonts w:ascii="Times New Roman" w:eastAsia="Times New Roman" w:hAnsi="Times New Roman"/>
        </w:rPr>
        <w:t>ver half of the transfers for food rations are received by the poor</w:t>
      </w:r>
      <w:r w:rsidR="0072385D">
        <w:rPr>
          <w:rFonts w:ascii="Times New Roman" w:eastAsia="Times New Roman" w:hAnsi="Times New Roman"/>
        </w:rPr>
        <w:t xml:space="preserve"> (bottom quintile). </w:t>
      </w:r>
      <w:r w:rsidRPr="008A3C62">
        <w:rPr>
          <w:rFonts w:ascii="Times New Roman" w:eastAsia="Times New Roman" w:hAnsi="Times New Roman"/>
        </w:rPr>
        <w:t>In</w:t>
      </w:r>
      <w:r>
        <w:rPr>
          <w:rFonts w:ascii="Times New Roman" w:eastAsia="Times New Roman" w:hAnsi="Times New Roman"/>
        </w:rPr>
        <w:t xml:space="preserve"> contrast, tax exemptions on food and fuel items predominantly benefit </w:t>
      </w:r>
      <w:r w:rsidRPr="002F433A">
        <w:rPr>
          <w:rFonts w:ascii="Times New Roman" w:eastAsia="Times New Roman" w:hAnsi="Times New Roman"/>
        </w:rPr>
        <w:t xml:space="preserve">the urban </w:t>
      </w:r>
      <w:r>
        <w:rPr>
          <w:rFonts w:ascii="Times New Roman" w:eastAsia="Times New Roman" w:hAnsi="Times New Roman"/>
        </w:rPr>
        <w:t>population and non-poor, making these programs regressive.</w:t>
      </w:r>
      <w:r w:rsidRPr="002F433A">
        <w:rPr>
          <w:rFonts w:ascii="Times New Roman" w:eastAsia="Times New Roman" w:hAnsi="Times New Roman"/>
        </w:rPr>
        <w:t xml:space="preserve"> In fact</w:t>
      </w:r>
      <w:r w:rsidRPr="00200909">
        <w:rPr>
          <w:rFonts w:ascii="Times New Roman" w:eastAsia="Times New Roman" w:hAnsi="Times New Roman"/>
        </w:rPr>
        <w:t>, the majority</w:t>
      </w:r>
      <w:r w:rsidRPr="002F433A">
        <w:rPr>
          <w:rFonts w:ascii="Times New Roman" w:eastAsia="Times New Roman" w:hAnsi="Times New Roman"/>
        </w:rPr>
        <w:t xml:space="preserve"> of food and fuel subsid</w:t>
      </w:r>
      <w:r>
        <w:rPr>
          <w:rFonts w:ascii="Times New Roman" w:eastAsia="Times New Roman" w:hAnsi="Times New Roman"/>
        </w:rPr>
        <w:t>y</w:t>
      </w:r>
      <w:r w:rsidRPr="002F433A">
        <w:rPr>
          <w:rFonts w:ascii="Times New Roman" w:eastAsia="Times New Roman" w:hAnsi="Times New Roman"/>
        </w:rPr>
        <w:t xml:space="preserve"> </w:t>
      </w:r>
      <w:r>
        <w:rPr>
          <w:rFonts w:ascii="Times New Roman" w:eastAsia="Times New Roman" w:hAnsi="Times New Roman"/>
        </w:rPr>
        <w:t>resources</w:t>
      </w:r>
      <w:r w:rsidRPr="002F433A">
        <w:rPr>
          <w:rFonts w:ascii="Times New Roman" w:eastAsia="Times New Roman" w:hAnsi="Times New Roman"/>
        </w:rPr>
        <w:t xml:space="preserve"> </w:t>
      </w:r>
      <w:r>
        <w:rPr>
          <w:rFonts w:ascii="Times New Roman" w:eastAsia="Times New Roman" w:hAnsi="Times New Roman"/>
        </w:rPr>
        <w:t>(</w:t>
      </w:r>
      <w:r w:rsidRPr="002F433A">
        <w:rPr>
          <w:rFonts w:ascii="Times New Roman" w:eastAsia="Times New Roman" w:hAnsi="Times New Roman"/>
        </w:rPr>
        <w:t>85 percent and 97 percent</w:t>
      </w:r>
      <w:r>
        <w:rPr>
          <w:rFonts w:ascii="Times New Roman" w:eastAsia="Times New Roman" w:hAnsi="Times New Roman"/>
        </w:rPr>
        <w:t>,</w:t>
      </w:r>
      <w:r w:rsidRPr="002F433A">
        <w:rPr>
          <w:rFonts w:ascii="Times New Roman" w:eastAsia="Times New Roman" w:hAnsi="Times New Roman"/>
        </w:rPr>
        <w:t xml:space="preserve"> respectively</w:t>
      </w:r>
      <w:r>
        <w:rPr>
          <w:rFonts w:ascii="Times New Roman" w:eastAsia="Times New Roman" w:hAnsi="Times New Roman"/>
        </w:rPr>
        <w:t xml:space="preserve">) </w:t>
      </w:r>
      <w:r w:rsidRPr="002F433A">
        <w:rPr>
          <w:rFonts w:ascii="Times New Roman" w:eastAsia="Times New Roman" w:hAnsi="Times New Roman"/>
        </w:rPr>
        <w:t xml:space="preserve">are received by </w:t>
      </w:r>
      <w:r>
        <w:rPr>
          <w:rFonts w:ascii="Times New Roman" w:eastAsia="Times New Roman" w:hAnsi="Times New Roman"/>
        </w:rPr>
        <w:t>those</w:t>
      </w:r>
      <w:r w:rsidRPr="002F433A">
        <w:rPr>
          <w:rFonts w:ascii="Times New Roman" w:eastAsia="Times New Roman" w:hAnsi="Times New Roman"/>
        </w:rPr>
        <w:t xml:space="preserve"> living in urban areas and </w:t>
      </w:r>
      <w:r>
        <w:rPr>
          <w:rFonts w:ascii="Times New Roman" w:eastAsia="Times New Roman" w:hAnsi="Times New Roman"/>
        </w:rPr>
        <w:t xml:space="preserve">by those </w:t>
      </w:r>
      <w:r w:rsidRPr="004C4F7F">
        <w:rPr>
          <w:rFonts w:ascii="Times New Roman" w:eastAsia="Times New Roman" w:hAnsi="Times New Roman"/>
        </w:rPr>
        <w:t>from</w:t>
      </w:r>
      <w:r w:rsidRPr="002F433A">
        <w:rPr>
          <w:rFonts w:ascii="Times New Roman" w:eastAsia="Times New Roman" w:hAnsi="Times New Roman"/>
        </w:rPr>
        <w:t xml:space="preserve"> the </w:t>
      </w:r>
      <w:r w:rsidRPr="00152878">
        <w:rPr>
          <w:rFonts w:ascii="Times New Roman" w:eastAsia="Times New Roman" w:hAnsi="Times New Roman"/>
        </w:rPr>
        <w:t>richest two</w:t>
      </w:r>
      <w:r w:rsidRPr="002F433A">
        <w:rPr>
          <w:rFonts w:ascii="Times New Roman" w:eastAsia="Times New Roman" w:hAnsi="Times New Roman"/>
        </w:rPr>
        <w:t xml:space="preserve"> quintiles </w:t>
      </w:r>
      <w:r>
        <w:rPr>
          <w:rFonts w:ascii="Times New Roman" w:eastAsia="Times New Roman" w:hAnsi="Times New Roman"/>
        </w:rPr>
        <w:t>(</w:t>
      </w:r>
      <w:r w:rsidRPr="002F433A">
        <w:rPr>
          <w:rFonts w:ascii="Times New Roman" w:eastAsia="Times New Roman" w:hAnsi="Times New Roman"/>
        </w:rPr>
        <w:t>5</w:t>
      </w:r>
      <w:r>
        <w:rPr>
          <w:rFonts w:ascii="Times New Roman" w:eastAsia="Times New Roman" w:hAnsi="Times New Roman"/>
        </w:rPr>
        <w:t>7</w:t>
      </w:r>
      <w:r w:rsidRPr="002F433A">
        <w:rPr>
          <w:rFonts w:ascii="Times New Roman" w:eastAsia="Times New Roman" w:hAnsi="Times New Roman"/>
        </w:rPr>
        <w:t xml:space="preserve"> percent and 8</w:t>
      </w:r>
      <w:r>
        <w:rPr>
          <w:rFonts w:ascii="Times New Roman" w:eastAsia="Times New Roman" w:hAnsi="Times New Roman"/>
        </w:rPr>
        <w:t>9</w:t>
      </w:r>
      <w:r w:rsidRPr="002F433A">
        <w:rPr>
          <w:rFonts w:ascii="Times New Roman" w:eastAsia="Times New Roman" w:hAnsi="Times New Roman"/>
        </w:rPr>
        <w:t xml:space="preserve"> percent</w:t>
      </w:r>
      <w:r>
        <w:rPr>
          <w:rFonts w:ascii="Times New Roman" w:eastAsia="Times New Roman" w:hAnsi="Times New Roman"/>
        </w:rPr>
        <w:t>,</w:t>
      </w:r>
      <w:r w:rsidRPr="002F433A">
        <w:rPr>
          <w:rFonts w:ascii="Times New Roman" w:eastAsia="Times New Roman" w:hAnsi="Times New Roman"/>
        </w:rPr>
        <w:t xml:space="preserve"> respectively</w:t>
      </w:r>
      <w:r>
        <w:rPr>
          <w:rFonts w:ascii="Times New Roman" w:eastAsia="Times New Roman" w:hAnsi="Times New Roman"/>
        </w:rPr>
        <w:t>)</w:t>
      </w:r>
      <w:r w:rsidRPr="002F433A">
        <w:rPr>
          <w:rFonts w:ascii="Times New Roman" w:eastAsia="Times New Roman" w:hAnsi="Times New Roman"/>
        </w:rPr>
        <w:t>. However, only 15 percent of food subsid</w:t>
      </w:r>
      <w:r>
        <w:rPr>
          <w:rFonts w:ascii="Times New Roman" w:eastAsia="Times New Roman" w:hAnsi="Times New Roman"/>
        </w:rPr>
        <w:t>y</w:t>
      </w:r>
      <w:r w:rsidRPr="002F433A">
        <w:rPr>
          <w:rFonts w:ascii="Times New Roman" w:eastAsia="Times New Roman" w:hAnsi="Times New Roman"/>
        </w:rPr>
        <w:t xml:space="preserve"> </w:t>
      </w:r>
      <w:r>
        <w:rPr>
          <w:rFonts w:ascii="Times New Roman" w:eastAsia="Times New Roman" w:hAnsi="Times New Roman"/>
        </w:rPr>
        <w:t xml:space="preserve">benefits </w:t>
      </w:r>
      <w:r w:rsidRPr="002F433A">
        <w:rPr>
          <w:rFonts w:ascii="Times New Roman" w:eastAsia="Times New Roman" w:hAnsi="Times New Roman"/>
        </w:rPr>
        <w:t>and less than 3 percent of fuel subsid</w:t>
      </w:r>
      <w:r>
        <w:rPr>
          <w:rFonts w:ascii="Times New Roman" w:eastAsia="Times New Roman" w:hAnsi="Times New Roman"/>
        </w:rPr>
        <w:t>y</w:t>
      </w:r>
      <w:r w:rsidRPr="002F433A">
        <w:rPr>
          <w:rFonts w:ascii="Times New Roman" w:eastAsia="Times New Roman" w:hAnsi="Times New Roman"/>
        </w:rPr>
        <w:t xml:space="preserve"> </w:t>
      </w:r>
      <w:r>
        <w:rPr>
          <w:rFonts w:ascii="Times New Roman" w:eastAsia="Times New Roman" w:hAnsi="Times New Roman"/>
        </w:rPr>
        <w:t xml:space="preserve">benefits go to </w:t>
      </w:r>
      <w:r w:rsidRPr="002F433A">
        <w:rPr>
          <w:rFonts w:ascii="Times New Roman" w:eastAsia="Times New Roman" w:hAnsi="Times New Roman"/>
        </w:rPr>
        <w:t>beneficiaries living in rural areas and only 10 percent and less than 1 percent, respectively</w:t>
      </w:r>
      <w:r>
        <w:rPr>
          <w:rFonts w:ascii="Times New Roman" w:eastAsia="Times New Roman" w:hAnsi="Times New Roman"/>
        </w:rPr>
        <w:t>,</w:t>
      </w:r>
      <w:r w:rsidRPr="002F433A">
        <w:rPr>
          <w:rFonts w:ascii="Times New Roman" w:eastAsia="Times New Roman" w:hAnsi="Times New Roman"/>
        </w:rPr>
        <w:t xml:space="preserve"> are received by those in the poorest quintile. Pensions and compensation for health care expenditure transfers are </w:t>
      </w:r>
      <w:r w:rsidRPr="00152878">
        <w:rPr>
          <w:rFonts w:ascii="Times New Roman" w:eastAsia="Times New Roman" w:hAnsi="Times New Roman"/>
        </w:rPr>
        <w:t>received mainly by</w:t>
      </w:r>
      <w:r w:rsidRPr="002F433A">
        <w:rPr>
          <w:rFonts w:ascii="Times New Roman" w:eastAsia="Times New Roman" w:hAnsi="Times New Roman"/>
        </w:rPr>
        <w:t xml:space="preserve"> </w:t>
      </w:r>
      <w:r w:rsidR="00B4739E" w:rsidRPr="002F433A">
        <w:rPr>
          <w:rFonts w:ascii="Times New Roman" w:eastAsia="Times New Roman" w:hAnsi="Times New Roman"/>
        </w:rPr>
        <w:t>non-poor beneficiaries</w:t>
      </w:r>
      <w:r w:rsidR="00B4739E">
        <w:rPr>
          <w:rFonts w:ascii="Times New Roman" w:eastAsia="Times New Roman" w:hAnsi="Times New Roman"/>
        </w:rPr>
        <w:t xml:space="preserve"> and </w:t>
      </w:r>
      <w:r>
        <w:rPr>
          <w:rFonts w:ascii="Times New Roman" w:eastAsia="Times New Roman" w:hAnsi="Times New Roman"/>
        </w:rPr>
        <w:t xml:space="preserve">the </w:t>
      </w:r>
      <w:r w:rsidRPr="002F433A">
        <w:rPr>
          <w:rFonts w:ascii="Times New Roman" w:eastAsia="Times New Roman" w:hAnsi="Times New Roman"/>
        </w:rPr>
        <w:t>population living in urban areas.</w:t>
      </w:r>
    </w:p>
    <w:p w:rsidR="00504398" w:rsidRPr="00D41C01" w:rsidRDefault="00504398" w:rsidP="00E57B35">
      <w:pPr>
        <w:pStyle w:val="Caption"/>
      </w:pPr>
      <w:bookmarkStart w:id="50" w:name="_Ref404180978"/>
      <w:bookmarkStart w:id="51" w:name="_Toc404619681"/>
      <w:bookmarkStart w:id="52" w:name="_Toc412105846"/>
      <w:r w:rsidRPr="00A66582">
        <w:t xml:space="preserve">Table </w:t>
      </w:r>
      <w:fldSimple w:instr=" SEQ Table \* ARABIC ">
        <w:r w:rsidR="001000E9">
          <w:rPr>
            <w:noProof/>
          </w:rPr>
          <w:t>15</w:t>
        </w:r>
      </w:fldSimple>
      <w:bookmarkEnd w:id="50"/>
      <w:r w:rsidRPr="00A66582">
        <w:t>. Distribution of Benefits (Targeting Accuracy)</w:t>
      </w:r>
      <w:bookmarkEnd w:id="51"/>
      <w:bookmarkEnd w:id="52"/>
    </w:p>
    <w:tbl>
      <w:tblPr>
        <w:tblW w:w="9285" w:type="dxa"/>
        <w:tblInd w:w="93" w:type="dxa"/>
        <w:tblLayout w:type="fixed"/>
        <w:tblLook w:val="04A0" w:firstRow="1" w:lastRow="0" w:firstColumn="1" w:lastColumn="0" w:noHBand="0" w:noVBand="1"/>
      </w:tblPr>
      <w:tblGrid>
        <w:gridCol w:w="2985"/>
        <w:gridCol w:w="990"/>
        <w:gridCol w:w="990"/>
        <w:gridCol w:w="900"/>
        <w:gridCol w:w="810"/>
        <w:gridCol w:w="810"/>
        <w:gridCol w:w="990"/>
        <w:gridCol w:w="810"/>
      </w:tblGrid>
      <w:tr w:rsidR="007A3FA3" w:rsidRPr="00110E5B" w:rsidTr="00EF6B01">
        <w:trPr>
          <w:trHeight w:val="270"/>
        </w:trPr>
        <w:tc>
          <w:tcPr>
            <w:tcW w:w="2985" w:type="dxa"/>
            <w:tcBorders>
              <w:top w:val="double" w:sz="4" w:space="0" w:color="auto"/>
              <w:bottom w:val="single" w:sz="4" w:space="0" w:color="auto"/>
            </w:tcBorders>
            <w:shd w:val="clear" w:color="auto" w:fill="auto"/>
            <w:vAlign w:val="center"/>
            <w:hideMark/>
          </w:tcPr>
          <w:p w:rsidR="007A3FA3" w:rsidRPr="00110E5B" w:rsidRDefault="007A3FA3" w:rsidP="00D56EDF">
            <w:pPr>
              <w:spacing w:after="0"/>
              <w:jc w:val="center"/>
              <w:rPr>
                <w:rFonts w:ascii="Times New Roman" w:eastAsia="Times New Roman" w:hAnsi="Times New Roman" w:cs="Times New Roman"/>
                <w:bCs/>
                <w:color w:val="000000"/>
                <w:sz w:val="20"/>
                <w:szCs w:val="20"/>
                <w:lang w:eastAsia="zh-CN"/>
              </w:rPr>
            </w:pPr>
            <w:r w:rsidRPr="00110E5B">
              <w:rPr>
                <w:rFonts w:ascii="Times New Roman" w:eastAsia="Times New Roman" w:hAnsi="Times New Roman" w:cs="Times New Roman"/>
                <w:bCs/>
                <w:color w:val="000000"/>
                <w:sz w:val="20"/>
                <w:szCs w:val="20"/>
                <w:lang w:eastAsia="zh-CN"/>
              </w:rPr>
              <w:t> </w:t>
            </w:r>
          </w:p>
        </w:tc>
        <w:tc>
          <w:tcPr>
            <w:tcW w:w="1980" w:type="dxa"/>
            <w:gridSpan w:val="2"/>
            <w:tcBorders>
              <w:top w:val="double" w:sz="4" w:space="0" w:color="auto"/>
              <w:bottom w:val="single" w:sz="4" w:space="0" w:color="auto"/>
            </w:tcBorders>
            <w:shd w:val="clear" w:color="auto" w:fill="auto"/>
            <w:vAlign w:val="center"/>
            <w:hideMark/>
          </w:tcPr>
          <w:p w:rsidR="007A3FA3" w:rsidRPr="00B446D9" w:rsidRDefault="007A3FA3" w:rsidP="00D56EDF">
            <w:pPr>
              <w:spacing w:after="0"/>
              <w:jc w:val="center"/>
              <w:rPr>
                <w:rFonts w:ascii="Times New Roman" w:eastAsia="Times New Roman" w:hAnsi="Times New Roman" w:cs="Times New Roman"/>
                <w:b/>
                <w:bCs/>
                <w:color w:val="000000"/>
                <w:sz w:val="20"/>
                <w:szCs w:val="20"/>
                <w:lang w:eastAsia="zh-CN"/>
              </w:rPr>
            </w:pPr>
            <w:r w:rsidRPr="00B446D9">
              <w:rPr>
                <w:rFonts w:ascii="Times New Roman" w:eastAsia="Times New Roman" w:hAnsi="Times New Roman" w:cs="Times New Roman"/>
                <w:b/>
                <w:bCs/>
                <w:color w:val="000000"/>
                <w:sz w:val="20"/>
                <w:szCs w:val="20"/>
                <w:lang w:eastAsia="zh-CN"/>
              </w:rPr>
              <w:t>Area of Residence</w:t>
            </w:r>
          </w:p>
        </w:tc>
        <w:tc>
          <w:tcPr>
            <w:tcW w:w="4320" w:type="dxa"/>
            <w:gridSpan w:val="5"/>
            <w:tcBorders>
              <w:top w:val="double" w:sz="4" w:space="0" w:color="auto"/>
              <w:bottom w:val="single" w:sz="4" w:space="0" w:color="auto"/>
            </w:tcBorders>
          </w:tcPr>
          <w:p w:rsidR="007A3FA3" w:rsidRPr="00B446D9" w:rsidRDefault="007A3FA3" w:rsidP="00D56EDF">
            <w:pPr>
              <w:spacing w:after="0"/>
              <w:jc w:val="center"/>
              <w:rPr>
                <w:rFonts w:ascii="Times New Roman" w:eastAsia="Times New Roman" w:hAnsi="Times New Roman" w:cs="Times New Roman"/>
                <w:b/>
                <w:bCs/>
                <w:color w:val="000000"/>
                <w:sz w:val="20"/>
                <w:szCs w:val="20"/>
                <w:lang w:eastAsia="zh-CN"/>
              </w:rPr>
            </w:pPr>
            <w:r w:rsidRPr="00B446D9">
              <w:rPr>
                <w:rFonts w:ascii="Times New Roman" w:eastAsia="Times New Roman" w:hAnsi="Times New Roman" w:cs="Times New Roman"/>
                <w:b/>
                <w:bCs/>
                <w:color w:val="000000"/>
                <w:sz w:val="20"/>
                <w:szCs w:val="20"/>
                <w:lang w:eastAsia="zh-CN"/>
              </w:rPr>
              <w:t>Quintiles of Per Capita Consumption</w:t>
            </w:r>
          </w:p>
        </w:tc>
      </w:tr>
      <w:tr w:rsidR="007A3FA3" w:rsidRPr="00110E5B" w:rsidTr="00EF6B01">
        <w:trPr>
          <w:trHeight w:val="270"/>
        </w:trPr>
        <w:tc>
          <w:tcPr>
            <w:tcW w:w="2985" w:type="dxa"/>
            <w:tcBorders>
              <w:top w:val="single" w:sz="4" w:space="0" w:color="auto"/>
              <w:bottom w:val="single" w:sz="4" w:space="0" w:color="auto"/>
            </w:tcBorders>
            <w:shd w:val="clear" w:color="auto" w:fill="auto"/>
            <w:vAlign w:val="center"/>
            <w:hideMark/>
          </w:tcPr>
          <w:p w:rsidR="007A3FA3" w:rsidRPr="00110E5B" w:rsidRDefault="007A3FA3" w:rsidP="00D56EDF">
            <w:pPr>
              <w:spacing w:after="0"/>
              <w:jc w:val="center"/>
              <w:rPr>
                <w:rFonts w:ascii="Times New Roman" w:eastAsia="Times New Roman" w:hAnsi="Times New Roman" w:cs="Times New Roman"/>
                <w:bCs/>
                <w:color w:val="000000"/>
                <w:sz w:val="20"/>
                <w:szCs w:val="20"/>
                <w:lang w:eastAsia="zh-CN"/>
              </w:rPr>
            </w:pPr>
            <w:r w:rsidRPr="00110E5B">
              <w:rPr>
                <w:rFonts w:ascii="Times New Roman" w:eastAsia="Times New Roman" w:hAnsi="Times New Roman" w:cs="Times New Roman"/>
                <w:bCs/>
                <w:color w:val="000000"/>
                <w:sz w:val="20"/>
                <w:szCs w:val="20"/>
                <w:lang w:eastAsia="zh-CN"/>
              </w:rPr>
              <w:t> </w:t>
            </w:r>
          </w:p>
        </w:tc>
        <w:tc>
          <w:tcPr>
            <w:tcW w:w="990" w:type="dxa"/>
            <w:tcBorders>
              <w:top w:val="single" w:sz="4" w:space="0" w:color="auto"/>
              <w:bottom w:val="single" w:sz="4" w:space="0" w:color="auto"/>
            </w:tcBorders>
            <w:shd w:val="clear" w:color="auto" w:fill="auto"/>
            <w:vAlign w:val="center"/>
            <w:hideMark/>
          </w:tcPr>
          <w:p w:rsidR="007A3FA3" w:rsidRPr="0072385D" w:rsidRDefault="007A3FA3" w:rsidP="00D56EDF">
            <w:pPr>
              <w:spacing w:after="0"/>
              <w:jc w:val="center"/>
              <w:rPr>
                <w:rFonts w:ascii="Times New Roman" w:eastAsia="Times New Roman" w:hAnsi="Times New Roman" w:cs="Times New Roman"/>
                <w:b/>
                <w:bCs/>
                <w:color w:val="000000"/>
                <w:sz w:val="20"/>
                <w:szCs w:val="20"/>
                <w:lang w:eastAsia="zh-CN"/>
              </w:rPr>
            </w:pPr>
            <w:r w:rsidRPr="0072385D">
              <w:rPr>
                <w:rFonts w:ascii="Times New Roman" w:eastAsia="Times New Roman" w:hAnsi="Times New Roman" w:cs="Times New Roman"/>
                <w:b/>
                <w:bCs/>
                <w:color w:val="000000"/>
                <w:sz w:val="20"/>
                <w:szCs w:val="20"/>
                <w:lang w:eastAsia="zh-CN"/>
              </w:rPr>
              <w:t>Urban</w:t>
            </w:r>
          </w:p>
        </w:tc>
        <w:tc>
          <w:tcPr>
            <w:tcW w:w="990" w:type="dxa"/>
            <w:tcBorders>
              <w:top w:val="single" w:sz="4" w:space="0" w:color="auto"/>
              <w:bottom w:val="single" w:sz="4" w:space="0" w:color="auto"/>
            </w:tcBorders>
            <w:shd w:val="clear" w:color="auto" w:fill="auto"/>
            <w:vAlign w:val="center"/>
            <w:hideMark/>
          </w:tcPr>
          <w:p w:rsidR="007A3FA3" w:rsidRPr="00B446D9" w:rsidRDefault="007A3FA3" w:rsidP="00D56EDF">
            <w:pPr>
              <w:spacing w:after="0"/>
              <w:jc w:val="center"/>
              <w:rPr>
                <w:rFonts w:ascii="Times New Roman" w:eastAsia="Times New Roman" w:hAnsi="Times New Roman" w:cs="Times New Roman"/>
                <w:b/>
                <w:bCs/>
                <w:color w:val="000000"/>
                <w:sz w:val="20"/>
                <w:szCs w:val="20"/>
                <w:lang w:eastAsia="zh-CN"/>
              </w:rPr>
            </w:pPr>
            <w:r w:rsidRPr="00B446D9">
              <w:rPr>
                <w:rFonts w:ascii="Times New Roman" w:eastAsia="Times New Roman" w:hAnsi="Times New Roman" w:cs="Times New Roman"/>
                <w:b/>
                <w:bCs/>
                <w:color w:val="000000"/>
                <w:sz w:val="20"/>
                <w:szCs w:val="20"/>
                <w:lang w:eastAsia="zh-CN"/>
              </w:rPr>
              <w:t>Rural</w:t>
            </w:r>
          </w:p>
        </w:tc>
        <w:tc>
          <w:tcPr>
            <w:tcW w:w="900" w:type="dxa"/>
            <w:tcBorders>
              <w:top w:val="single" w:sz="4" w:space="0" w:color="auto"/>
              <w:bottom w:val="single" w:sz="4" w:space="0" w:color="auto"/>
            </w:tcBorders>
            <w:vAlign w:val="center"/>
          </w:tcPr>
          <w:p w:rsidR="007A3FA3" w:rsidRPr="00B446D9" w:rsidRDefault="007A3FA3" w:rsidP="00D56EDF">
            <w:pPr>
              <w:spacing w:after="0"/>
              <w:jc w:val="center"/>
              <w:rPr>
                <w:rFonts w:ascii="Times New Roman" w:eastAsia="Times New Roman" w:hAnsi="Times New Roman" w:cs="Times New Roman"/>
                <w:b/>
                <w:bCs/>
                <w:color w:val="000000"/>
                <w:sz w:val="20"/>
                <w:szCs w:val="20"/>
                <w:lang w:eastAsia="zh-CN"/>
              </w:rPr>
            </w:pPr>
            <w:r w:rsidRPr="00B446D9">
              <w:rPr>
                <w:rFonts w:ascii="Times New Roman" w:eastAsia="Times New Roman" w:hAnsi="Times New Roman" w:cs="Times New Roman"/>
                <w:b/>
                <w:bCs/>
                <w:color w:val="000000"/>
                <w:sz w:val="20"/>
                <w:szCs w:val="20"/>
                <w:lang w:eastAsia="zh-CN"/>
              </w:rPr>
              <w:t>Q1</w:t>
            </w:r>
          </w:p>
        </w:tc>
        <w:tc>
          <w:tcPr>
            <w:tcW w:w="810" w:type="dxa"/>
            <w:tcBorders>
              <w:top w:val="single" w:sz="4" w:space="0" w:color="auto"/>
              <w:bottom w:val="single" w:sz="4" w:space="0" w:color="auto"/>
            </w:tcBorders>
            <w:shd w:val="clear" w:color="auto" w:fill="auto"/>
            <w:vAlign w:val="center"/>
          </w:tcPr>
          <w:p w:rsidR="007A3FA3" w:rsidRPr="00B446D9" w:rsidRDefault="007A3FA3" w:rsidP="00D56EDF">
            <w:pPr>
              <w:spacing w:after="0"/>
              <w:jc w:val="center"/>
              <w:rPr>
                <w:rFonts w:ascii="Times New Roman" w:eastAsia="Times New Roman" w:hAnsi="Times New Roman" w:cs="Times New Roman"/>
                <w:b/>
                <w:bCs/>
                <w:color w:val="000000"/>
                <w:sz w:val="20"/>
                <w:szCs w:val="20"/>
                <w:lang w:eastAsia="zh-CN"/>
              </w:rPr>
            </w:pPr>
            <w:r w:rsidRPr="00B446D9">
              <w:rPr>
                <w:rFonts w:ascii="Times New Roman" w:eastAsia="Times New Roman" w:hAnsi="Times New Roman" w:cs="Times New Roman"/>
                <w:b/>
                <w:bCs/>
                <w:color w:val="000000"/>
                <w:sz w:val="20"/>
                <w:szCs w:val="20"/>
                <w:lang w:eastAsia="zh-CN"/>
              </w:rPr>
              <w:t>Q2</w:t>
            </w:r>
          </w:p>
        </w:tc>
        <w:tc>
          <w:tcPr>
            <w:tcW w:w="810" w:type="dxa"/>
            <w:tcBorders>
              <w:top w:val="single" w:sz="4" w:space="0" w:color="auto"/>
              <w:bottom w:val="single" w:sz="4" w:space="0" w:color="auto"/>
            </w:tcBorders>
            <w:shd w:val="clear" w:color="auto" w:fill="auto"/>
            <w:vAlign w:val="center"/>
          </w:tcPr>
          <w:p w:rsidR="007A3FA3" w:rsidRPr="00B446D9" w:rsidRDefault="007A3FA3" w:rsidP="00D56EDF">
            <w:pPr>
              <w:spacing w:after="0"/>
              <w:jc w:val="center"/>
              <w:rPr>
                <w:rFonts w:ascii="Times New Roman" w:eastAsia="Times New Roman" w:hAnsi="Times New Roman" w:cs="Times New Roman"/>
                <w:b/>
                <w:bCs/>
                <w:color w:val="000000"/>
                <w:sz w:val="20"/>
                <w:szCs w:val="20"/>
                <w:lang w:eastAsia="zh-CN"/>
              </w:rPr>
            </w:pPr>
            <w:r w:rsidRPr="00B446D9">
              <w:rPr>
                <w:rFonts w:ascii="Times New Roman" w:eastAsia="Times New Roman" w:hAnsi="Times New Roman" w:cs="Times New Roman"/>
                <w:b/>
                <w:bCs/>
                <w:color w:val="000000"/>
                <w:sz w:val="20"/>
                <w:szCs w:val="20"/>
                <w:lang w:eastAsia="zh-CN"/>
              </w:rPr>
              <w:t>Q3</w:t>
            </w:r>
          </w:p>
        </w:tc>
        <w:tc>
          <w:tcPr>
            <w:tcW w:w="990" w:type="dxa"/>
            <w:tcBorders>
              <w:top w:val="single" w:sz="4" w:space="0" w:color="auto"/>
              <w:bottom w:val="single" w:sz="4" w:space="0" w:color="auto"/>
            </w:tcBorders>
            <w:shd w:val="clear" w:color="auto" w:fill="auto"/>
            <w:vAlign w:val="center"/>
          </w:tcPr>
          <w:p w:rsidR="007A3FA3" w:rsidRPr="00B446D9" w:rsidRDefault="007A3FA3" w:rsidP="00D56EDF">
            <w:pPr>
              <w:spacing w:after="0"/>
              <w:jc w:val="center"/>
              <w:rPr>
                <w:rFonts w:ascii="Times New Roman" w:eastAsia="Times New Roman" w:hAnsi="Times New Roman" w:cs="Times New Roman"/>
                <w:b/>
                <w:bCs/>
                <w:color w:val="000000"/>
                <w:sz w:val="20"/>
                <w:szCs w:val="20"/>
                <w:lang w:eastAsia="zh-CN"/>
              </w:rPr>
            </w:pPr>
            <w:r w:rsidRPr="00B446D9">
              <w:rPr>
                <w:rFonts w:ascii="Times New Roman" w:eastAsia="Times New Roman" w:hAnsi="Times New Roman" w:cs="Times New Roman"/>
                <w:b/>
                <w:bCs/>
                <w:color w:val="000000"/>
                <w:sz w:val="20"/>
                <w:szCs w:val="20"/>
                <w:lang w:eastAsia="zh-CN"/>
              </w:rPr>
              <w:t>Q4</w:t>
            </w:r>
          </w:p>
        </w:tc>
        <w:tc>
          <w:tcPr>
            <w:tcW w:w="810" w:type="dxa"/>
            <w:tcBorders>
              <w:top w:val="single" w:sz="4" w:space="0" w:color="auto"/>
              <w:bottom w:val="single" w:sz="4" w:space="0" w:color="auto"/>
            </w:tcBorders>
            <w:shd w:val="clear" w:color="auto" w:fill="auto"/>
            <w:vAlign w:val="center"/>
          </w:tcPr>
          <w:p w:rsidR="007A3FA3" w:rsidRPr="00B446D9" w:rsidRDefault="007A3FA3" w:rsidP="00D56EDF">
            <w:pPr>
              <w:spacing w:after="0"/>
              <w:jc w:val="center"/>
              <w:rPr>
                <w:rFonts w:ascii="Times New Roman" w:eastAsia="Times New Roman" w:hAnsi="Times New Roman" w:cs="Times New Roman"/>
                <w:b/>
                <w:bCs/>
                <w:color w:val="000000"/>
                <w:sz w:val="20"/>
                <w:szCs w:val="20"/>
                <w:lang w:eastAsia="zh-CN"/>
              </w:rPr>
            </w:pPr>
            <w:r w:rsidRPr="00B446D9">
              <w:rPr>
                <w:rFonts w:ascii="Times New Roman" w:eastAsia="Times New Roman" w:hAnsi="Times New Roman" w:cs="Times New Roman"/>
                <w:b/>
                <w:bCs/>
                <w:color w:val="000000"/>
                <w:sz w:val="20"/>
                <w:szCs w:val="20"/>
                <w:lang w:eastAsia="zh-CN"/>
              </w:rPr>
              <w:t>Q5</w:t>
            </w:r>
          </w:p>
        </w:tc>
      </w:tr>
      <w:tr w:rsidR="007A3FA3" w:rsidRPr="00110E5B" w:rsidTr="00EF6B01">
        <w:trPr>
          <w:trHeight w:val="270"/>
        </w:trPr>
        <w:tc>
          <w:tcPr>
            <w:tcW w:w="2985" w:type="dxa"/>
            <w:tcBorders>
              <w:top w:val="single" w:sz="4" w:space="0" w:color="auto"/>
            </w:tcBorders>
            <w:shd w:val="clear" w:color="auto" w:fill="auto"/>
            <w:vAlign w:val="center"/>
            <w:hideMark/>
          </w:tcPr>
          <w:p w:rsidR="007A3FA3" w:rsidRPr="00110E5B" w:rsidRDefault="007A3FA3" w:rsidP="00D56EDF">
            <w:pPr>
              <w:spacing w:after="0"/>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Pensions</w:t>
            </w:r>
          </w:p>
        </w:tc>
        <w:tc>
          <w:tcPr>
            <w:tcW w:w="990" w:type="dxa"/>
            <w:tcBorders>
              <w:top w:val="single" w:sz="4" w:space="0" w:color="auto"/>
            </w:tcBorders>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85.6</w:t>
            </w:r>
          </w:p>
        </w:tc>
        <w:tc>
          <w:tcPr>
            <w:tcW w:w="990" w:type="dxa"/>
            <w:tcBorders>
              <w:top w:val="single" w:sz="4" w:space="0" w:color="auto"/>
            </w:tcBorders>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14.4</w:t>
            </w:r>
          </w:p>
        </w:tc>
        <w:tc>
          <w:tcPr>
            <w:tcW w:w="900" w:type="dxa"/>
            <w:tcBorders>
              <w:top w:val="single" w:sz="4" w:space="0" w:color="auto"/>
            </w:tcBorders>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4.5</w:t>
            </w:r>
          </w:p>
        </w:tc>
        <w:tc>
          <w:tcPr>
            <w:tcW w:w="810" w:type="dxa"/>
            <w:tcBorders>
              <w:top w:val="single" w:sz="4" w:space="0" w:color="auto"/>
            </w:tcBorders>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10.9</w:t>
            </w:r>
          </w:p>
        </w:tc>
        <w:tc>
          <w:tcPr>
            <w:tcW w:w="810" w:type="dxa"/>
            <w:tcBorders>
              <w:top w:val="single" w:sz="4" w:space="0" w:color="auto"/>
            </w:tcBorders>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17.5</w:t>
            </w:r>
          </w:p>
        </w:tc>
        <w:tc>
          <w:tcPr>
            <w:tcW w:w="990" w:type="dxa"/>
            <w:tcBorders>
              <w:top w:val="single" w:sz="4" w:space="0" w:color="auto"/>
            </w:tcBorders>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19.3</w:t>
            </w:r>
          </w:p>
        </w:tc>
        <w:tc>
          <w:tcPr>
            <w:tcW w:w="810" w:type="dxa"/>
            <w:tcBorders>
              <w:top w:val="single" w:sz="4" w:space="0" w:color="auto"/>
            </w:tcBorders>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47.9</w:t>
            </w:r>
          </w:p>
        </w:tc>
      </w:tr>
      <w:tr w:rsidR="007A3FA3" w:rsidRPr="00110E5B" w:rsidTr="00EF6B01">
        <w:trPr>
          <w:trHeight w:val="270"/>
        </w:trPr>
        <w:tc>
          <w:tcPr>
            <w:tcW w:w="2985" w:type="dxa"/>
            <w:shd w:val="clear" w:color="auto" w:fill="auto"/>
            <w:vAlign w:val="center"/>
            <w:hideMark/>
          </w:tcPr>
          <w:p w:rsidR="007A3FA3" w:rsidRPr="00110E5B" w:rsidRDefault="007A3FA3" w:rsidP="00D56EDF">
            <w:pPr>
              <w:spacing w:after="0"/>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 xml:space="preserve">Compensation for health care expenditure </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52878">
              <w:rPr>
                <w:rFonts w:ascii="Times New Roman" w:eastAsia="Times New Roman" w:hAnsi="Times New Roman" w:cs="Times New Roman"/>
                <w:color w:val="000000"/>
                <w:sz w:val="20"/>
                <w:szCs w:val="20"/>
                <w:lang w:eastAsia="zh-CN"/>
              </w:rPr>
              <w:t>88.0</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12.0</w:t>
            </w:r>
          </w:p>
        </w:tc>
        <w:tc>
          <w:tcPr>
            <w:tcW w:w="900" w:type="dxa"/>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3.5</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11.1</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17.2</w:t>
            </w:r>
          </w:p>
        </w:tc>
        <w:tc>
          <w:tcPr>
            <w:tcW w:w="99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23.4</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44.9</w:t>
            </w:r>
          </w:p>
        </w:tc>
      </w:tr>
      <w:tr w:rsidR="007A3FA3" w:rsidRPr="00110E5B" w:rsidTr="00EF6B01">
        <w:trPr>
          <w:trHeight w:val="270"/>
        </w:trPr>
        <w:tc>
          <w:tcPr>
            <w:tcW w:w="2985" w:type="dxa"/>
            <w:shd w:val="clear" w:color="auto" w:fill="auto"/>
            <w:vAlign w:val="center"/>
            <w:hideMark/>
          </w:tcPr>
          <w:p w:rsidR="007A3FA3" w:rsidRPr="00110E5B" w:rsidRDefault="007A3FA3" w:rsidP="00D56EDF">
            <w:pPr>
              <w:spacing w:after="0"/>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 xml:space="preserve">Food rations </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15.8</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84.2</w:t>
            </w:r>
          </w:p>
        </w:tc>
        <w:tc>
          <w:tcPr>
            <w:tcW w:w="900" w:type="dxa"/>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56.2</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21.2</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10.7</w:t>
            </w:r>
          </w:p>
        </w:tc>
        <w:tc>
          <w:tcPr>
            <w:tcW w:w="99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4.3</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7.5</w:t>
            </w:r>
          </w:p>
        </w:tc>
      </w:tr>
      <w:tr w:rsidR="007A3FA3" w:rsidRPr="00110E5B" w:rsidTr="00EF6B01">
        <w:trPr>
          <w:trHeight w:val="270"/>
        </w:trPr>
        <w:tc>
          <w:tcPr>
            <w:tcW w:w="2985" w:type="dxa"/>
            <w:shd w:val="clear" w:color="auto" w:fill="auto"/>
            <w:vAlign w:val="center"/>
            <w:hideMark/>
          </w:tcPr>
          <w:p w:rsidR="007A3FA3" w:rsidRPr="00110E5B" w:rsidRDefault="007A3FA3" w:rsidP="00D56EDF">
            <w:pPr>
              <w:spacing w:after="0"/>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 xml:space="preserve">Transfers from government or NGOs </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44.7</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55.3</w:t>
            </w:r>
          </w:p>
        </w:tc>
        <w:tc>
          <w:tcPr>
            <w:tcW w:w="900" w:type="dxa"/>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45.1</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16.9</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13.6</w:t>
            </w:r>
          </w:p>
        </w:tc>
        <w:tc>
          <w:tcPr>
            <w:tcW w:w="99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11.7</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12.7</w:t>
            </w:r>
          </w:p>
        </w:tc>
      </w:tr>
      <w:tr w:rsidR="007A3FA3" w:rsidRPr="00110E5B" w:rsidTr="00EF6B01">
        <w:trPr>
          <w:trHeight w:val="270"/>
        </w:trPr>
        <w:tc>
          <w:tcPr>
            <w:tcW w:w="2985" w:type="dxa"/>
            <w:shd w:val="clear" w:color="auto" w:fill="auto"/>
            <w:vAlign w:val="center"/>
            <w:hideMark/>
          </w:tcPr>
          <w:p w:rsidR="007A3FA3" w:rsidRPr="00110E5B" w:rsidRDefault="007A3FA3" w:rsidP="00D56EDF">
            <w:pPr>
              <w:spacing w:after="0"/>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 xml:space="preserve">Food subsidies </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84.9</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15.1</w:t>
            </w:r>
          </w:p>
        </w:tc>
        <w:tc>
          <w:tcPr>
            <w:tcW w:w="900" w:type="dxa"/>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9.5</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15.4</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17.8</w:t>
            </w:r>
          </w:p>
        </w:tc>
        <w:tc>
          <w:tcPr>
            <w:tcW w:w="99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22.0</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35.3</w:t>
            </w:r>
          </w:p>
        </w:tc>
      </w:tr>
      <w:tr w:rsidR="007A3FA3" w:rsidRPr="00110E5B" w:rsidTr="00EF6B01">
        <w:trPr>
          <w:trHeight w:val="270"/>
        </w:trPr>
        <w:tc>
          <w:tcPr>
            <w:tcW w:w="2985" w:type="dxa"/>
            <w:shd w:val="clear" w:color="auto" w:fill="auto"/>
            <w:vAlign w:val="center"/>
            <w:hideMark/>
          </w:tcPr>
          <w:p w:rsidR="007A3FA3" w:rsidRPr="00110E5B" w:rsidRDefault="007A3FA3" w:rsidP="00D56EDF">
            <w:pPr>
              <w:spacing w:after="0"/>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 xml:space="preserve">Fuel subsidies  </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97.2</w:t>
            </w:r>
          </w:p>
        </w:tc>
        <w:tc>
          <w:tcPr>
            <w:tcW w:w="990" w:type="dxa"/>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2.8</w:t>
            </w:r>
          </w:p>
        </w:tc>
        <w:tc>
          <w:tcPr>
            <w:tcW w:w="900" w:type="dxa"/>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0.6</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3.4</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7.5</w:t>
            </w:r>
          </w:p>
        </w:tc>
        <w:tc>
          <w:tcPr>
            <w:tcW w:w="99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13.5</w:t>
            </w:r>
          </w:p>
        </w:tc>
        <w:tc>
          <w:tcPr>
            <w:tcW w:w="810" w:type="dxa"/>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75.0</w:t>
            </w:r>
          </w:p>
        </w:tc>
      </w:tr>
      <w:tr w:rsidR="007A3FA3" w:rsidRPr="00110E5B" w:rsidTr="00EF6B01">
        <w:trPr>
          <w:trHeight w:val="270"/>
        </w:trPr>
        <w:tc>
          <w:tcPr>
            <w:tcW w:w="2985" w:type="dxa"/>
            <w:tcBorders>
              <w:bottom w:val="double" w:sz="4" w:space="0" w:color="auto"/>
            </w:tcBorders>
            <w:shd w:val="clear" w:color="auto" w:fill="auto"/>
            <w:vAlign w:val="center"/>
            <w:hideMark/>
          </w:tcPr>
          <w:p w:rsidR="007A3FA3" w:rsidRPr="00110E5B" w:rsidRDefault="007A3FA3" w:rsidP="00D56EDF">
            <w:pPr>
              <w:spacing w:after="0"/>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 xml:space="preserve">Remittances </w:t>
            </w:r>
          </w:p>
        </w:tc>
        <w:tc>
          <w:tcPr>
            <w:tcW w:w="990" w:type="dxa"/>
            <w:tcBorders>
              <w:bottom w:val="double" w:sz="4" w:space="0" w:color="auto"/>
            </w:tcBorders>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75.6</w:t>
            </w:r>
          </w:p>
        </w:tc>
        <w:tc>
          <w:tcPr>
            <w:tcW w:w="990" w:type="dxa"/>
            <w:tcBorders>
              <w:bottom w:val="double" w:sz="4" w:space="0" w:color="auto"/>
            </w:tcBorders>
            <w:shd w:val="clear" w:color="auto" w:fill="auto"/>
            <w:noWrap/>
            <w:vAlign w:val="center"/>
            <w:hideMark/>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eastAsia="Times New Roman" w:hAnsi="Times New Roman" w:cs="Times New Roman"/>
                <w:color w:val="000000"/>
                <w:sz w:val="20"/>
                <w:szCs w:val="20"/>
                <w:lang w:eastAsia="zh-CN"/>
              </w:rPr>
              <w:t>24.4</w:t>
            </w:r>
          </w:p>
        </w:tc>
        <w:tc>
          <w:tcPr>
            <w:tcW w:w="900" w:type="dxa"/>
            <w:tcBorders>
              <w:bottom w:val="double" w:sz="4" w:space="0" w:color="auto"/>
            </w:tcBorders>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20.8</w:t>
            </w:r>
          </w:p>
        </w:tc>
        <w:tc>
          <w:tcPr>
            <w:tcW w:w="810" w:type="dxa"/>
            <w:tcBorders>
              <w:bottom w:val="double" w:sz="4" w:space="0" w:color="auto"/>
            </w:tcBorders>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15.4</w:t>
            </w:r>
          </w:p>
        </w:tc>
        <w:tc>
          <w:tcPr>
            <w:tcW w:w="810" w:type="dxa"/>
            <w:tcBorders>
              <w:bottom w:val="double" w:sz="4" w:space="0" w:color="auto"/>
            </w:tcBorders>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20.7</w:t>
            </w:r>
          </w:p>
        </w:tc>
        <w:tc>
          <w:tcPr>
            <w:tcW w:w="990" w:type="dxa"/>
            <w:tcBorders>
              <w:bottom w:val="double" w:sz="4" w:space="0" w:color="auto"/>
            </w:tcBorders>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15.0</w:t>
            </w:r>
          </w:p>
        </w:tc>
        <w:tc>
          <w:tcPr>
            <w:tcW w:w="810" w:type="dxa"/>
            <w:tcBorders>
              <w:bottom w:val="double" w:sz="4" w:space="0" w:color="auto"/>
            </w:tcBorders>
            <w:shd w:val="clear" w:color="auto" w:fill="auto"/>
            <w:noWrap/>
            <w:vAlign w:val="center"/>
          </w:tcPr>
          <w:p w:rsidR="007A3FA3" w:rsidRPr="00110E5B" w:rsidRDefault="007A3FA3" w:rsidP="00D56EDF">
            <w:pPr>
              <w:spacing w:after="0"/>
              <w:jc w:val="center"/>
              <w:rPr>
                <w:rFonts w:ascii="Times New Roman" w:eastAsia="Times New Roman" w:hAnsi="Times New Roman" w:cs="Times New Roman"/>
                <w:color w:val="000000"/>
                <w:sz w:val="20"/>
                <w:szCs w:val="20"/>
                <w:lang w:eastAsia="zh-CN"/>
              </w:rPr>
            </w:pPr>
            <w:r w:rsidRPr="00110E5B">
              <w:rPr>
                <w:rFonts w:ascii="Times New Roman" w:hAnsi="Times New Roman" w:cs="Times New Roman"/>
                <w:color w:val="000000"/>
                <w:sz w:val="20"/>
                <w:szCs w:val="20"/>
              </w:rPr>
              <w:t>28.1</w:t>
            </w:r>
          </w:p>
        </w:tc>
      </w:tr>
    </w:tbl>
    <w:p w:rsidR="00504398" w:rsidRDefault="00504398" w:rsidP="003F3439">
      <w:pPr>
        <w:spacing w:after="0" w:line="240" w:lineRule="auto"/>
        <w:rPr>
          <w:rFonts w:ascii="Times New Roman" w:eastAsia="Times New Roman" w:hAnsi="Times New Roman" w:cs="Times New Roman"/>
          <w:color w:val="000000"/>
          <w:sz w:val="18"/>
          <w:szCs w:val="20"/>
          <w:lang w:eastAsia="zh-CN"/>
        </w:rPr>
      </w:pPr>
      <w:r>
        <w:rPr>
          <w:rFonts w:ascii="Times New Roman" w:eastAsia="Times New Roman" w:hAnsi="Times New Roman"/>
          <w:i/>
          <w:sz w:val="18"/>
        </w:rPr>
        <w:t xml:space="preserve">Source: </w:t>
      </w:r>
      <w:r>
        <w:rPr>
          <w:rFonts w:ascii="Times New Roman" w:eastAsia="Times New Roman" w:hAnsi="Times New Roman"/>
          <w:sz w:val="18"/>
        </w:rPr>
        <w:t>World Bank calculation based on the EDAM 3.</w:t>
      </w:r>
    </w:p>
    <w:p w:rsidR="00504398" w:rsidRDefault="00504398" w:rsidP="003F3439">
      <w:pPr>
        <w:spacing w:after="0" w:line="240" w:lineRule="auto"/>
        <w:rPr>
          <w:rFonts w:ascii="Times New Roman" w:eastAsia="Times New Roman" w:hAnsi="Times New Roman" w:cs="Times New Roman"/>
          <w:color w:val="000000"/>
          <w:sz w:val="18"/>
          <w:szCs w:val="20"/>
          <w:lang w:eastAsia="zh-CN"/>
        </w:rPr>
      </w:pPr>
      <w:r w:rsidRPr="00110E5B">
        <w:rPr>
          <w:rFonts w:ascii="Times New Roman" w:eastAsia="Times New Roman" w:hAnsi="Times New Roman" w:cs="Times New Roman"/>
          <w:i/>
          <w:color w:val="000000"/>
          <w:sz w:val="18"/>
          <w:szCs w:val="20"/>
          <w:lang w:eastAsia="zh-CN"/>
        </w:rPr>
        <w:t>Note:</w:t>
      </w:r>
      <w:r w:rsidRPr="00110E5B">
        <w:rPr>
          <w:rFonts w:ascii="Times New Roman" w:eastAsia="Times New Roman" w:hAnsi="Times New Roman" w:cs="Times New Roman"/>
          <w:color w:val="000000"/>
          <w:sz w:val="18"/>
          <w:szCs w:val="20"/>
          <w:lang w:eastAsia="zh-CN"/>
        </w:rPr>
        <w:t xml:space="preserve"> B</w:t>
      </w:r>
      <w:r w:rsidRPr="00C9352B">
        <w:rPr>
          <w:rFonts w:ascii="Times New Roman" w:eastAsia="Times New Roman" w:hAnsi="Times New Roman" w:cs="Times New Roman"/>
          <w:color w:val="000000"/>
          <w:sz w:val="18"/>
          <w:szCs w:val="20"/>
          <w:lang w:eastAsia="zh-CN"/>
        </w:rPr>
        <w:t>enefits' incidence is the transfer amount received by the group as a percent</w:t>
      </w:r>
      <w:r w:rsidR="00560747">
        <w:rPr>
          <w:rFonts w:ascii="Times New Roman" w:eastAsia="Times New Roman" w:hAnsi="Times New Roman" w:cs="Times New Roman"/>
          <w:color w:val="000000"/>
          <w:sz w:val="18"/>
          <w:szCs w:val="20"/>
          <w:lang w:eastAsia="zh-CN"/>
        </w:rPr>
        <w:t>age</w:t>
      </w:r>
      <w:r w:rsidRPr="00C9352B">
        <w:rPr>
          <w:rFonts w:ascii="Times New Roman" w:eastAsia="Times New Roman" w:hAnsi="Times New Roman" w:cs="Times New Roman"/>
          <w:color w:val="000000"/>
          <w:sz w:val="18"/>
          <w:szCs w:val="20"/>
          <w:lang w:eastAsia="zh-CN"/>
        </w:rPr>
        <w:t xml:space="preserve"> of total transfers received by the population</w:t>
      </w:r>
      <w:r>
        <w:rPr>
          <w:rFonts w:ascii="Times New Roman" w:eastAsia="Times New Roman" w:hAnsi="Times New Roman" w:cs="Times New Roman"/>
          <w:color w:val="000000"/>
          <w:sz w:val="18"/>
          <w:szCs w:val="20"/>
          <w:lang w:eastAsia="zh-CN"/>
        </w:rPr>
        <w:t xml:space="preserve">. </w:t>
      </w:r>
      <w:r w:rsidRPr="00C9352B">
        <w:rPr>
          <w:rFonts w:ascii="Times New Roman" w:eastAsia="Times New Roman" w:hAnsi="Times New Roman" w:cs="Times New Roman"/>
          <w:color w:val="000000"/>
          <w:sz w:val="18"/>
          <w:szCs w:val="20"/>
          <w:lang w:eastAsia="zh-CN"/>
        </w:rPr>
        <w:t>Specifically, benefits' incidence is (Sum of all transfers received by all individuals in the group)/(Sum of all transfers received by all individuals in the population).</w:t>
      </w:r>
      <w:r>
        <w:rPr>
          <w:rFonts w:ascii="Times New Roman" w:eastAsia="Times New Roman" w:hAnsi="Times New Roman" w:cs="Times New Roman"/>
          <w:color w:val="000000"/>
          <w:sz w:val="18"/>
          <w:szCs w:val="20"/>
          <w:lang w:eastAsia="zh-CN"/>
        </w:rPr>
        <w:t xml:space="preserve"> </w:t>
      </w:r>
      <w:r w:rsidRPr="00C9352B">
        <w:rPr>
          <w:rFonts w:ascii="Times New Roman" w:eastAsia="Times New Roman" w:hAnsi="Times New Roman" w:cs="Times New Roman"/>
          <w:color w:val="000000"/>
          <w:sz w:val="18"/>
          <w:szCs w:val="20"/>
          <w:lang w:eastAsia="zh-CN"/>
        </w:rPr>
        <w:t>Aggregated transfer amounts are estimated using household size-weighted expansion factors.</w:t>
      </w:r>
    </w:p>
    <w:p w:rsidR="00504398" w:rsidRPr="00C9352B" w:rsidRDefault="00504398" w:rsidP="00504398">
      <w:pPr>
        <w:spacing w:after="0"/>
        <w:rPr>
          <w:sz w:val="18"/>
          <w:szCs w:val="20"/>
        </w:rPr>
      </w:pPr>
    </w:p>
    <w:p w:rsidR="0072385D" w:rsidRDefault="00504398" w:rsidP="00600CD2">
      <w:pPr>
        <w:widowControl w:val="0"/>
        <w:numPr>
          <w:ilvl w:val="0"/>
          <w:numId w:val="1"/>
        </w:numPr>
        <w:autoSpaceDE w:val="0"/>
        <w:autoSpaceDN w:val="0"/>
        <w:adjustRightInd w:val="0"/>
        <w:spacing w:after="240" w:line="240" w:lineRule="auto"/>
        <w:ind w:left="0" w:firstLine="0"/>
        <w:jc w:val="both"/>
        <w:rPr>
          <w:rFonts w:ascii="Times New Roman" w:eastAsia="Times New Roman" w:hAnsi="Times New Roman"/>
        </w:rPr>
      </w:pPr>
      <w:r w:rsidRPr="0072385D">
        <w:rPr>
          <w:rFonts w:ascii="Times New Roman" w:eastAsia="Times New Roman" w:hAnsi="Times New Roman"/>
        </w:rPr>
        <w:t xml:space="preserve">The generosity of social safety net programs in Djibouti is generally very low. </w:t>
      </w:r>
      <w:r w:rsidRPr="002368D7">
        <w:rPr>
          <w:rFonts w:ascii="Times New Roman" w:eastAsia="Times New Roman" w:hAnsi="Times New Roman"/>
        </w:rPr>
        <w:t xml:space="preserve">The lower the generosity, the less important the value of the transfer </w:t>
      </w:r>
      <w:r w:rsidR="00560747">
        <w:rPr>
          <w:rFonts w:ascii="Times New Roman" w:eastAsia="Times New Roman" w:hAnsi="Times New Roman"/>
        </w:rPr>
        <w:t>is for</w:t>
      </w:r>
      <w:r w:rsidRPr="002368D7">
        <w:rPr>
          <w:rFonts w:ascii="Times New Roman" w:eastAsia="Times New Roman" w:hAnsi="Times New Roman"/>
        </w:rPr>
        <w:t xml:space="preserve"> the welfare of the beneficiaries</w:t>
      </w:r>
      <w:r>
        <w:rPr>
          <w:rFonts w:ascii="Times New Roman" w:eastAsia="Times New Roman" w:hAnsi="Times New Roman"/>
        </w:rPr>
        <w:t>. O</w:t>
      </w:r>
      <w:r w:rsidRPr="002368D7">
        <w:rPr>
          <w:rFonts w:ascii="Times New Roman" w:eastAsia="Times New Roman" w:hAnsi="Times New Roman"/>
        </w:rPr>
        <w:t>n the other hand, the higher the generosity</w:t>
      </w:r>
      <w:r>
        <w:rPr>
          <w:rFonts w:ascii="Times New Roman" w:eastAsia="Times New Roman" w:hAnsi="Times New Roman"/>
        </w:rPr>
        <w:t>,</w:t>
      </w:r>
      <w:r w:rsidRPr="002368D7">
        <w:rPr>
          <w:rFonts w:ascii="Times New Roman" w:eastAsia="Times New Roman" w:hAnsi="Times New Roman"/>
        </w:rPr>
        <w:t xml:space="preserve"> the </w:t>
      </w:r>
      <w:r>
        <w:rPr>
          <w:rFonts w:ascii="Times New Roman" w:eastAsia="Times New Roman" w:hAnsi="Times New Roman"/>
        </w:rPr>
        <w:t xml:space="preserve">higher its </w:t>
      </w:r>
      <w:r w:rsidRPr="008A3C62">
        <w:rPr>
          <w:rFonts w:ascii="Times New Roman" w:eastAsia="Times New Roman" w:hAnsi="Times New Roman"/>
        </w:rPr>
        <w:t>importance</w:t>
      </w:r>
      <w:r w:rsidRPr="002368D7">
        <w:rPr>
          <w:rFonts w:ascii="Times New Roman" w:eastAsia="Times New Roman" w:hAnsi="Times New Roman"/>
        </w:rPr>
        <w:t xml:space="preserve"> as a source of welfare </w:t>
      </w:r>
      <w:r w:rsidR="00560747">
        <w:rPr>
          <w:rFonts w:ascii="Times New Roman" w:eastAsia="Times New Roman" w:hAnsi="Times New Roman"/>
        </w:rPr>
        <w:t>for</w:t>
      </w:r>
      <w:r w:rsidRPr="002368D7">
        <w:rPr>
          <w:rFonts w:ascii="Times New Roman" w:eastAsia="Times New Roman" w:hAnsi="Times New Roman"/>
        </w:rPr>
        <w:t xml:space="preserve"> the beneficiaries. The generosity and size of transfers are, therefore, important design features of social safety </w:t>
      </w:r>
      <w:r w:rsidR="00560747">
        <w:rPr>
          <w:rFonts w:ascii="Times New Roman" w:eastAsia="Times New Roman" w:hAnsi="Times New Roman"/>
        </w:rPr>
        <w:t xml:space="preserve">net </w:t>
      </w:r>
      <w:r w:rsidRPr="002368D7">
        <w:rPr>
          <w:rFonts w:ascii="Times New Roman" w:eastAsia="Times New Roman" w:hAnsi="Times New Roman"/>
        </w:rPr>
        <w:t xml:space="preserve">programs as </w:t>
      </w:r>
      <w:r>
        <w:rPr>
          <w:rFonts w:ascii="Times New Roman" w:eastAsia="Times New Roman" w:hAnsi="Times New Roman"/>
        </w:rPr>
        <w:t>they</w:t>
      </w:r>
      <w:r w:rsidRPr="002368D7">
        <w:rPr>
          <w:rFonts w:ascii="Times New Roman" w:eastAsia="Times New Roman" w:hAnsi="Times New Roman"/>
        </w:rPr>
        <w:t xml:space="preserve"> will have an impact on the poverty and other intended objectives of the programs. In fact, low generosity will limit the </w:t>
      </w:r>
      <w:r w:rsidR="00560747">
        <w:rPr>
          <w:rFonts w:ascii="Times New Roman" w:eastAsia="Times New Roman" w:hAnsi="Times New Roman"/>
        </w:rPr>
        <w:t xml:space="preserve">impact on </w:t>
      </w:r>
      <w:r w:rsidRPr="002368D7">
        <w:rPr>
          <w:rFonts w:ascii="Times New Roman" w:eastAsia="Times New Roman" w:hAnsi="Times New Roman"/>
        </w:rPr>
        <w:t>poverty. Only two programs (pensions and private transfers from family and friends</w:t>
      </w:r>
      <w:r w:rsidR="00560747">
        <w:rPr>
          <w:rFonts w:ascii="Times New Roman" w:eastAsia="Times New Roman" w:hAnsi="Times New Roman"/>
        </w:rPr>
        <w:t>—</w:t>
      </w:r>
      <w:r>
        <w:rPr>
          <w:rFonts w:ascii="Times New Roman" w:eastAsia="Times New Roman" w:hAnsi="Times New Roman"/>
        </w:rPr>
        <w:t>which strictly speaking are not social assistance programs</w:t>
      </w:r>
      <w:r w:rsidRPr="002368D7">
        <w:rPr>
          <w:rFonts w:ascii="Times New Roman" w:eastAsia="Times New Roman" w:hAnsi="Times New Roman"/>
        </w:rPr>
        <w:t xml:space="preserve">), out of the seven types of programs </w:t>
      </w:r>
      <w:r w:rsidRPr="00BA4655">
        <w:rPr>
          <w:rFonts w:ascii="Times New Roman" w:eastAsia="Times New Roman" w:hAnsi="Times New Roman"/>
        </w:rPr>
        <w:t>available</w:t>
      </w:r>
      <w:r w:rsidRPr="002368D7">
        <w:rPr>
          <w:rFonts w:ascii="Times New Roman" w:eastAsia="Times New Roman" w:hAnsi="Times New Roman"/>
        </w:rPr>
        <w:t>, seem to have an impact on the consumption level</w:t>
      </w:r>
      <w:r w:rsidR="00560747">
        <w:rPr>
          <w:rFonts w:ascii="Times New Roman" w:eastAsia="Times New Roman" w:hAnsi="Times New Roman"/>
        </w:rPr>
        <w:t>s</w:t>
      </w:r>
      <w:r w:rsidRPr="002368D7">
        <w:rPr>
          <w:rFonts w:ascii="Times New Roman" w:eastAsia="Times New Roman" w:hAnsi="Times New Roman"/>
        </w:rPr>
        <w:t xml:space="preserve"> of the </w:t>
      </w:r>
      <w:r>
        <w:rPr>
          <w:rFonts w:ascii="Times New Roman" w:eastAsia="Times New Roman" w:hAnsi="Times New Roman"/>
        </w:rPr>
        <w:t xml:space="preserve">population in general. On the contrary, by focusing on the </w:t>
      </w:r>
      <w:r w:rsidRPr="002368D7">
        <w:rPr>
          <w:rFonts w:ascii="Times New Roman" w:eastAsia="Times New Roman" w:hAnsi="Times New Roman"/>
        </w:rPr>
        <w:t>poorest quintile</w:t>
      </w:r>
      <w:r w:rsidR="00560747">
        <w:rPr>
          <w:rFonts w:ascii="Times New Roman" w:eastAsia="Times New Roman" w:hAnsi="Times New Roman"/>
        </w:rPr>
        <w:t>,</w:t>
      </w:r>
      <w:r>
        <w:rPr>
          <w:rFonts w:ascii="Times New Roman" w:eastAsia="Times New Roman" w:hAnsi="Times New Roman"/>
        </w:rPr>
        <w:t xml:space="preserve"> food rations also have a significant effect even if private transfers are by far the most efficient vehicle</w:t>
      </w:r>
      <w:r w:rsidRPr="002368D7">
        <w:rPr>
          <w:rFonts w:ascii="Times New Roman" w:eastAsia="Times New Roman" w:hAnsi="Times New Roman"/>
        </w:rPr>
        <w:t xml:space="preserve">. In fact, the impact </w:t>
      </w:r>
      <w:r w:rsidR="00560747">
        <w:rPr>
          <w:rFonts w:ascii="Times New Roman" w:eastAsia="Times New Roman" w:hAnsi="Times New Roman"/>
        </w:rPr>
        <w:t xml:space="preserve">of </w:t>
      </w:r>
      <w:r w:rsidR="00560747" w:rsidRPr="002368D7">
        <w:rPr>
          <w:rFonts w:ascii="Times New Roman" w:eastAsia="Times New Roman" w:hAnsi="Times New Roman"/>
        </w:rPr>
        <w:t xml:space="preserve">cash transfers from the government or NGOs </w:t>
      </w:r>
      <w:r w:rsidR="00560747">
        <w:rPr>
          <w:rFonts w:ascii="Times New Roman" w:eastAsia="Times New Roman" w:hAnsi="Times New Roman"/>
        </w:rPr>
        <w:t>and tax exemptions on food</w:t>
      </w:r>
      <w:r w:rsidR="00560747" w:rsidRPr="002368D7">
        <w:rPr>
          <w:rFonts w:ascii="Times New Roman" w:eastAsia="Times New Roman" w:hAnsi="Times New Roman"/>
        </w:rPr>
        <w:t xml:space="preserve"> </w:t>
      </w:r>
      <w:r w:rsidRPr="002368D7">
        <w:rPr>
          <w:rFonts w:ascii="Times New Roman" w:eastAsia="Times New Roman" w:hAnsi="Times New Roman"/>
        </w:rPr>
        <w:t xml:space="preserve">on the welfare of the poorest quintile </w:t>
      </w:r>
      <w:r>
        <w:rPr>
          <w:rFonts w:ascii="Times New Roman" w:eastAsia="Times New Roman" w:hAnsi="Times New Roman"/>
        </w:rPr>
        <w:t>is</w:t>
      </w:r>
      <w:r w:rsidRPr="002368D7">
        <w:rPr>
          <w:rFonts w:ascii="Times New Roman" w:eastAsia="Times New Roman" w:hAnsi="Times New Roman"/>
        </w:rPr>
        <w:t xml:space="preserve"> </w:t>
      </w:r>
      <w:r>
        <w:rPr>
          <w:rFonts w:ascii="Times New Roman" w:eastAsia="Times New Roman" w:hAnsi="Times New Roman"/>
        </w:rPr>
        <w:t>extremely</w:t>
      </w:r>
      <w:r w:rsidRPr="002368D7">
        <w:rPr>
          <w:rFonts w:ascii="Times New Roman" w:eastAsia="Times New Roman" w:hAnsi="Times New Roman"/>
        </w:rPr>
        <w:t xml:space="preserve"> modest and that of tax exemptions on fuel items </w:t>
      </w:r>
      <w:r>
        <w:rPr>
          <w:rFonts w:ascii="Times New Roman" w:eastAsia="Times New Roman" w:hAnsi="Times New Roman"/>
        </w:rPr>
        <w:t>is</w:t>
      </w:r>
      <w:r w:rsidRPr="002368D7">
        <w:rPr>
          <w:rFonts w:ascii="Times New Roman" w:eastAsia="Times New Roman" w:hAnsi="Times New Roman"/>
        </w:rPr>
        <w:t xml:space="preserve"> negligible.</w:t>
      </w:r>
    </w:p>
    <w:p w:rsidR="00504398" w:rsidRPr="00F46A6C" w:rsidRDefault="00504398" w:rsidP="00600CD2">
      <w:pPr>
        <w:widowControl w:val="0"/>
        <w:numPr>
          <w:ilvl w:val="0"/>
          <w:numId w:val="1"/>
        </w:numPr>
        <w:autoSpaceDE w:val="0"/>
        <w:autoSpaceDN w:val="0"/>
        <w:adjustRightInd w:val="0"/>
        <w:spacing w:after="240" w:line="240" w:lineRule="auto"/>
        <w:ind w:left="0" w:firstLine="0"/>
        <w:jc w:val="both"/>
        <w:rPr>
          <w:rFonts w:ascii="Times New Roman" w:eastAsia="Times New Roman" w:hAnsi="Times New Roman" w:cs="Times New Roman"/>
        </w:rPr>
      </w:pPr>
      <w:r w:rsidRPr="00F46A6C">
        <w:rPr>
          <w:rFonts w:ascii="Times New Roman" w:eastAsia="Times New Roman" w:hAnsi="Times New Roman" w:cs="Times New Roman"/>
          <w:bCs/>
        </w:rPr>
        <w:t>In line with low targeting accuracy and low generosity, social safety net programs in Djibouti are generally small and inadequate in reducing the poverty gap.</w:t>
      </w:r>
      <w:r w:rsidRPr="00F46A6C">
        <w:rPr>
          <w:rFonts w:ascii="Times New Roman" w:eastAsia="Times New Roman" w:hAnsi="Times New Roman" w:cs="Times New Roman"/>
          <w:b/>
          <w:bCs/>
        </w:rPr>
        <w:t xml:space="preserve"> </w:t>
      </w:r>
      <w:r w:rsidRPr="00F46A6C">
        <w:rPr>
          <w:rFonts w:ascii="Times New Roman" w:eastAsia="Times New Roman" w:hAnsi="Times New Roman" w:cs="Times New Roman"/>
        </w:rPr>
        <w:fldChar w:fldCharType="begin"/>
      </w:r>
      <w:r w:rsidRPr="00F46A6C">
        <w:rPr>
          <w:rFonts w:ascii="Times New Roman" w:eastAsia="Times New Roman" w:hAnsi="Times New Roman" w:cs="Times New Roman"/>
          <w:b/>
          <w:bCs/>
        </w:rPr>
        <w:instrText xml:space="preserve"> REF _Ref404181128 \h </w:instrText>
      </w:r>
      <w:r w:rsidR="00F46A6C">
        <w:rPr>
          <w:rFonts w:ascii="Times New Roman" w:eastAsia="Times New Roman" w:hAnsi="Times New Roman" w:cs="Times New Roman"/>
        </w:rPr>
        <w:instrText xml:space="preserve"> \* MERGEFORMAT </w:instrText>
      </w:r>
      <w:r w:rsidRPr="00F46A6C">
        <w:rPr>
          <w:rFonts w:ascii="Times New Roman" w:eastAsia="Times New Roman" w:hAnsi="Times New Roman" w:cs="Times New Roman"/>
        </w:rPr>
      </w:r>
      <w:r w:rsidRPr="00F46A6C">
        <w:rPr>
          <w:rFonts w:ascii="Times New Roman" w:eastAsia="Times New Roman" w:hAnsi="Times New Roman" w:cs="Times New Roman"/>
        </w:rPr>
        <w:fldChar w:fldCharType="separate"/>
      </w:r>
      <w:r w:rsidR="00F46A6C" w:rsidRPr="00F46A6C">
        <w:rPr>
          <w:rFonts w:ascii="Times New Roman" w:hAnsi="Times New Roman" w:cs="Times New Roman"/>
        </w:rPr>
        <w:t xml:space="preserve">Table </w:t>
      </w:r>
      <w:r w:rsidR="00F46A6C" w:rsidRPr="00F46A6C">
        <w:rPr>
          <w:rFonts w:ascii="Times New Roman" w:hAnsi="Times New Roman" w:cs="Times New Roman"/>
          <w:noProof/>
        </w:rPr>
        <w:t>16</w:t>
      </w:r>
      <w:r w:rsidRPr="00F46A6C">
        <w:rPr>
          <w:rFonts w:ascii="Times New Roman" w:eastAsia="Times New Roman" w:hAnsi="Times New Roman" w:cs="Times New Roman"/>
        </w:rPr>
        <w:fldChar w:fldCharType="end"/>
      </w:r>
      <w:r w:rsidRPr="00F46A6C">
        <w:rPr>
          <w:rFonts w:ascii="Times New Roman" w:eastAsia="Times New Roman" w:hAnsi="Times New Roman" w:cs="Times New Roman"/>
        </w:rPr>
        <w:t xml:space="preserve"> shows the generosity ratio, the ratio between the average transfers and the poverty gap, and the program size </w:t>
      </w:r>
      <w:r w:rsidR="00560747">
        <w:rPr>
          <w:rFonts w:ascii="Times New Roman" w:eastAsia="Times New Roman" w:hAnsi="Times New Roman" w:cs="Times New Roman"/>
        </w:rPr>
        <w:t>of</w:t>
      </w:r>
      <w:r w:rsidRPr="00F46A6C">
        <w:rPr>
          <w:rFonts w:ascii="Times New Roman" w:eastAsia="Times New Roman" w:hAnsi="Times New Roman" w:cs="Times New Roman"/>
        </w:rPr>
        <w:t xml:space="preserve"> each of the seven transfer programs in Djibouti. The ratio is above 1 for pension, which means that the average transfer is higher than </w:t>
      </w:r>
      <w:r w:rsidRPr="00F46A6C">
        <w:rPr>
          <w:rFonts w:ascii="Times New Roman" w:eastAsia="Times New Roman" w:hAnsi="Times New Roman" w:cs="Times New Roman"/>
        </w:rPr>
        <w:lastRenderedPageBreak/>
        <w:t>the poverty gap and a strong indication that beneficiaries depend on this transfer as a source of income, which is usually expected for social insurance programs. On the other hand, the generosity of subsidies (both fuel and food) is negligible in closing the poverty gap; hence, a ratio of less than 0.1.</w:t>
      </w:r>
    </w:p>
    <w:p w:rsidR="00504398" w:rsidRPr="00B24CF3" w:rsidRDefault="00504398" w:rsidP="00E57B35">
      <w:pPr>
        <w:pStyle w:val="Caption"/>
      </w:pPr>
      <w:bookmarkStart w:id="53" w:name="_Ref404181128"/>
      <w:bookmarkStart w:id="54" w:name="_Toc404619687"/>
      <w:bookmarkStart w:id="55" w:name="_Toc412105847"/>
      <w:r w:rsidRPr="00AB6BD5">
        <w:t xml:space="preserve">Table </w:t>
      </w:r>
      <w:fldSimple w:instr=" SEQ Table \* ARABIC ">
        <w:r w:rsidR="001000E9">
          <w:rPr>
            <w:noProof/>
          </w:rPr>
          <w:t>16</w:t>
        </w:r>
      </w:fldSimple>
      <w:bookmarkEnd w:id="53"/>
      <w:r w:rsidRPr="00AB6BD5">
        <w:t xml:space="preserve">. Decomposition of </w:t>
      </w:r>
      <w:r>
        <w:t xml:space="preserve">the </w:t>
      </w:r>
      <w:r w:rsidRPr="00AB6BD5">
        <w:t xml:space="preserve">Impact </w:t>
      </w:r>
      <w:r>
        <w:t xml:space="preserve">of the </w:t>
      </w:r>
      <w:r w:rsidR="00163277">
        <w:t>D</w:t>
      </w:r>
      <w:r>
        <w:t>ifferent Programs</w:t>
      </w:r>
      <w:bookmarkEnd w:id="54"/>
      <w:bookmarkEnd w:id="55"/>
    </w:p>
    <w:tbl>
      <w:tblPr>
        <w:tblW w:w="4887" w:type="pct"/>
        <w:tblInd w:w="108" w:type="dxa"/>
        <w:tblLook w:val="04A0" w:firstRow="1" w:lastRow="0" w:firstColumn="1" w:lastColumn="0" w:noHBand="0" w:noVBand="1"/>
      </w:tblPr>
      <w:tblGrid>
        <w:gridCol w:w="3167"/>
        <w:gridCol w:w="1231"/>
        <w:gridCol w:w="1936"/>
        <w:gridCol w:w="1458"/>
        <w:gridCol w:w="212"/>
        <w:gridCol w:w="1144"/>
      </w:tblGrid>
      <w:tr w:rsidR="00504398" w:rsidRPr="00B24CF3" w:rsidTr="00EF6B01">
        <w:trPr>
          <w:trHeight w:val="525"/>
        </w:trPr>
        <w:tc>
          <w:tcPr>
            <w:tcW w:w="1731" w:type="pct"/>
            <w:tcBorders>
              <w:top w:val="double" w:sz="4" w:space="0" w:color="auto"/>
              <w:bottom w:val="single" w:sz="4" w:space="0" w:color="000000"/>
              <w:right w:val="nil"/>
            </w:tcBorders>
            <w:vAlign w:val="center"/>
            <w:hideMark/>
          </w:tcPr>
          <w:p w:rsidR="00504398" w:rsidRPr="00B24CF3" w:rsidRDefault="00504398" w:rsidP="00D56EDF">
            <w:pPr>
              <w:spacing w:after="0"/>
              <w:jc w:val="center"/>
              <w:rPr>
                <w:rFonts w:ascii="Times New Roman" w:eastAsia="Times New Roman" w:hAnsi="Times New Roman" w:cs="Times New Roman"/>
                <w:b/>
                <w:bCs/>
                <w:color w:val="000000"/>
                <w:sz w:val="20"/>
                <w:szCs w:val="20"/>
                <w:lang w:val="en-IN" w:eastAsia="zh-CN"/>
              </w:rPr>
            </w:pPr>
            <w:r w:rsidRPr="00B24CF3">
              <w:rPr>
                <w:rFonts w:ascii="Times New Roman" w:eastAsia="Times New Roman" w:hAnsi="Times New Roman" w:cs="Times New Roman"/>
                <w:b/>
                <w:bCs/>
                <w:color w:val="000000"/>
                <w:sz w:val="20"/>
                <w:szCs w:val="20"/>
                <w:lang w:val="en-IN" w:eastAsia="zh-CN"/>
              </w:rPr>
              <w:t> </w:t>
            </w:r>
          </w:p>
        </w:tc>
        <w:tc>
          <w:tcPr>
            <w:tcW w:w="673" w:type="pct"/>
            <w:tcBorders>
              <w:top w:val="double" w:sz="4" w:space="0" w:color="auto"/>
              <w:left w:val="nil"/>
              <w:bottom w:val="single" w:sz="4" w:space="0" w:color="000000"/>
              <w:right w:val="nil"/>
            </w:tcBorders>
            <w:vAlign w:val="center"/>
            <w:hideMark/>
          </w:tcPr>
          <w:p w:rsidR="00504398" w:rsidRPr="00B24CF3" w:rsidRDefault="00504398" w:rsidP="00D56EDF">
            <w:pPr>
              <w:spacing w:after="0"/>
              <w:jc w:val="center"/>
              <w:rPr>
                <w:rFonts w:ascii="Times New Roman" w:eastAsia="Times New Roman" w:hAnsi="Times New Roman" w:cs="Times New Roman"/>
                <w:b/>
                <w:bCs/>
                <w:color w:val="000000"/>
                <w:sz w:val="20"/>
                <w:szCs w:val="20"/>
                <w:lang w:val="en-IN" w:eastAsia="zh-CN"/>
              </w:rPr>
            </w:pPr>
            <w:r w:rsidRPr="00290EAB">
              <w:rPr>
                <w:rFonts w:ascii="Times New Roman" w:eastAsia="Times New Roman" w:hAnsi="Times New Roman" w:cs="Times New Roman"/>
                <w:b/>
                <w:bCs/>
                <w:color w:val="000000"/>
                <w:sz w:val="20"/>
                <w:szCs w:val="20"/>
                <w:lang w:val="en-IN" w:eastAsia="zh-CN"/>
              </w:rPr>
              <w:t>Targeting</w:t>
            </w:r>
          </w:p>
        </w:tc>
        <w:tc>
          <w:tcPr>
            <w:tcW w:w="1058" w:type="pct"/>
            <w:tcBorders>
              <w:top w:val="double" w:sz="4" w:space="0" w:color="auto"/>
              <w:left w:val="nil"/>
              <w:bottom w:val="single" w:sz="4" w:space="0" w:color="000000"/>
              <w:right w:val="nil"/>
            </w:tcBorders>
            <w:vAlign w:val="center"/>
            <w:hideMark/>
          </w:tcPr>
          <w:p w:rsidR="00504398" w:rsidRPr="00B24CF3" w:rsidRDefault="00504398" w:rsidP="00D56EDF">
            <w:pPr>
              <w:spacing w:after="0"/>
              <w:jc w:val="center"/>
              <w:rPr>
                <w:rFonts w:ascii="Times New Roman" w:eastAsia="Times New Roman" w:hAnsi="Times New Roman" w:cs="Times New Roman"/>
                <w:b/>
                <w:bCs/>
                <w:color w:val="000000"/>
                <w:sz w:val="20"/>
                <w:szCs w:val="20"/>
                <w:lang w:val="en-IN" w:eastAsia="zh-CN"/>
              </w:rPr>
            </w:pPr>
            <w:r w:rsidRPr="00B24CF3">
              <w:rPr>
                <w:rFonts w:ascii="Times New Roman" w:eastAsia="Times New Roman" w:hAnsi="Times New Roman" w:cs="Times New Roman"/>
                <w:b/>
                <w:bCs/>
                <w:color w:val="000000"/>
                <w:sz w:val="20"/>
                <w:szCs w:val="20"/>
                <w:lang w:val="en-IN" w:eastAsia="zh-CN"/>
              </w:rPr>
              <w:t>Average Transfers</w:t>
            </w:r>
            <w:r>
              <w:rPr>
                <w:rFonts w:ascii="Times New Roman" w:eastAsia="Times New Roman" w:hAnsi="Times New Roman" w:cs="Times New Roman"/>
                <w:b/>
                <w:bCs/>
                <w:color w:val="000000"/>
                <w:sz w:val="20"/>
                <w:szCs w:val="20"/>
                <w:lang w:val="en-IN" w:eastAsia="zh-CN"/>
              </w:rPr>
              <w:t xml:space="preserve"> </w:t>
            </w:r>
            <w:r w:rsidR="00F46A6C">
              <w:rPr>
                <w:rFonts w:ascii="Times New Roman" w:eastAsia="Times New Roman" w:hAnsi="Times New Roman" w:cs="Times New Roman"/>
                <w:b/>
                <w:bCs/>
                <w:color w:val="000000"/>
                <w:sz w:val="20"/>
                <w:szCs w:val="20"/>
                <w:lang w:val="en-IN" w:eastAsia="zh-CN"/>
              </w:rPr>
              <w:br/>
            </w:r>
            <w:r>
              <w:rPr>
                <w:rFonts w:ascii="Times New Roman" w:eastAsia="Times New Roman" w:hAnsi="Times New Roman" w:cs="Times New Roman"/>
                <w:b/>
                <w:bCs/>
                <w:color w:val="000000"/>
                <w:sz w:val="20"/>
                <w:szCs w:val="20"/>
                <w:lang w:val="en-IN" w:eastAsia="zh-CN"/>
              </w:rPr>
              <w:t>(in DF)</w:t>
            </w:r>
          </w:p>
        </w:tc>
        <w:tc>
          <w:tcPr>
            <w:tcW w:w="913" w:type="pct"/>
            <w:gridSpan w:val="2"/>
            <w:tcBorders>
              <w:top w:val="double" w:sz="4" w:space="0" w:color="auto"/>
              <w:left w:val="nil"/>
              <w:bottom w:val="single" w:sz="4" w:space="0" w:color="000000"/>
              <w:right w:val="nil"/>
            </w:tcBorders>
            <w:vAlign w:val="center"/>
            <w:hideMark/>
          </w:tcPr>
          <w:p w:rsidR="00504398" w:rsidRPr="00B24CF3" w:rsidRDefault="00504398" w:rsidP="00D56EDF">
            <w:pPr>
              <w:spacing w:after="0"/>
              <w:jc w:val="center"/>
              <w:rPr>
                <w:rFonts w:ascii="Times New Roman" w:eastAsia="Times New Roman" w:hAnsi="Times New Roman" w:cs="Times New Roman"/>
                <w:b/>
                <w:bCs/>
                <w:color w:val="000000"/>
                <w:sz w:val="20"/>
                <w:szCs w:val="20"/>
                <w:lang w:val="en-IN" w:eastAsia="zh-CN"/>
              </w:rPr>
            </w:pPr>
            <w:r w:rsidRPr="00B24CF3">
              <w:rPr>
                <w:rFonts w:ascii="Times New Roman" w:eastAsia="Times New Roman" w:hAnsi="Times New Roman" w:cs="Times New Roman"/>
                <w:b/>
                <w:bCs/>
                <w:color w:val="000000"/>
                <w:sz w:val="20"/>
                <w:szCs w:val="20"/>
                <w:lang w:val="en-IN" w:eastAsia="zh-CN"/>
              </w:rPr>
              <w:t>Poverty Gap</w:t>
            </w:r>
            <w:r>
              <w:rPr>
                <w:rFonts w:ascii="Times New Roman" w:eastAsia="Times New Roman" w:hAnsi="Times New Roman" w:cs="Times New Roman"/>
                <w:b/>
                <w:bCs/>
                <w:color w:val="000000"/>
                <w:sz w:val="20"/>
                <w:szCs w:val="20"/>
                <w:lang w:val="en-IN" w:eastAsia="zh-CN"/>
              </w:rPr>
              <w:t xml:space="preserve"> </w:t>
            </w:r>
            <w:r w:rsidR="00F46A6C">
              <w:rPr>
                <w:rFonts w:ascii="Times New Roman" w:eastAsia="Times New Roman" w:hAnsi="Times New Roman" w:cs="Times New Roman"/>
                <w:b/>
                <w:bCs/>
                <w:color w:val="000000"/>
                <w:sz w:val="20"/>
                <w:szCs w:val="20"/>
                <w:lang w:val="en-IN" w:eastAsia="zh-CN"/>
              </w:rPr>
              <w:br/>
            </w:r>
            <w:r>
              <w:rPr>
                <w:rFonts w:ascii="Times New Roman" w:eastAsia="Times New Roman" w:hAnsi="Times New Roman" w:cs="Times New Roman"/>
                <w:b/>
                <w:bCs/>
                <w:color w:val="000000"/>
                <w:sz w:val="20"/>
                <w:szCs w:val="20"/>
                <w:lang w:val="en-IN" w:eastAsia="zh-CN"/>
              </w:rPr>
              <w:t>(in DF)</w:t>
            </w:r>
          </w:p>
        </w:tc>
        <w:tc>
          <w:tcPr>
            <w:tcW w:w="625" w:type="pct"/>
            <w:tcBorders>
              <w:top w:val="double" w:sz="4" w:space="0" w:color="auto"/>
              <w:left w:val="nil"/>
              <w:bottom w:val="single" w:sz="4" w:space="0" w:color="000000"/>
            </w:tcBorders>
            <w:vAlign w:val="center"/>
            <w:hideMark/>
          </w:tcPr>
          <w:p w:rsidR="00504398" w:rsidRPr="00B24CF3" w:rsidRDefault="00504398" w:rsidP="00D56EDF">
            <w:pPr>
              <w:spacing w:after="0"/>
              <w:jc w:val="center"/>
              <w:rPr>
                <w:rFonts w:ascii="Times New Roman" w:eastAsia="Times New Roman" w:hAnsi="Times New Roman" w:cs="Times New Roman"/>
                <w:b/>
                <w:bCs/>
                <w:color w:val="000000"/>
                <w:sz w:val="20"/>
                <w:szCs w:val="20"/>
                <w:lang w:val="en-IN" w:eastAsia="zh-CN"/>
              </w:rPr>
            </w:pPr>
            <w:r w:rsidRPr="00B24CF3">
              <w:rPr>
                <w:rFonts w:ascii="Times New Roman" w:eastAsia="Times New Roman" w:hAnsi="Times New Roman" w:cs="Times New Roman"/>
                <w:b/>
                <w:bCs/>
                <w:color w:val="000000"/>
                <w:sz w:val="20"/>
                <w:szCs w:val="20"/>
                <w:lang w:val="en-IN" w:eastAsia="zh-CN"/>
              </w:rPr>
              <w:t>Ratio</w:t>
            </w:r>
          </w:p>
        </w:tc>
      </w:tr>
      <w:tr w:rsidR="00504398" w:rsidRPr="00B24CF3" w:rsidTr="00EF6B01">
        <w:trPr>
          <w:trHeight w:val="270"/>
        </w:trPr>
        <w:tc>
          <w:tcPr>
            <w:tcW w:w="1731" w:type="pct"/>
            <w:vAlign w:val="center"/>
          </w:tcPr>
          <w:p w:rsidR="00504398" w:rsidRPr="00B24CF3" w:rsidRDefault="00504398" w:rsidP="00D56EDF">
            <w:pPr>
              <w:spacing w:after="0"/>
              <w:rPr>
                <w:rFonts w:ascii="Times New Roman" w:eastAsia="Times New Roman" w:hAnsi="Times New Roman" w:cs="Times New Roman"/>
                <w:color w:val="000000"/>
                <w:sz w:val="20"/>
                <w:szCs w:val="20"/>
                <w:lang w:val="en-IN" w:eastAsia="zh-CN"/>
              </w:rPr>
            </w:pPr>
            <w:r w:rsidRPr="00B24CF3">
              <w:rPr>
                <w:rFonts w:ascii="Times New Roman" w:eastAsia="Times New Roman" w:hAnsi="Times New Roman" w:cs="Times New Roman"/>
                <w:color w:val="000000"/>
                <w:sz w:val="20"/>
                <w:szCs w:val="20"/>
                <w:lang w:eastAsia="zh-CN"/>
              </w:rPr>
              <w:t>Pensions</w:t>
            </w:r>
          </w:p>
        </w:tc>
        <w:tc>
          <w:tcPr>
            <w:tcW w:w="673"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0.60</w:t>
            </w:r>
          </w:p>
        </w:tc>
        <w:tc>
          <w:tcPr>
            <w:tcW w:w="1058"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78,987.7</w:t>
            </w:r>
          </w:p>
        </w:tc>
        <w:tc>
          <w:tcPr>
            <w:tcW w:w="797"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35,238.5</w:t>
            </w:r>
          </w:p>
        </w:tc>
        <w:tc>
          <w:tcPr>
            <w:tcW w:w="741" w:type="pct"/>
            <w:gridSpan w:val="2"/>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2.2</w:t>
            </w:r>
          </w:p>
        </w:tc>
      </w:tr>
      <w:tr w:rsidR="00504398" w:rsidRPr="00B24CF3" w:rsidTr="00EF6B01">
        <w:trPr>
          <w:trHeight w:val="270"/>
        </w:trPr>
        <w:tc>
          <w:tcPr>
            <w:tcW w:w="1731" w:type="pct"/>
            <w:vAlign w:val="center"/>
          </w:tcPr>
          <w:p w:rsidR="00504398" w:rsidRPr="00B24CF3" w:rsidRDefault="00504398" w:rsidP="00D56EDF">
            <w:pPr>
              <w:spacing w:after="0"/>
              <w:rPr>
                <w:rFonts w:ascii="Times New Roman" w:eastAsia="Times New Roman" w:hAnsi="Times New Roman" w:cs="Times New Roman"/>
                <w:color w:val="000000"/>
                <w:sz w:val="20"/>
                <w:szCs w:val="20"/>
                <w:lang w:val="en-IN" w:eastAsia="zh-CN"/>
              </w:rPr>
            </w:pPr>
            <w:r w:rsidRPr="00B24CF3">
              <w:rPr>
                <w:rFonts w:ascii="Times New Roman" w:eastAsia="Times New Roman" w:hAnsi="Times New Roman" w:cs="Times New Roman"/>
                <w:color w:val="000000"/>
                <w:sz w:val="20"/>
                <w:szCs w:val="20"/>
                <w:lang w:eastAsia="zh-CN"/>
              </w:rPr>
              <w:t xml:space="preserve">Compensation for health care expenditure </w:t>
            </w:r>
          </w:p>
        </w:tc>
        <w:tc>
          <w:tcPr>
            <w:tcW w:w="673"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0.06</w:t>
            </w:r>
          </w:p>
        </w:tc>
        <w:tc>
          <w:tcPr>
            <w:tcW w:w="1058"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9,294.2</w:t>
            </w:r>
          </w:p>
        </w:tc>
        <w:tc>
          <w:tcPr>
            <w:tcW w:w="797"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33,424.6</w:t>
            </w:r>
          </w:p>
        </w:tc>
        <w:tc>
          <w:tcPr>
            <w:tcW w:w="741" w:type="pct"/>
            <w:gridSpan w:val="2"/>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0.3</w:t>
            </w:r>
          </w:p>
        </w:tc>
      </w:tr>
      <w:tr w:rsidR="00504398" w:rsidRPr="00B24CF3" w:rsidTr="00EF6B01">
        <w:trPr>
          <w:trHeight w:val="270"/>
        </w:trPr>
        <w:tc>
          <w:tcPr>
            <w:tcW w:w="1731" w:type="pct"/>
            <w:vAlign w:val="center"/>
          </w:tcPr>
          <w:p w:rsidR="00504398" w:rsidRPr="00B24CF3" w:rsidRDefault="00504398" w:rsidP="00D56EDF">
            <w:pPr>
              <w:spacing w:after="0"/>
              <w:rPr>
                <w:rFonts w:ascii="Times New Roman" w:eastAsia="Times New Roman" w:hAnsi="Times New Roman" w:cs="Times New Roman"/>
                <w:color w:val="000000"/>
                <w:sz w:val="20"/>
                <w:szCs w:val="20"/>
                <w:lang w:val="en-IN" w:eastAsia="zh-CN"/>
              </w:rPr>
            </w:pPr>
            <w:r w:rsidRPr="00B24CF3">
              <w:rPr>
                <w:rFonts w:ascii="Times New Roman" w:eastAsia="Times New Roman" w:hAnsi="Times New Roman" w:cs="Times New Roman"/>
                <w:color w:val="000000"/>
                <w:sz w:val="20"/>
                <w:szCs w:val="20"/>
                <w:lang w:eastAsia="zh-CN"/>
              </w:rPr>
              <w:t xml:space="preserve">Food rations </w:t>
            </w:r>
          </w:p>
        </w:tc>
        <w:tc>
          <w:tcPr>
            <w:tcW w:w="673"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0.76</w:t>
            </w:r>
          </w:p>
        </w:tc>
        <w:tc>
          <w:tcPr>
            <w:tcW w:w="1058"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8,684.8</w:t>
            </w:r>
          </w:p>
        </w:tc>
        <w:tc>
          <w:tcPr>
            <w:tcW w:w="797"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34,942.9</w:t>
            </w:r>
          </w:p>
        </w:tc>
        <w:tc>
          <w:tcPr>
            <w:tcW w:w="741" w:type="pct"/>
            <w:gridSpan w:val="2"/>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0.2</w:t>
            </w:r>
          </w:p>
        </w:tc>
      </w:tr>
      <w:tr w:rsidR="00504398" w:rsidRPr="00B24CF3" w:rsidTr="00EF6B01">
        <w:trPr>
          <w:trHeight w:val="270"/>
        </w:trPr>
        <w:tc>
          <w:tcPr>
            <w:tcW w:w="1731" w:type="pct"/>
            <w:vAlign w:val="center"/>
          </w:tcPr>
          <w:p w:rsidR="00504398" w:rsidRPr="00B24CF3" w:rsidRDefault="00504398" w:rsidP="00D56EDF">
            <w:pPr>
              <w:spacing w:after="0"/>
              <w:rPr>
                <w:rFonts w:ascii="Times New Roman" w:eastAsia="Times New Roman" w:hAnsi="Times New Roman" w:cs="Times New Roman"/>
                <w:color w:val="000000"/>
                <w:sz w:val="20"/>
                <w:szCs w:val="20"/>
                <w:lang w:val="en-IN" w:eastAsia="zh-CN"/>
              </w:rPr>
            </w:pPr>
            <w:r w:rsidRPr="00B24CF3">
              <w:rPr>
                <w:rFonts w:ascii="Times New Roman" w:eastAsia="Times New Roman" w:hAnsi="Times New Roman" w:cs="Times New Roman"/>
                <w:color w:val="000000"/>
                <w:sz w:val="20"/>
                <w:szCs w:val="20"/>
                <w:lang w:eastAsia="zh-CN"/>
              </w:rPr>
              <w:t xml:space="preserve">Transfers from government or NGOs </w:t>
            </w:r>
          </w:p>
        </w:tc>
        <w:tc>
          <w:tcPr>
            <w:tcW w:w="673"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0.63</w:t>
            </w:r>
          </w:p>
        </w:tc>
        <w:tc>
          <w:tcPr>
            <w:tcW w:w="1058"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9,342.8</w:t>
            </w:r>
          </w:p>
        </w:tc>
        <w:tc>
          <w:tcPr>
            <w:tcW w:w="797"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33,814.5</w:t>
            </w:r>
          </w:p>
        </w:tc>
        <w:tc>
          <w:tcPr>
            <w:tcW w:w="741" w:type="pct"/>
            <w:gridSpan w:val="2"/>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0.3</w:t>
            </w:r>
          </w:p>
        </w:tc>
      </w:tr>
      <w:tr w:rsidR="00504398" w:rsidRPr="00B24CF3" w:rsidTr="00EF6B01">
        <w:trPr>
          <w:trHeight w:val="270"/>
        </w:trPr>
        <w:tc>
          <w:tcPr>
            <w:tcW w:w="1731" w:type="pct"/>
            <w:vAlign w:val="center"/>
          </w:tcPr>
          <w:p w:rsidR="00504398" w:rsidRPr="00B24CF3" w:rsidRDefault="00504398" w:rsidP="00D56EDF">
            <w:pPr>
              <w:spacing w:after="0"/>
              <w:rPr>
                <w:rFonts w:ascii="Times New Roman" w:eastAsia="Times New Roman" w:hAnsi="Times New Roman" w:cs="Times New Roman"/>
                <w:color w:val="000000"/>
                <w:sz w:val="20"/>
                <w:szCs w:val="20"/>
                <w:lang w:val="en-IN" w:eastAsia="zh-CN"/>
              </w:rPr>
            </w:pPr>
            <w:r w:rsidRPr="00B24CF3">
              <w:rPr>
                <w:rFonts w:ascii="Times New Roman" w:eastAsia="Times New Roman" w:hAnsi="Times New Roman" w:cs="Times New Roman"/>
                <w:color w:val="000000"/>
                <w:sz w:val="20"/>
                <w:szCs w:val="20"/>
                <w:lang w:eastAsia="zh-CN"/>
              </w:rPr>
              <w:t xml:space="preserve">Food subsidies </w:t>
            </w:r>
          </w:p>
        </w:tc>
        <w:tc>
          <w:tcPr>
            <w:tcW w:w="673"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0.10</w:t>
            </w:r>
          </w:p>
        </w:tc>
        <w:tc>
          <w:tcPr>
            <w:tcW w:w="1058"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1,068.9</w:t>
            </w:r>
          </w:p>
        </w:tc>
        <w:tc>
          <w:tcPr>
            <w:tcW w:w="797"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33,716.6</w:t>
            </w:r>
          </w:p>
        </w:tc>
        <w:tc>
          <w:tcPr>
            <w:tcW w:w="741" w:type="pct"/>
            <w:gridSpan w:val="2"/>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0.0</w:t>
            </w:r>
          </w:p>
        </w:tc>
      </w:tr>
      <w:tr w:rsidR="00504398" w:rsidRPr="00B24CF3" w:rsidTr="00EF6B01">
        <w:trPr>
          <w:trHeight w:val="270"/>
        </w:trPr>
        <w:tc>
          <w:tcPr>
            <w:tcW w:w="1731" w:type="pct"/>
            <w:vAlign w:val="center"/>
          </w:tcPr>
          <w:p w:rsidR="00504398" w:rsidRPr="00B24CF3" w:rsidRDefault="00504398" w:rsidP="00D56EDF">
            <w:pPr>
              <w:spacing w:after="0"/>
              <w:rPr>
                <w:rFonts w:ascii="Times New Roman" w:eastAsia="Times New Roman" w:hAnsi="Times New Roman" w:cs="Times New Roman"/>
                <w:color w:val="000000"/>
                <w:sz w:val="20"/>
                <w:szCs w:val="20"/>
                <w:lang w:val="en-IN" w:eastAsia="zh-CN"/>
              </w:rPr>
            </w:pPr>
            <w:r w:rsidRPr="00B24CF3">
              <w:rPr>
                <w:rFonts w:ascii="Times New Roman" w:eastAsia="Times New Roman" w:hAnsi="Times New Roman" w:cs="Times New Roman"/>
                <w:color w:val="000000"/>
                <w:sz w:val="20"/>
                <w:szCs w:val="20"/>
                <w:lang w:eastAsia="zh-CN"/>
              </w:rPr>
              <w:t xml:space="preserve">Fuel subsidies  </w:t>
            </w:r>
          </w:p>
        </w:tc>
        <w:tc>
          <w:tcPr>
            <w:tcW w:w="673"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0.01</w:t>
            </w:r>
          </w:p>
        </w:tc>
        <w:tc>
          <w:tcPr>
            <w:tcW w:w="1058"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1,550.6</w:t>
            </w:r>
          </w:p>
        </w:tc>
        <w:tc>
          <w:tcPr>
            <w:tcW w:w="797" w:type="pct"/>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33,490.3</w:t>
            </w:r>
          </w:p>
        </w:tc>
        <w:tc>
          <w:tcPr>
            <w:tcW w:w="741" w:type="pct"/>
            <w:gridSpan w:val="2"/>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0.0</w:t>
            </w:r>
          </w:p>
        </w:tc>
      </w:tr>
      <w:tr w:rsidR="00504398" w:rsidRPr="00B24CF3" w:rsidTr="00EF6B01">
        <w:trPr>
          <w:trHeight w:val="270"/>
        </w:trPr>
        <w:tc>
          <w:tcPr>
            <w:tcW w:w="1731" w:type="pct"/>
            <w:tcBorders>
              <w:bottom w:val="double" w:sz="4" w:space="0" w:color="auto"/>
            </w:tcBorders>
            <w:vAlign w:val="center"/>
          </w:tcPr>
          <w:p w:rsidR="00504398" w:rsidRPr="00B24CF3" w:rsidRDefault="00504398" w:rsidP="00D56EDF">
            <w:pPr>
              <w:spacing w:after="0"/>
              <w:rPr>
                <w:rFonts w:ascii="Times New Roman" w:eastAsia="Times New Roman" w:hAnsi="Times New Roman" w:cs="Times New Roman"/>
                <w:color w:val="000000"/>
                <w:sz w:val="20"/>
                <w:szCs w:val="20"/>
                <w:lang w:val="en-IN" w:eastAsia="zh-CN"/>
              </w:rPr>
            </w:pPr>
            <w:r w:rsidRPr="00B24CF3">
              <w:rPr>
                <w:rFonts w:ascii="Times New Roman" w:eastAsia="Times New Roman" w:hAnsi="Times New Roman" w:cs="Times New Roman"/>
                <w:color w:val="000000"/>
                <w:sz w:val="20"/>
                <w:szCs w:val="20"/>
                <w:lang w:eastAsia="zh-CN"/>
              </w:rPr>
              <w:t xml:space="preserve">Remittances </w:t>
            </w:r>
          </w:p>
        </w:tc>
        <w:tc>
          <w:tcPr>
            <w:tcW w:w="673" w:type="pct"/>
            <w:tcBorders>
              <w:bottom w:val="double" w:sz="4" w:space="0" w:color="auto"/>
            </w:tcBorders>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0.68</w:t>
            </w:r>
          </w:p>
        </w:tc>
        <w:tc>
          <w:tcPr>
            <w:tcW w:w="1058" w:type="pct"/>
            <w:tcBorders>
              <w:bottom w:val="double" w:sz="4" w:space="0" w:color="auto"/>
            </w:tcBorders>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36,839.3</w:t>
            </w:r>
          </w:p>
        </w:tc>
        <w:tc>
          <w:tcPr>
            <w:tcW w:w="797" w:type="pct"/>
            <w:tcBorders>
              <w:bottom w:val="double" w:sz="4" w:space="0" w:color="auto"/>
            </w:tcBorders>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36,733.6</w:t>
            </w:r>
          </w:p>
        </w:tc>
        <w:tc>
          <w:tcPr>
            <w:tcW w:w="741" w:type="pct"/>
            <w:gridSpan w:val="2"/>
            <w:tcBorders>
              <w:bottom w:val="double" w:sz="4" w:space="0" w:color="auto"/>
            </w:tcBorders>
            <w:noWrap/>
            <w:vAlign w:val="center"/>
          </w:tcPr>
          <w:p w:rsidR="00504398" w:rsidRPr="00B24CF3" w:rsidRDefault="00504398" w:rsidP="00D56EDF">
            <w:pPr>
              <w:spacing w:after="0"/>
              <w:jc w:val="center"/>
              <w:rPr>
                <w:rFonts w:ascii="Times New Roman" w:eastAsia="Times New Roman" w:hAnsi="Times New Roman" w:cs="Times New Roman"/>
                <w:color w:val="000000"/>
                <w:sz w:val="20"/>
                <w:szCs w:val="20"/>
                <w:lang w:val="en-IN" w:eastAsia="zh-CN"/>
              </w:rPr>
            </w:pPr>
            <w:r w:rsidRPr="00B24CF3">
              <w:rPr>
                <w:rFonts w:ascii="Times New Roman" w:hAnsi="Times New Roman" w:cs="Times New Roman"/>
                <w:color w:val="000000"/>
                <w:sz w:val="20"/>
                <w:szCs w:val="20"/>
              </w:rPr>
              <w:t>1.0</w:t>
            </w:r>
          </w:p>
        </w:tc>
      </w:tr>
    </w:tbl>
    <w:p w:rsidR="00504398" w:rsidRPr="000B4919" w:rsidRDefault="00504398" w:rsidP="00504398">
      <w:pPr>
        <w:spacing w:after="240"/>
        <w:rPr>
          <w:rFonts w:ascii="Times New Roman" w:hAnsi="Times New Roman" w:cs="Times New Roman"/>
          <w:i/>
          <w:sz w:val="18"/>
        </w:rPr>
      </w:pPr>
      <w:r w:rsidRPr="000B4919">
        <w:rPr>
          <w:rFonts w:ascii="Times New Roman" w:hAnsi="Times New Roman" w:cs="Times New Roman"/>
          <w:i/>
          <w:sz w:val="18"/>
        </w:rPr>
        <w:t>Source</w:t>
      </w:r>
      <w:r>
        <w:rPr>
          <w:rFonts w:ascii="Times New Roman" w:hAnsi="Times New Roman" w:cs="Times New Roman"/>
          <w:i/>
          <w:sz w:val="18"/>
        </w:rPr>
        <w:t>:</w:t>
      </w:r>
      <w:r w:rsidRPr="007A1287">
        <w:rPr>
          <w:rFonts w:ascii="Times New Roman" w:eastAsia="Times New Roman" w:hAnsi="Times New Roman"/>
          <w:i/>
          <w:sz w:val="18"/>
        </w:rPr>
        <w:t xml:space="preserve"> </w:t>
      </w:r>
      <w:r>
        <w:rPr>
          <w:rFonts w:ascii="Times New Roman" w:eastAsia="Times New Roman" w:hAnsi="Times New Roman"/>
          <w:sz w:val="18"/>
        </w:rPr>
        <w:t>World Bank calculation based on the EDAM 3</w:t>
      </w:r>
      <w:r w:rsidR="0072385D">
        <w:rPr>
          <w:rFonts w:ascii="Times New Roman" w:eastAsia="Times New Roman" w:hAnsi="Times New Roman"/>
          <w:sz w:val="18"/>
        </w:rPr>
        <w:t xml:space="preserve"> (2012 prices).</w:t>
      </w:r>
    </w:p>
    <w:p w:rsidR="00504398" w:rsidRDefault="00504398" w:rsidP="00504398">
      <w:pPr>
        <w:pStyle w:val="Heading1"/>
        <w:rPr>
          <w:rFonts w:eastAsia="Times New Roman"/>
        </w:rPr>
      </w:pPr>
      <w:bookmarkStart w:id="56" w:name="_Toc410901651"/>
      <w:bookmarkStart w:id="57" w:name="_Toc412105860"/>
      <w:r w:rsidRPr="00504398">
        <w:rPr>
          <w:rFonts w:eastAsia="Times New Roman"/>
        </w:rPr>
        <w:t xml:space="preserve">What is the Impact </w:t>
      </w:r>
      <w:r w:rsidR="00CA70DF">
        <w:rPr>
          <w:rFonts w:eastAsia="Times New Roman"/>
        </w:rPr>
        <w:t>of the R</w:t>
      </w:r>
      <w:r w:rsidRPr="00504398">
        <w:rPr>
          <w:rFonts w:eastAsia="Times New Roman"/>
        </w:rPr>
        <w:t xml:space="preserve">eforming </w:t>
      </w:r>
      <w:r w:rsidR="00CA70DF">
        <w:rPr>
          <w:rFonts w:eastAsia="Times New Roman"/>
        </w:rPr>
        <w:t>Tax Exemptions and Safety Nets on P</w:t>
      </w:r>
      <w:r w:rsidRPr="00504398">
        <w:rPr>
          <w:rFonts w:eastAsia="Times New Roman"/>
        </w:rPr>
        <w:t>overty?</w:t>
      </w:r>
      <w:bookmarkEnd w:id="56"/>
      <w:bookmarkEnd w:id="57"/>
    </w:p>
    <w:p w:rsidR="0085074C" w:rsidRPr="0085074C" w:rsidRDefault="0085074C" w:rsidP="0085074C">
      <w:pPr>
        <w:widowControl w:val="0"/>
        <w:autoSpaceDE w:val="0"/>
        <w:autoSpaceDN w:val="0"/>
        <w:adjustRightInd w:val="0"/>
        <w:spacing w:after="0" w:line="240" w:lineRule="auto"/>
        <w:jc w:val="both"/>
        <w:rPr>
          <w:rFonts w:ascii="Times New Roman" w:hAnsi="Times New Roman" w:cs="Times New Roman"/>
          <w:sz w:val="18"/>
        </w:rPr>
      </w:pPr>
    </w:p>
    <w:p w:rsidR="0085074C" w:rsidRPr="000E7D76" w:rsidRDefault="0085074C"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sz w:val="18"/>
        </w:rPr>
      </w:pPr>
      <w:r>
        <w:rPr>
          <w:rFonts w:ascii="Times New Roman" w:hAnsi="Times New Roman"/>
          <w:bCs/>
        </w:rPr>
        <w:t xml:space="preserve">Discretionary energy taxes have benefitted the better-off in times of higher fuel prices (the analysis in this study is based on December 2013 prices). </w:t>
      </w:r>
      <w:r w:rsidR="000E7D76">
        <w:rPr>
          <w:rFonts w:ascii="Times New Roman" w:hAnsi="Times New Roman"/>
          <w:bCs/>
        </w:rPr>
        <w:t xml:space="preserve">An </w:t>
      </w:r>
      <w:r w:rsidR="000E7D76" w:rsidRPr="007230D9">
        <w:rPr>
          <w:rFonts w:ascii="Times New Roman" w:hAnsi="Times New Roman"/>
          <w:bCs/>
        </w:rPr>
        <w:t>elimination of tax exemptions on fuel products would reduce inequality but w</w:t>
      </w:r>
      <w:r w:rsidR="000E7D76">
        <w:rPr>
          <w:rFonts w:ascii="Times New Roman" w:hAnsi="Times New Roman"/>
          <w:bCs/>
        </w:rPr>
        <w:t xml:space="preserve">ould </w:t>
      </w:r>
      <w:r w:rsidR="000E7D76" w:rsidRPr="007230D9">
        <w:rPr>
          <w:rFonts w:ascii="Times New Roman" w:hAnsi="Times New Roman"/>
          <w:bCs/>
        </w:rPr>
        <w:t>no</w:t>
      </w:r>
      <w:r w:rsidR="000E7D76">
        <w:rPr>
          <w:rFonts w:ascii="Times New Roman" w:hAnsi="Times New Roman"/>
          <w:bCs/>
        </w:rPr>
        <w:t>t have any</w:t>
      </w:r>
      <w:r w:rsidR="000E7D76" w:rsidRPr="007230D9">
        <w:rPr>
          <w:rFonts w:ascii="Times New Roman" w:hAnsi="Times New Roman"/>
          <w:bCs/>
        </w:rPr>
        <w:t xml:space="preserve"> apparent impact on poverty.</w:t>
      </w:r>
      <w:r w:rsidR="000E7D76">
        <w:rPr>
          <w:rFonts w:ascii="Times New Roman" w:hAnsi="Times New Roman"/>
          <w:bCs/>
        </w:rPr>
        <w:t xml:space="preserve"> To reduce poverty, savings from a possible tax reform </w:t>
      </w:r>
      <w:r w:rsidR="00083CF1">
        <w:rPr>
          <w:rFonts w:ascii="Times New Roman" w:hAnsi="Times New Roman"/>
          <w:bCs/>
        </w:rPr>
        <w:t>and</w:t>
      </w:r>
      <w:r w:rsidR="000E7D76">
        <w:rPr>
          <w:rFonts w:ascii="Times New Roman" w:hAnsi="Times New Roman"/>
          <w:bCs/>
        </w:rPr>
        <w:t xml:space="preserve"> other funding resources could be rechanneled toward the poor and vulnerable. </w:t>
      </w:r>
      <w:r w:rsidR="00083CF1">
        <w:rPr>
          <w:rFonts w:ascii="Times New Roman" w:hAnsi="Times New Roman"/>
          <w:bCs/>
        </w:rPr>
        <w:t>T</w:t>
      </w:r>
      <w:r w:rsidR="000E7D76">
        <w:rPr>
          <w:rFonts w:ascii="Times New Roman" w:hAnsi="Times New Roman"/>
          <w:bCs/>
        </w:rPr>
        <w:t xml:space="preserve">o reduce poverty, however, effective targeting of the poor is key. The government with the support of the Bank is currently developing a social registry </w:t>
      </w:r>
      <w:r w:rsidR="00BD4E04">
        <w:rPr>
          <w:rFonts w:ascii="Times New Roman" w:hAnsi="Times New Roman"/>
          <w:bCs/>
        </w:rPr>
        <w:t>to increase equity in the distribution of resources, and promoting greater social inclusion for the most vulnerable groups.</w:t>
      </w:r>
      <w:r w:rsidR="000E7D76">
        <w:rPr>
          <w:rFonts w:ascii="Times New Roman" w:hAnsi="Times New Roman"/>
          <w:bCs/>
        </w:rPr>
        <w:t xml:space="preserve"> </w:t>
      </w:r>
      <w:r w:rsidRPr="000E7D76">
        <w:rPr>
          <w:rFonts w:ascii="Times New Roman" w:hAnsi="Times New Roman"/>
          <w:bCs/>
        </w:rPr>
        <w:t xml:space="preserve">Over the course of the technical assistance provided to the </w:t>
      </w:r>
      <w:r w:rsidR="00083CF1">
        <w:rPr>
          <w:rFonts w:ascii="Times New Roman" w:hAnsi="Times New Roman"/>
          <w:bCs/>
        </w:rPr>
        <w:t>g</w:t>
      </w:r>
      <w:r w:rsidRPr="000E7D76">
        <w:rPr>
          <w:rFonts w:ascii="Times New Roman" w:hAnsi="Times New Roman"/>
          <w:bCs/>
        </w:rPr>
        <w:t xml:space="preserve">overnment of Djibouti, a number of policy recommendations have emerged and </w:t>
      </w:r>
      <w:r w:rsidR="000E7D76" w:rsidRPr="000E7D76">
        <w:rPr>
          <w:rFonts w:ascii="Times New Roman" w:hAnsi="Times New Roman"/>
          <w:bCs/>
        </w:rPr>
        <w:t xml:space="preserve">some </w:t>
      </w:r>
      <w:r w:rsidRPr="000E7D76">
        <w:rPr>
          <w:rFonts w:ascii="Times New Roman" w:hAnsi="Times New Roman"/>
          <w:bCs/>
        </w:rPr>
        <w:t>have already been taken into consideration in the design of a stronger social protection system. These recommendations are derived from the section</w:t>
      </w:r>
      <w:r w:rsidR="000E7D76" w:rsidRPr="000E7D76">
        <w:rPr>
          <w:rFonts w:ascii="Times New Roman" w:hAnsi="Times New Roman"/>
          <w:bCs/>
        </w:rPr>
        <w:t>s</w:t>
      </w:r>
      <w:r w:rsidRPr="000E7D76">
        <w:rPr>
          <w:rFonts w:ascii="Times New Roman" w:hAnsi="Times New Roman"/>
          <w:bCs/>
        </w:rPr>
        <w:t xml:space="preserve"> below and include:</w:t>
      </w:r>
    </w:p>
    <w:p w:rsidR="000E7D76" w:rsidRPr="0085074C" w:rsidRDefault="000E7D76" w:rsidP="000E7D76">
      <w:pPr>
        <w:widowControl w:val="0"/>
        <w:autoSpaceDE w:val="0"/>
        <w:autoSpaceDN w:val="0"/>
        <w:adjustRightInd w:val="0"/>
        <w:spacing w:after="0" w:line="240" w:lineRule="auto"/>
        <w:jc w:val="both"/>
        <w:rPr>
          <w:rFonts w:ascii="Times New Roman" w:hAnsi="Times New Roman" w:cs="Times New Roman"/>
          <w:sz w:val="18"/>
        </w:rPr>
      </w:pPr>
    </w:p>
    <w:p w:rsidR="000E7D76" w:rsidRPr="000E7D76" w:rsidRDefault="000E7D76" w:rsidP="0085074C">
      <w:pPr>
        <w:widowControl w:val="0"/>
        <w:numPr>
          <w:ilvl w:val="1"/>
          <w:numId w:val="1"/>
        </w:numPr>
        <w:autoSpaceDE w:val="0"/>
        <w:autoSpaceDN w:val="0"/>
        <w:adjustRightInd w:val="0"/>
        <w:spacing w:after="0" w:line="240" w:lineRule="auto"/>
        <w:jc w:val="both"/>
        <w:rPr>
          <w:rFonts w:ascii="Times New Roman" w:hAnsi="Times New Roman" w:cs="Times New Roman"/>
        </w:rPr>
      </w:pPr>
      <w:r w:rsidRPr="000E7D76">
        <w:rPr>
          <w:rFonts w:ascii="Times New Roman" w:hAnsi="Times New Roman" w:cs="Times New Roman"/>
        </w:rPr>
        <w:t xml:space="preserve">Savings on </w:t>
      </w:r>
      <w:r>
        <w:rPr>
          <w:rFonts w:ascii="Times New Roman" w:hAnsi="Times New Roman" w:cs="Times New Roman"/>
        </w:rPr>
        <w:t xml:space="preserve">energy tax reforms </w:t>
      </w:r>
      <w:r w:rsidR="00083CF1">
        <w:rPr>
          <w:rFonts w:ascii="Times New Roman" w:hAnsi="Times New Roman" w:cs="Times New Roman"/>
        </w:rPr>
        <w:t>and</w:t>
      </w:r>
      <w:r>
        <w:rPr>
          <w:rFonts w:ascii="Times New Roman" w:hAnsi="Times New Roman" w:cs="Times New Roman"/>
        </w:rPr>
        <w:t xml:space="preserve"> other funding resources, including those spread over a number of </w:t>
      </w:r>
      <w:r w:rsidRPr="00152878">
        <w:rPr>
          <w:rFonts w:ascii="Times New Roman" w:hAnsi="Times New Roman" w:cs="Times New Roman"/>
        </w:rPr>
        <w:t>very</w:t>
      </w:r>
      <w:r>
        <w:rPr>
          <w:rFonts w:ascii="Times New Roman" w:hAnsi="Times New Roman" w:cs="Times New Roman"/>
        </w:rPr>
        <w:t xml:space="preserve"> small safety net programs, should be channeled </w:t>
      </w:r>
      <w:r w:rsidR="00083CF1">
        <w:rPr>
          <w:rFonts w:ascii="Times New Roman" w:hAnsi="Times New Roman" w:cs="Times New Roman"/>
        </w:rPr>
        <w:t>to</w:t>
      </w:r>
      <w:r>
        <w:rPr>
          <w:rFonts w:ascii="Times New Roman" w:hAnsi="Times New Roman" w:cs="Times New Roman"/>
        </w:rPr>
        <w:t xml:space="preserve"> a cash-transfer program targeting the poorest;</w:t>
      </w:r>
    </w:p>
    <w:p w:rsidR="0085074C" w:rsidRPr="0085074C" w:rsidRDefault="0085074C" w:rsidP="0085074C">
      <w:pPr>
        <w:widowControl w:val="0"/>
        <w:numPr>
          <w:ilvl w:val="1"/>
          <w:numId w:val="1"/>
        </w:numPr>
        <w:autoSpaceDE w:val="0"/>
        <w:autoSpaceDN w:val="0"/>
        <w:adjustRightInd w:val="0"/>
        <w:spacing w:after="0" w:line="240" w:lineRule="auto"/>
        <w:jc w:val="both"/>
        <w:rPr>
          <w:rFonts w:ascii="Times New Roman" w:hAnsi="Times New Roman" w:cs="Times New Roman"/>
          <w:sz w:val="18"/>
        </w:rPr>
      </w:pPr>
      <w:r>
        <w:rPr>
          <w:rFonts w:ascii="Times New Roman" w:hAnsi="Times New Roman" w:cs="Times New Roman"/>
        </w:rPr>
        <w:t xml:space="preserve">A Proxy Means Test (PMT) should be used to determine </w:t>
      </w:r>
      <w:r w:rsidR="000E7D76">
        <w:rPr>
          <w:rFonts w:ascii="Times New Roman" w:hAnsi="Times New Roman" w:cs="Times New Roman"/>
        </w:rPr>
        <w:t xml:space="preserve">the </w:t>
      </w:r>
      <w:r>
        <w:rPr>
          <w:rFonts w:ascii="Times New Roman" w:hAnsi="Times New Roman" w:cs="Times New Roman"/>
        </w:rPr>
        <w:t>households</w:t>
      </w:r>
      <w:r w:rsidR="00083CF1">
        <w:rPr>
          <w:rFonts w:ascii="Times New Roman" w:hAnsi="Times New Roman" w:cs="Times New Roman"/>
        </w:rPr>
        <w:t>’</w:t>
      </w:r>
      <w:r>
        <w:rPr>
          <w:rFonts w:ascii="Times New Roman" w:hAnsi="Times New Roman" w:cs="Times New Roman"/>
        </w:rPr>
        <w:t xml:space="preserve"> poverty score</w:t>
      </w:r>
      <w:r w:rsidR="00083CF1">
        <w:rPr>
          <w:rFonts w:ascii="Times New Roman" w:hAnsi="Times New Roman" w:cs="Times New Roman"/>
        </w:rPr>
        <w:t>,</w:t>
      </w:r>
      <w:r>
        <w:rPr>
          <w:rFonts w:ascii="Times New Roman" w:hAnsi="Times New Roman" w:cs="Times New Roman"/>
        </w:rPr>
        <w:t xml:space="preserve"> and all safety net programs should target the poorest (as defined by the PMT) rather than targeting rural households based on geography</w:t>
      </w:r>
      <w:r w:rsidR="00083CF1">
        <w:rPr>
          <w:rFonts w:ascii="Times New Roman" w:hAnsi="Times New Roman" w:cs="Times New Roman"/>
        </w:rPr>
        <w:t>;</w:t>
      </w:r>
      <w:r>
        <w:rPr>
          <w:rStyle w:val="FootnoteReference"/>
          <w:rFonts w:ascii="Times New Roman" w:hAnsi="Times New Roman" w:cs="Times New Roman"/>
        </w:rPr>
        <w:footnoteReference w:id="5"/>
      </w:r>
    </w:p>
    <w:p w:rsidR="0085074C" w:rsidRPr="0085074C" w:rsidRDefault="0085074C" w:rsidP="0085074C">
      <w:pPr>
        <w:widowControl w:val="0"/>
        <w:numPr>
          <w:ilvl w:val="1"/>
          <w:numId w:val="1"/>
        </w:numPr>
        <w:autoSpaceDE w:val="0"/>
        <w:autoSpaceDN w:val="0"/>
        <w:adjustRightInd w:val="0"/>
        <w:spacing w:after="0" w:line="240" w:lineRule="auto"/>
        <w:jc w:val="both"/>
        <w:rPr>
          <w:rFonts w:ascii="Times New Roman" w:hAnsi="Times New Roman" w:cs="Times New Roman"/>
          <w:sz w:val="18"/>
        </w:rPr>
      </w:pPr>
      <w:r>
        <w:rPr>
          <w:rFonts w:ascii="Times New Roman" w:hAnsi="Times New Roman" w:cs="Times New Roman"/>
        </w:rPr>
        <w:t xml:space="preserve">Similarly, current and future safety net programs should first target poor households based on the relative poverty score, and </w:t>
      </w:r>
      <w:r w:rsidR="00F710B6">
        <w:rPr>
          <w:rFonts w:ascii="Times New Roman" w:hAnsi="Times New Roman" w:cs="Times New Roman"/>
        </w:rPr>
        <w:t>then</w:t>
      </w:r>
      <w:r>
        <w:rPr>
          <w:rFonts w:ascii="Times New Roman" w:hAnsi="Times New Roman" w:cs="Times New Roman"/>
        </w:rPr>
        <w:t xml:space="preserve"> use other (categorical) factors to determine program eligibility</w:t>
      </w:r>
      <w:r w:rsidR="00F710B6">
        <w:rPr>
          <w:rFonts w:ascii="Times New Roman" w:hAnsi="Times New Roman" w:cs="Times New Roman"/>
        </w:rPr>
        <w:t>.</w:t>
      </w:r>
    </w:p>
    <w:p w:rsidR="0085074C" w:rsidRPr="0085074C" w:rsidRDefault="0085074C" w:rsidP="000E7D76">
      <w:pPr>
        <w:widowControl w:val="0"/>
        <w:autoSpaceDE w:val="0"/>
        <w:autoSpaceDN w:val="0"/>
        <w:adjustRightInd w:val="0"/>
        <w:spacing w:after="0" w:line="240" w:lineRule="auto"/>
        <w:ind w:left="1440"/>
        <w:jc w:val="both"/>
        <w:rPr>
          <w:rFonts w:ascii="Times New Roman" w:hAnsi="Times New Roman" w:cs="Times New Roman"/>
          <w:sz w:val="18"/>
        </w:rPr>
      </w:pPr>
    </w:p>
    <w:p w:rsidR="00504398" w:rsidRDefault="00504398" w:rsidP="008D71E6">
      <w:pPr>
        <w:pStyle w:val="Heading2"/>
        <w:spacing w:after="240"/>
      </w:pPr>
      <w:bookmarkStart w:id="58" w:name="_Toc410901652"/>
      <w:bookmarkStart w:id="59" w:name="_Toc412105861"/>
      <w:r>
        <w:lastRenderedPageBreak/>
        <w:t xml:space="preserve">Impact </w:t>
      </w:r>
      <w:r w:rsidR="0085074C">
        <w:t xml:space="preserve">of Tax Reform </w:t>
      </w:r>
      <w:r>
        <w:t xml:space="preserve">on </w:t>
      </w:r>
      <w:r w:rsidR="00CA70DF">
        <w:t>H</w:t>
      </w:r>
      <w:r>
        <w:t xml:space="preserve">ousehold </w:t>
      </w:r>
      <w:r w:rsidR="00CA70DF">
        <w:t>W</w:t>
      </w:r>
      <w:r>
        <w:t xml:space="preserve">elfare and </w:t>
      </w:r>
      <w:r w:rsidR="00CA70DF">
        <w:t>Government R</w:t>
      </w:r>
      <w:r>
        <w:t>evenue</w:t>
      </w:r>
      <w:bookmarkEnd w:id="58"/>
      <w:bookmarkEnd w:id="59"/>
    </w:p>
    <w:p w:rsidR="00504398" w:rsidRPr="001000E9"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sz w:val="18"/>
        </w:rPr>
      </w:pPr>
      <w:r w:rsidRPr="001000E9">
        <w:rPr>
          <w:rFonts w:ascii="Times New Roman" w:hAnsi="Times New Roman" w:cs="Times New Roman"/>
          <w:bCs/>
        </w:rPr>
        <w:t xml:space="preserve">As the poor spend most of their income on food-related products, the elimination of tax exemptions on such products would have the highest impact on </w:t>
      </w:r>
      <w:r w:rsidR="00BD4E04">
        <w:rPr>
          <w:rFonts w:ascii="Times New Roman" w:hAnsi="Times New Roman" w:cs="Times New Roman"/>
          <w:bCs/>
        </w:rPr>
        <w:t>destitution</w:t>
      </w:r>
      <w:r w:rsidRPr="001000E9">
        <w:rPr>
          <w:rFonts w:ascii="Times New Roman" w:hAnsi="Times New Roman" w:cs="Times New Roman"/>
          <w:bCs/>
        </w:rPr>
        <w:t xml:space="preserve"> and inequality, while the elimination of tax exemptions on fuel products would reduce inequality but with no apparent impact on </w:t>
      </w:r>
      <w:r w:rsidR="00BD4E04">
        <w:rPr>
          <w:rFonts w:ascii="Times New Roman" w:hAnsi="Times New Roman" w:cs="Times New Roman"/>
          <w:bCs/>
        </w:rPr>
        <w:t>destitution</w:t>
      </w:r>
      <w:r w:rsidRPr="001000E9">
        <w:rPr>
          <w:rFonts w:ascii="Times New Roman" w:hAnsi="Times New Roman" w:cs="Times New Roman"/>
          <w:bCs/>
        </w:rPr>
        <w:t xml:space="preserve">. However these effects would be minimal, almost negligible. </w:t>
      </w:r>
      <w:r w:rsidR="001000E9" w:rsidRPr="001000E9">
        <w:rPr>
          <w:rFonts w:ascii="Times New Roman" w:hAnsi="Times New Roman" w:cs="Times New Roman"/>
          <w:bCs/>
        </w:rPr>
        <w:fldChar w:fldCharType="begin"/>
      </w:r>
      <w:r w:rsidR="001000E9" w:rsidRPr="001000E9">
        <w:rPr>
          <w:rFonts w:ascii="Times New Roman" w:hAnsi="Times New Roman" w:cs="Times New Roman"/>
          <w:bCs/>
        </w:rPr>
        <w:instrText xml:space="preserve"> REF _Ref411954492 \h </w:instrText>
      </w:r>
      <w:r w:rsidR="001000E9">
        <w:rPr>
          <w:rFonts w:ascii="Times New Roman" w:hAnsi="Times New Roman" w:cs="Times New Roman"/>
          <w:bCs/>
        </w:rPr>
        <w:instrText xml:space="preserve"> \* MERGEFORMAT </w:instrText>
      </w:r>
      <w:r w:rsidR="001000E9" w:rsidRPr="001000E9">
        <w:rPr>
          <w:rFonts w:ascii="Times New Roman" w:hAnsi="Times New Roman" w:cs="Times New Roman"/>
          <w:bCs/>
        </w:rPr>
      </w:r>
      <w:r w:rsidR="001000E9" w:rsidRPr="001000E9">
        <w:rPr>
          <w:rFonts w:ascii="Times New Roman" w:hAnsi="Times New Roman" w:cs="Times New Roman"/>
          <w:bCs/>
        </w:rPr>
        <w:fldChar w:fldCharType="separate"/>
      </w:r>
      <w:r w:rsidR="001000E9" w:rsidRPr="001000E9">
        <w:rPr>
          <w:rFonts w:ascii="Times New Roman" w:hAnsi="Times New Roman" w:cs="Times New Roman"/>
        </w:rPr>
        <w:t xml:space="preserve">Table </w:t>
      </w:r>
      <w:r w:rsidR="001000E9" w:rsidRPr="001000E9">
        <w:rPr>
          <w:rFonts w:ascii="Times New Roman" w:hAnsi="Times New Roman" w:cs="Times New Roman"/>
          <w:noProof/>
        </w:rPr>
        <w:t>17</w:t>
      </w:r>
      <w:r w:rsidR="001000E9" w:rsidRPr="001000E9">
        <w:rPr>
          <w:rFonts w:ascii="Times New Roman" w:hAnsi="Times New Roman" w:cs="Times New Roman"/>
          <w:bCs/>
        </w:rPr>
        <w:fldChar w:fldCharType="end"/>
      </w:r>
      <w:r w:rsidR="001000E9" w:rsidRPr="001000E9">
        <w:rPr>
          <w:rFonts w:ascii="Times New Roman" w:hAnsi="Times New Roman" w:cs="Times New Roman"/>
        </w:rPr>
        <w:t xml:space="preserve"> </w:t>
      </w:r>
      <w:r w:rsidRPr="001000E9">
        <w:rPr>
          <w:rFonts w:ascii="Times New Roman" w:hAnsi="Times New Roman" w:cs="Times New Roman"/>
        </w:rPr>
        <w:t xml:space="preserve">shows the impact of the reform on </w:t>
      </w:r>
      <w:r w:rsidR="00BD4E04">
        <w:rPr>
          <w:rFonts w:ascii="Times New Roman" w:hAnsi="Times New Roman" w:cs="Times New Roman"/>
        </w:rPr>
        <w:t>destitution</w:t>
      </w:r>
      <w:r w:rsidRPr="001000E9">
        <w:rPr>
          <w:rFonts w:ascii="Times New Roman" w:hAnsi="Times New Roman" w:cs="Times New Roman"/>
        </w:rPr>
        <w:t xml:space="preserve"> and inequality. Globally, a reform of taxes on fuel and food products </w:t>
      </w:r>
      <w:r w:rsidR="000E7D76" w:rsidRPr="001000E9">
        <w:rPr>
          <w:rFonts w:ascii="Times New Roman" w:hAnsi="Times New Roman" w:cs="Times New Roman"/>
        </w:rPr>
        <w:t xml:space="preserve">alone </w:t>
      </w:r>
      <w:r w:rsidRPr="001000E9">
        <w:rPr>
          <w:rFonts w:ascii="Times New Roman" w:hAnsi="Times New Roman" w:cs="Times New Roman"/>
        </w:rPr>
        <w:t xml:space="preserve">would not have a very significant impact on </w:t>
      </w:r>
      <w:r w:rsidR="00BD4E04">
        <w:rPr>
          <w:rFonts w:ascii="Times New Roman" w:hAnsi="Times New Roman" w:cs="Times New Roman"/>
        </w:rPr>
        <w:t>destitution</w:t>
      </w:r>
      <w:r w:rsidRPr="001000E9">
        <w:rPr>
          <w:rFonts w:ascii="Times New Roman" w:hAnsi="Times New Roman" w:cs="Times New Roman"/>
        </w:rPr>
        <w:t xml:space="preserve"> and no impact on inequality. In particular, the </w:t>
      </w:r>
      <w:r w:rsidR="00BD4E04">
        <w:rPr>
          <w:rFonts w:ascii="Times New Roman" w:hAnsi="Times New Roman" w:cs="Times New Roman"/>
        </w:rPr>
        <w:t>destitution</w:t>
      </w:r>
      <w:r w:rsidRPr="001000E9">
        <w:rPr>
          <w:rFonts w:ascii="Times New Roman" w:hAnsi="Times New Roman" w:cs="Times New Roman"/>
        </w:rPr>
        <w:t xml:space="preserve"> rate would increase by 0.17 percentage points from </w:t>
      </w:r>
      <w:r w:rsidRPr="00152878">
        <w:rPr>
          <w:rFonts w:ascii="Times New Roman" w:hAnsi="Times New Roman" w:cs="Times New Roman"/>
        </w:rPr>
        <w:t>20.00 to</w:t>
      </w:r>
      <w:r w:rsidRPr="001000E9">
        <w:rPr>
          <w:rFonts w:ascii="Times New Roman" w:hAnsi="Times New Roman" w:cs="Times New Roman"/>
        </w:rPr>
        <w:t xml:space="preserve"> 20.17 percent. The elimination of tax exemptions on flour would increase </w:t>
      </w:r>
      <w:r w:rsidR="00BD4E04">
        <w:rPr>
          <w:rFonts w:ascii="Times New Roman" w:hAnsi="Times New Roman" w:cs="Times New Roman"/>
        </w:rPr>
        <w:t>destitution</w:t>
      </w:r>
      <w:r w:rsidRPr="001000E9">
        <w:rPr>
          <w:rFonts w:ascii="Times New Roman" w:hAnsi="Times New Roman" w:cs="Times New Roman"/>
        </w:rPr>
        <w:t xml:space="preserve"> by 0.05 percentage points (from </w:t>
      </w:r>
      <w:r w:rsidRPr="00152878">
        <w:rPr>
          <w:rFonts w:ascii="Times New Roman" w:hAnsi="Times New Roman" w:cs="Times New Roman"/>
        </w:rPr>
        <w:t>20</w:t>
      </w:r>
      <w:r w:rsidR="00152878">
        <w:rPr>
          <w:rFonts w:ascii="Times New Roman" w:hAnsi="Times New Roman" w:cs="Times New Roman"/>
        </w:rPr>
        <w:t>.00</w:t>
      </w:r>
      <w:r w:rsidRPr="00152878">
        <w:rPr>
          <w:rFonts w:ascii="Times New Roman" w:hAnsi="Times New Roman" w:cs="Times New Roman"/>
        </w:rPr>
        <w:t xml:space="preserve"> to 20.05</w:t>
      </w:r>
      <w:r w:rsidRPr="001000E9">
        <w:rPr>
          <w:rFonts w:ascii="Times New Roman" w:hAnsi="Times New Roman" w:cs="Times New Roman"/>
        </w:rPr>
        <w:t xml:space="preserve"> percent), and inequality by 0.05 percentage points (from 45.13 to 45.18 percent). The effect of the elimination of the discretionary tax adjustment on fuel would not affect the poorest and would in fact result in a reduction of inequality by 0.12 percentage points. This is explained by the fact that the consumption of this product is negligible among the poor, while it is one of the highest consumed products </w:t>
      </w:r>
      <w:r w:rsidR="00F710B6" w:rsidRPr="001000E9">
        <w:rPr>
          <w:rFonts w:ascii="Times New Roman" w:hAnsi="Times New Roman" w:cs="Times New Roman"/>
        </w:rPr>
        <w:t xml:space="preserve">among the subsidized products </w:t>
      </w:r>
      <w:r w:rsidR="00F710B6">
        <w:rPr>
          <w:rFonts w:ascii="Times New Roman" w:hAnsi="Times New Roman" w:cs="Times New Roman"/>
        </w:rPr>
        <w:t>in</w:t>
      </w:r>
      <w:r w:rsidR="00F710B6" w:rsidRPr="001000E9">
        <w:rPr>
          <w:rFonts w:ascii="Times New Roman" w:hAnsi="Times New Roman" w:cs="Times New Roman"/>
        </w:rPr>
        <w:t xml:space="preserve"> </w:t>
      </w:r>
      <w:r w:rsidRPr="001000E9">
        <w:rPr>
          <w:rFonts w:ascii="Times New Roman" w:hAnsi="Times New Roman" w:cs="Times New Roman"/>
        </w:rPr>
        <w:t>rich households.</w:t>
      </w:r>
    </w:p>
    <w:p w:rsidR="003F3439" w:rsidRDefault="003F3439" w:rsidP="003F3439">
      <w:pPr>
        <w:pStyle w:val="Caption"/>
      </w:pPr>
      <w:bookmarkStart w:id="60" w:name="_Ref411954492"/>
      <w:bookmarkStart w:id="61" w:name="_Toc412105848"/>
      <w:r>
        <w:t xml:space="preserve">Table </w:t>
      </w:r>
      <w:fldSimple w:instr=" SEQ Table \* ARABIC ">
        <w:r>
          <w:rPr>
            <w:noProof/>
          </w:rPr>
          <w:t>17</w:t>
        </w:r>
      </w:fldSimple>
      <w:bookmarkEnd w:id="60"/>
      <w:r>
        <w:t xml:space="preserve">: </w:t>
      </w:r>
      <w:r w:rsidRPr="00A463B9">
        <w:t xml:space="preserve">The Reform, the </w:t>
      </w:r>
      <w:r w:rsidR="00BD4E04">
        <w:t>Destitution</w:t>
      </w:r>
      <w:r w:rsidRPr="00A463B9">
        <w:t xml:space="preserve"> Head</w:t>
      </w:r>
      <w:r w:rsidR="00F710B6">
        <w:t xml:space="preserve"> C</w:t>
      </w:r>
      <w:r w:rsidRPr="00A463B9">
        <w:t>ount, and the Gini Index</w:t>
      </w:r>
      <w:bookmarkEnd w:id="61"/>
    </w:p>
    <w:tbl>
      <w:tblPr>
        <w:tblW w:w="8859" w:type="dxa"/>
        <w:jc w:val="center"/>
        <w:tblLook w:val="04A0" w:firstRow="1" w:lastRow="0" w:firstColumn="1" w:lastColumn="0" w:noHBand="0" w:noVBand="1"/>
      </w:tblPr>
      <w:tblGrid>
        <w:gridCol w:w="2019"/>
        <w:gridCol w:w="1620"/>
        <w:gridCol w:w="1890"/>
        <w:gridCol w:w="1620"/>
        <w:gridCol w:w="1710"/>
      </w:tblGrid>
      <w:tr w:rsidR="00EF6B01" w:rsidRPr="00154B06" w:rsidTr="00EF6B01">
        <w:trPr>
          <w:trHeight w:val="720"/>
          <w:jc w:val="center"/>
        </w:trPr>
        <w:tc>
          <w:tcPr>
            <w:tcW w:w="2019" w:type="dxa"/>
            <w:tcBorders>
              <w:top w:val="double" w:sz="6" w:space="0" w:color="000000"/>
              <w:bottom w:val="single" w:sz="4" w:space="0" w:color="000000"/>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 </w:t>
            </w:r>
          </w:p>
        </w:tc>
        <w:tc>
          <w:tcPr>
            <w:tcW w:w="1620" w:type="dxa"/>
            <w:tcBorders>
              <w:top w:val="double" w:sz="6" w:space="0" w:color="000000"/>
              <w:left w:val="nil"/>
              <w:bottom w:val="single" w:sz="4" w:space="0" w:color="000000"/>
              <w:right w:val="nil"/>
            </w:tcBorders>
            <w:shd w:val="clear" w:color="auto" w:fill="auto"/>
            <w:vAlign w:val="center"/>
            <w:hideMark/>
          </w:tcPr>
          <w:p w:rsidR="003F3439" w:rsidRPr="00154B06" w:rsidRDefault="00BD4E04" w:rsidP="006F432E">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Destitution</w:t>
            </w:r>
            <w:r w:rsidR="003F3439" w:rsidRPr="00154B06">
              <w:rPr>
                <w:rFonts w:ascii="Times New Roman" w:eastAsia="Times New Roman" w:hAnsi="Times New Roman" w:cs="Times New Roman"/>
                <w:b/>
                <w:bCs/>
                <w:sz w:val="20"/>
                <w:szCs w:val="20"/>
              </w:rPr>
              <w:t xml:space="preserve"> Level</w:t>
            </w:r>
          </w:p>
        </w:tc>
        <w:tc>
          <w:tcPr>
            <w:tcW w:w="1890" w:type="dxa"/>
            <w:tcBorders>
              <w:top w:val="double" w:sz="6" w:space="0" w:color="000000"/>
              <w:left w:val="nil"/>
              <w:bottom w:val="single" w:sz="4" w:space="0" w:color="000000"/>
              <w:right w:val="nil"/>
            </w:tcBorders>
            <w:shd w:val="clear" w:color="auto" w:fill="auto"/>
            <w:vAlign w:val="center"/>
            <w:hideMark/>
          </w:tcPr>
          <w:p w:rsidR="003F3439" w:rsidRPr="00154B06" w:rsidRDefault="003F3439" w:rsidP="00BD4E04">
            <w:pPr>
              <w:spacing w:after="0"/>
              <w:jc w:val="center"/>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 xml:space="preserve">Change in </w:t>
            </w:r>
            <w:r w:rsidR="00BD4E04">
              <w:rPr>
                <w:rFonts w:ascii="Times New Roman" w:eastAsia="Times New Roman" w:hAnsi="Times New Roman" w:cs="Times New Roman"/>
                <w:b/>
                <w:bCs/>
                <w:sz w:val="20"/>
                <w:szCs w:val="20"/>
              </w:rPr>
              <w:t>destitution</w:t>
            </w:r>
          </w:p>
        </w:tc>
        <w:tc>
          <w:tcPr>
            <w:tcW w:w="1620" w:type="dxa"/>
            <w:tcBorders>
              <w:top w:val="double" w:sz="6" w:space="0" w:color="000000"/>
              <w:left w:val="nil"/>
              <w:bottom w:val="single" w:sz="4" w:space="0" w:color="000000"/>
              <w:right w:val="nil"/>
            </w:tcBorders>
            <w:vAlign w:val="center"/>
          </w:tcPr>
          <w:p w:rsidR="003F3439" w:rsidRPr="00154B06" w:rsidRDefault="003F3439" w:rsidP="006F432E">
            <w:pPr>
              <w:spacing w:after="0"/>
              <w:jc w:val="center"/>
              <w:rPr>
                <w:rFonts w:ascii="Times New Roman" w:eastAsia="Times New Roman" w:hAnsi="Times New Roman" w:cs="Times New Roman"/>
                <w:b/>
                <w:bCs/>
                <w:sz w:val="20"/>
                <w:szCs w:val="20"/>
              </w:rPr>
            </w:pPr>
            <w:r w:rsidRPr="00154B06">
              <w:rPr>
                <w:rFonts w:ascii="Times New Roman" w:hAnsi="Times New Roman" w:cs="Times New Roman"/>
                <w:b/>
                <w:bCs/>
                <w:sz w:val="20"/>
                <w:szCs w:val="20"/>
              </w:rPr>
              <w:t>Gini Index</w:t>
            </w:r>
          </w:p>
        </w:tc>
        <w:tc>
          <w:tcPr>
            <w:tcW w:w="1710" w:type="dxa"/>
            <w:tcBorders>
              <w:top w:val="double" w:sz="6" w:space="0" w:color="000000"/>
              <w:left w:val="nil"/>
              <w:bottom w:val="single" w:sz="4" w:space="0" w:color="000000"/>
            </w:tcBorders>
            <w:vAlign w:val="center"/>
          </w:tcPr>
          <w:p w:rsidR="003F3439" w:rsidRPr="00154B06" w:rsidRDefault="003F3439" w:rsidP="006F432E">
            <w:pPr>
              <w:spacing w:after="0"/>
              <w:jc w:val="center"/>
              <w:rPr>
                <w:rFonts w:ascii="Times New Roman" w:eastAsia="Times New Roman" w:hAnsi="Times New Roman" w:cs="Times New Roman"/>
                <w:b/>
                <w:bCs/>
                <w:sz w:val="20"/>
                <w:szCs w:val="20"/>
              </w:rPr>
            </w:pPr>
            <w:r w:rsidRPr="00154B06">
              <w:rPr>
                <w:rFonts w:ascii="Times New Roman" w:hAnsi="Times New Roman" w:cs="Times New Roman"/>
                <w:b/>
                <w:bCs/>
                <w:sz w:val="20"/>
                <w:szCs w:val="20"/>
              </w:rPr>
              <w:t>Variation in Gini</w:t>
            </w:r>
          </w:p>
        </w:tc>
      </w:tr>
      <w:tr w:rsidR="00EF6B01" w:rsidRPr="00154B06" w:rsidTr="00F116CC">
        <w:trPr>
          <w:trHeight w:hRule="exact" w:val="288"/>
          <w:jc w:val="center"/>
        </w:trPr>
        <w:tc>
          <w:tcPr>
            <w:tcW w:w="2019" w:type="dxa"/>
            <w:tcBorders>
              <w:top w:val="nil"/>
              <w:bottom w:val="nil"/>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Pre Reform</w:t>
            </w:r>
          </w:p>
        </w:tc>
        <w:tc>
          <w:tcPr>
            <w:tcW w:w="162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2878">
              <w:rPr>
                <w:rFonts w:ascii="Times New Roman" w:hAnsi="Times New Roman" w:cs="Times New Roman"/>
                <w:sz w:val="20"/>
                <w:szCs w:val="20"/>
              </w:rPr>
              <w:t>20.00</w:t>
            </w:r>
          </w:p>
        </w:tc>
        <w:tc>
          <w:tcPr>
            <w:tcW w:w="1890" w:type="dxa"/>
            <w:tcBorders>
              <w:top w:val="nil"/>
              <w:left w:val="nil"/>
              <w:bottom w:val="nil"/>
              <w:right w:val="nil"/>
            </w:tcBorders>
            <w:shd w:val="clear" w:color="auto" w:fill="auto"/>
            <w:noWrap/>
            <w:vAlign w:val="center"/>
          </w:tcPr>
          <w:p w:rsidR="003F3439" w:rsidRPr="00154B06" w:rsidRDefault="00F710B6" w:rsidP="006F432E">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1620" w:type="dxa"/>
            <w:tcBorders>
              <w:top w:val="nil"/>
              <w:left w:val="nil"/>
              <w:bottom w:val="nil"/>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45.1</w:t>
            </w:r>
            <w:r>
              <w:rPr>
                <w:rFonts w:ascii="Times New Roman" w:hAnsi="Times New Roman" w:cs="Times New Roman"/>
                <w:sz w:val="20"/>
                <w:szCs w:val="20"/>
              </w:rPr>
              <w:t>3</w:t>
            </w:r>
          </w:p>
        </w:tc>
        <w:tc>
          <w:tcPr>
            <w:tcW w:w="1710" w:type="dxa"/>
            <w:tcBorders>
              <w:top w:val="nil"/>
              <w:left w:val="nil"/>
              <w:bottom w:val="nil"/>
            </w:tcBorders>
            <w:vAlign w:val="center"/>
          </w:tcPr>
          <w:p w:rsidR="003F3439" w:rsidRPr="00154B06" w:rsidRDefault="00F710B6" w:rsidP="006F432E">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w:t>
            </w:r>
          </w:p>
        </w:tc>
      </w:tr>
      <w:tr w:rsidR="00EF6B01" w:rsidRPr="00154B06" w:rsidTr="00F116CC">
        <w:trPr>
          <w:trHeight w:hRule="exact" w:val="288"/>
          <w:jc w:val="center"/>
        </w:trPr>
        <w:tc>
          <w:tcPr>
            <w:tcW w:w="2019" w:type="dxa"/>
            <w:tcBorders>
              <w:top w:val="nil"/>
              <w:bottom w:val="nil"/>
              <w:right w:val="nil"/>
            </w:tcBorders>
            <w:shd w:val="clear" w:color="auto" w:fill="auto"/>
            <w:vAlign w:val="center"/>
          </w:tcPr>
          <w:p w:rsidR="003F3439" w:rsidRPr="00154B06" w:rsidRDefault="003F3439" w:rsidP="006F432E">
            <w:pPr>
              <w:spacing w:after="0"/>
              <w:rPr>
                <w:rFonts w:ascii="Times New Roman" w:eastAsia="Times New Roman" w:hAnsi="Times New Roman" w:cs="Times New Roman"/>
                <w:b/>
                <w:bCs/>
                <w:sz w:val="20"/>
                <w:szCs w:val="20"/>
              </w:rPr>
            </w:pPr>
          </w:p>
        </w:tc>
        <w:tc>
          <w:tcPr>
            <w:tcW w:w="162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p>
        </w:tc>
        <w:tc>
          <w:tcPr>
            <w:tcW w:w="1620" w:type="dxa"/>
            <w:tcBorders>
              <w:top w:val="nil"/>
              <w:left w:val="nil"/>
              <w:bottom w:val="nil"/>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p>
        </w:tc>
        <w:tc>
          <w:tcPr>
            <w:tcW w:w="1710" w:type="dxa"/>
            <w:tcBorders>
              <w:top w:val="nil"/>
              <w:left w:val="nil"/>
              <w:bottom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p>
        </w:tc>
      </w:tr>
      <w:tr w:rsidR="00EF6B01" w:rsidRPr="00154B06" w:rsidTr="00F116CC">
        <w:trPr>
          <w:trHeight w:hRule="exact" w:val="288"/>
          <w:jc w:val="center"/>
        </w:trPr>
        <w:tc>
          <w:tcPr>
            <w:tcW w:w="2019" w:type="dxa"/>
            <w:tcBorders>
              <w:top w:val="nil"/>
              <w:bottom w:val="nil"/>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 xml:space="preserve">Powdered Milk </w:t>
            </w:r>
          </w:p>
        </w:tc>
        <w:tc>
          <w:tcPr>
            <w:tcW w:w="162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20.00</w:t>
            </w:r>
          </w:p>
        </w:tc>
        <w:tc>
          <w:tcPr>
            <w:tcW w:w="189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0.00</w:t>
            </w:r>
          </w:p>
        </w:tc>
        <w:tc>
          <w:tcPr>
            <w:tcW w:w="1620" w:type="dxa"/>
            <w:tcBorders>
              <w:top w:val="nil"/>
              <w:left w:val="nil"/>
              <w:bottom w:val="nil"/>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45.1</w:t>
            </w:r>
            <w:r>
              <w:rPr>
                <w:rFonts w:ascii="Times New Roman" w:hAnsi="Times New Roman" w:cs="Times New Roman"/>
                <w:sz w:val="20"/>
                <w:szCs w:val="20"/>
              </w:rPr>
              <w:t>3</w:t>
            </w:r>
          </w:p>
        </w:tc>
        <w:tc>
          <w:tcPr>
            <w:tcW w:w="1710" w:type="dxa"/>
            <w:tcBorders>
              <w:top w:val="nil"/>
              <w:left w:val="nil"/>
              <w:bottom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w:t>
            </w:r>
            <w:r>
              <w:rPr>
                <w:rFonts w:ascii="Times New Roman" w:hAnsi="Times New Roman" w:cs="Times New Roman"/>
                <w:sz w:val="20"/>
                <w:szCs w:val="20"/>
              </w:rPr>
              <w:t>0</w:t>
            </w:r>
          </w:p>
        </w:tc>
      </w:tr>
      <w:tr w:rsidR="00EF6B01" w:rsidRPr="00154B06" w:rsidTr="00F116CC">
        <w:trPr>
          <w:trHeight w:hRule="exact" w:val="288"/>
          <w:jc w:val="center"/>
        </w:trPr>
        <w:tc>
          <w:tcPr>
            <w:tcW w:w="2019" w:type="dxa"/>
            <w:tcBorders>
              <w:top w:val="nil"/>
              <w:bottom w:val="nil"/>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 xml:space="preserve">Flour </w:t>
            </w:r>
          </w:p>
        </w:tc>
        <w:tc>
          <w:tcPr>
            <w:tcW w:w="162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20.05</w:t>
            </w:r>
          </w:p>
        </w:tc>
        <w:tc>
          <w:tcPr>
            <w:tcW w:w="189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w:t>
            </w:r>
            <w:r>
              <w:rPr>
                <w:rFonts w:ascii="Times New Roman" w:hAnsi="Times New Roman" w:cs="Times New Roman"/>
                <w:sz w:val="20"/>
                <w:szCs w:val="20"/>
              </w:rPr>
              <w:t>5</w:t>
            </w:r>
          </w:p>
        </w:tc>
        <w:tc>
          <w:tcPr>
            <w:tcW w:w="1620" w:type="dxa"/>
            <w:tcBorders>
              <w:top w:val="nil"/>
              <w:left w:val="nil"/>
              <w:bottom w:val="nil"/>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w:t>
            </w:r>
            <w:r>
              <w:rPr>
                <w:rFonts w:ascii="Times New Roman" w:hAnsi="Times New Roman" w:cs="Times New Roman"/>
                <w:sz w:val="20"/>
                <w:szCs w:val="20"/>
              </w:rPr>
              <w:t>18</w:t>
            </w:r>
          </w:p>
        </w:tc>
        <w:tc>
          <w:tcPr>
            <w:tcW w:w="1710" w:type="dxa"/>
            <w:tcBorders>
              <w:top w:val="nil"/>
              <w:left w:val="nil"/>
              <w:bottom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w:t>
            </w:r>
            <w:r>
              <w:rPr>
                <w:rFonts w:ascii="Times New Roman" w:hAnsi="Times New Roman" w:cs="Times New Roman"/>
                <w:sz w:val="20"/>
                <w:szCs w:val="20"/>
              </w:rPr>
              <w:t>05</w:t>
            </w:r>
          </w:p>
        </w:tc>
      </w:tr>
      <w:tr w:rsidR="00EF6B01" w:rsidRPr="00154B06" w:rsidTr="00F116CC">
        <w:trPr>
          <w:trHeight w:hRule="exact" w:val="288"/>
          <w:jc w:val="center"/>
        </w:trPr>
        <w:tc>
          <w:tcPr>
            <w:tcW w:w="2019" w:type="dxa"/>
            <w:tcBorders>
              <w:top w:val="nil"/>
              <w:bottom w:val="nil"/>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 xml:space="preserve">Cooking Oil </w:t>
            </w:r>
          </w:p>
        </w:tc>
        <w:tc>
          <w:tcPr>
            <w:tcW w:w="162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20.0</w:t>
            </w:r>
            <w:r>
              <w:rPr>
                <w:rFonts w:ascii="Times New Roman" w:hAnsi="Times New Roman" w:cs="Times New Roman"/>
                <w:sz w:val="20"/>
                <w:szCs w:val="20"/>
              </w:rPr>
              <w:t>1</w:t>
            </w:r>
          </w:p>
        </w:tc>
        <w:tc>
          <w:tcPr>
            <w:tcW w:w="189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0.00</w:t>
            </w:r>
          </w:p>
        </w:tc>
        <w:tc>
          <w:tcPr>
            <w:tcW w:w="1620" w:type="dxa"/>
            <w:tcBorders>
              <w:top w:val="nil"/>
              <w:left w:val="nil"/>
              <w:bottom w:val="nil"/>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w:t>
            </w:r>
            <w:r>
              <w:rPr>
                <w:rFonts w:ascii="Times New Roman" w:hAnsi="Times New Roman" w:cs="Times New Roman"/>
                <w:sz w:val="20"/>
                <w:szCs w:val="20"/>
              </w:rPr>
              <w:t>15</w:t>
            </w:r>
          </w:p>
        </w:tc>
        <w:tc>
          <w:tcPr>
            <w:tcW w:w="1710" w:type="dxa"/>
            <w:tcBorders>
              <w:top w:val="nil"/>
              <w:left w:val="nil"/>
              <w:bottom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w:t>
            </w:r>
            <w:r>
              <w:rPr>
                <w:rFonts w:ascii="Times New Roman" w:hAnsi="Times New Roman" w:cs="Times New Roman"/>
                <w:sz w:val="20"/>
                <w:szCs w:val="20"/>
              </w:rPr>
              <w:t>1</w:t>
            </w:r>
          </w:p>
        </w:tc>
      </w:tr>
      <w:tr w:rsidR="00EF6B01" w:rsidRPr="00154B06" w:rsidTr="00F116CC">
        <w:trPr>
          <w:trHeight w:hRule="exact" w:val="288"/>
          <w:jc w:val="center"/>
        </w:trPr>
        <w:tc>
          <w:tcPr>
            <w:tcW w:w="2019" w:type="dxa"/>
            <w:tcBorders>
              <w:top w:val="nil"/>
              <w:bottom w:val="nil"/>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 xml:space="preserve">Sugar </w:t>
            </w:r>
          </w:p>
        </w:tc>
        <w:tc>
          <w:tcPr>
            <w:tcW w:w="162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20.01</w:t>
            </w:r>
          </w:p>
        </w:tc>
        <w:tc>
          <w:tcPr>
            <w:tcW w:w="189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0.01</w:t>
            </w:r>
          </w:p>
        </w:tc>
        <w:tc>
          <w:tcPr>
            <w:tcW w:w="1620" w:type="dxa"/>
            <w:tcBorders>
              <w:top w:val="nil"/>
              <w:left w:val="nil"/>
              <w:bottom w:val="nil"/>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w:t>
            </w:r>
            <w:r>
              <w:rPr>
                <w:rFonts w:ascii="Times New Roman" w:hAnsi="Times New Roman" w:cs="Times New Roman"/>
                <w:sz w:val="20"/>
                <w:szCs w:val="20"/>
              </w:rPr>
              <w:t>17</w:t>
            </w:r>
          </w:p>
        </w:tc>
        <w:tc>
          <w:tcPr>
            <w:tcW w:w="1710" w:type="dxa"/>
            <w:tcBorders>
              <w:top w:val="nil"/>
              <w:left w:val="nil"/>
              <w:bottom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w:t>
            </w:r>
            <w:r>
              <w:rPr>
                <w:rFonts w:ascii="Times New Roman" w:hAnsi="Times New Roman" w:cs="Times New Roman"/>
                <w:sz w:val="20"/>
                <w:szCs w:val="20"/>
              </w:rPr>
              <w:t>4</w:t>
            </w:r>
          </w:p>
        </w:tc>
      </w:tr>
      <w:tr w:rsidR="00EF6B01" w:rsidRPr="00154B06" w:rsidTr="00F116CC">
        <w:trPr>
          <w:trHeight w:hRule="exact" w:val="288"/>
          <w:jc w:val="center"/>
        </w:trPr>
        <w:tc>
          <w:tcPr>
            <w:tcW w:w="2019" w:type="dxa"/>
            <w:tcBorders>
              <w:top w:val="nil"/>
              <w:bottom w:val="nil"/>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 xml:space="preserve">Fuel </w:t>
            </w:r>
          </w:p>
        </w:tc>
        <w:tc>
          <w:tcPr>
            <w:tcW w:w="162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20.00</w:t>
            </w:r>
          </w:p>
        </w:tc>
        <w:tc>
          <w:tcPr>
            <w:tcW w:w="189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0.00</w:t>
            </w:r>
          </w:p>
        </w:tc>
        <w:tc>
          <w:tcPr>
            <w:tcW w:w="1620" w:type="dxa"/>
            <w:tcBorders>
              <w:top w:val="nil"/>
              <w:left w:val="nil"/>
              <w:bottom w:val="nil"/>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45.0</w:t>
            </w:r>
            <w:r>
              <w:rPr>
                <w:rFonts w:ascii="Times New Roman" w:hAnsi="Times New Roman" w:cs="Times New Roman"/>
                <w:sz w:val="20"/>
                <w:szCs w:val="20"/>
              </w:rPr>
              <w:t>1</w:t>
            </w:r>
          </w:p>
        </w:tc>
        <w:tc>
          <w:tcPr>
            <w:tcW w:w="1710" w:type="dxa"/>
            <w:tcBorders>
              <w:top w:val="nil"/>
              <w:left w:val="nil"/>
              <w:bottom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-0.1</w:t>
            </w:r>
            <w:r>
              <w:rPr>
                <w:rFonts w:ascii="Times New Roman" w:hAnsi="Times New Roman" w:cs="Times New Roman"/>
                <w:sz w:val="20"/>
                <w:szCs w:val="20"/>
              </w:rPr>
              <w:t>2</w:t>
            </w:r>
          </w:p>
        </w:tc>
      </w:tr>
      <w:tr w:rsidR="00EF6B01" w:rsidRPr="00154B06" w:rsidTr="00F116CC">
        <w:trPr>
          <w:trHeight w:hRule="exact" w:val="288"/>
          <w:jc w:val="center"/>
        </w:trPr>
        <w:tc>
          <w:tcPr>
            <w:tcW w:w="2019" w:type="dxa"/>
            <w:tcBorders>
              <w:top w:val="nil"/>
              <w:bottom w:val="nil"/>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 xml:space="preserve">Public Transport </w:t>
            </w:r>
          </w:p>
        </w:tc>
        <w:tc>
          <w:tcPr>
            <w:tcW w:w="162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20.00</w:t>
            </w:r>
          </w:p>
        </w:tc>
        <w:tc>
          <w:tcPr>
            <w:tcW w:w="1890" w:type="dxa"/>
            <w:tcBorders>
              <w:top w:val="nil"/>
              <w:left w:val="nil"/>
              <w:bottom w:val="nil"/>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0.00</w:t>
            </w:r>
          </w:p>
        </w:tc>
        <w:tc>
          <w:tcPr>
            <w:tcW w:w="1620" w:type="dxa"/>
            <w:tcBorders>
              <w:top w:val="nil"/>
              <w:left w:val="nil"/>
              <w:bottom w:val="nil"/>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45.1</w:t>
            </w:r>
            <w:r>
              <w:rPr>
                <w:rFonts w:ascii="Times New Roman" w:hAnsi="Times New Roman" w:cs="Times New Roman"/>
                <w:sz w:val="20"/>
                <w:szCs w:val="20"/>
              </w:rPr>
              <w:t>3</w:t>
            </w:r>
          </w:p>
        </w:tc>
        <w:tc>
          <w:tcPr>
            <w:tcW w:w="1710" w:type="dxa"/>
            <w:tcBorders>
              <w:top w:val="nil"/>
              <w:left w:val="nil"/>
              <w:bottom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w:t>
            </w:r>
            <w:r>
              <w:rPr>
                <w:rFonts w:ascii="Times New Roman" w:hAnsi="Times New Roman" w:cs="Times New Roman"/>
                <w:sz w:val="20"/>
                <w:szCs w:val="20"/>
              </w:rPr>
              <w:t>0</w:t>
            </w:r>
          </w:p>
        </w:tc>
      </w:tr>
      <w:tr w:rsidR="00EF6B01" w:rsidRPr="00154B06" w:rsidTr="00F116CC">
        <w:trPr>
          <w:trHeight w:hRule="exact" w:val="288"/>
          <w:jc w:val="center"/>
        </w:trPr>
        <w:tc>
          <w:tcPr>
            <w:tcW w:w="2019" w:type="dxa"/>
            <w:tcBorders>
              <w:top w:val="nil"/>
              <w:bottom w:val="single" w:sz="4" w:space="0" w:color="000000"/>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School Transport</w:t>
            </w:r>
          </w:p>
        </w:tc>
        <w:tc>
          <w:tcPr>
            <w:tcW w:w="1620" w:type="dxa"/>
            <w:tcBorders>
              <w:top w:val="nil"/>
              <w:left w:val="nil"/>
              <w:bottom w:val="single" w:sz="4" w:space="0" w:color="000000"/>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20.00</w:t>
            </w:r>
          </w:p>
        </w:tc>
        <w:tc>
          <w:tcPr>
            <w:tcW w:w="1890" w:type="dxa"/>
            <w:tcBorders>
              <w:top w:val="nil"/>
              <w:left w:val="nil"/>
              <w:bottom w:val="single" w:sz="4" w:space="0" w:color="000000"/>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0.00</w:t>
            </w:r>
          </w:p>
        </w:tc>
        <w:tc>
          <w:tcPr>
            <w:tcW w:w="1620" w:type="dxa"/>
            <w:tcBorders>
              <w:top w:val="nil"/>
              <w:left w:val="nil"/>
              <w:bottom w:val="single" w:sz="4" w:space="0" w:color="000000"/>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45.1</w:t>
            </w:r>
            <w:r>
              <w:rPr>
                <w:rFonts w:ascii="Times New Roman" w:hAnsi="Times New Roman" w:cs="Times New Roman"/>
                <w:sz w:val="20"/>
                <w:szCs w:val="20"/>
              </w:rPr>
              <w:t>4</w:t>
            </w:r>
          </w:p>
        </w:tc>
        <w:tc>
          <w:tcPr>
            <w:tcW w:w="1710" w:type="dxa"/>
            <w:tcBorders>
              <w:top w:val="nil"/>
              <w:left w:val="nil"/>
              <w:bottom w:val="single" w:sz="4" w:space="0" w:color="000000"/>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w:t>
            </w:r>
            <w:r>
              <w:rPr>
                <w:rFonts w:ascii="Times New Roman" w:hAnsi="Times New Roman" w:cs="Times New Roman"/>
                <w:sz w:val="20"/>
                <w:szCs w:val="20"/>
              </w:rPr>
              <w:t>0</w:t>
            </w:r>
          </w:p>
        </w:tc>
      </w:tr>
      <w:tr w:rsidR="00EF6B01" w:rsidRPr="00154B06" w:rsidTr="00F116CC">
        <w:trPr>
          <w:trHeight w:hRule="exact" w:val="288"/>
          <w:jc w:val="center"/>
        </w:trPr>
        <w:tc>
          <w:tcPr>
            <w:tcW w:w="2019" w:type="dxa"/>
            <w:tcBorders>
              <w:top w:val="nil"/>
              <w:bottom w:val="double" w:sz="6" w:space="0" w:color="000000"/>
              <w:right w:val="nil"/>
            </w:tcBorders>
            <w:shd w:val="clear" w:color="auto" w:fill="auto"/>
            <w:vAlign w:val="center"/>
            <w:hideMark/>
          </w:tcPr>
          <w:p w:rsidR="003F3439" w:rsidRPr="00154B06" w:rsidRDefault="003F3439" w:rsidP="006F432E">
            <w:pPr>
              <w:spacing w:after="0"/>
              <w:rPr>
                <w:rFonts w:ascii="Times New Roman" w:eastAsia="Times New Roman" w:hAnsi="Times New Roman" w:cs="Times New Roman"/>
                <w:b/>
                <w:bCs/>
                <w:sz w:val="20"/>
                <w:szCs w:val="20"/>
              </w:rPr>
            </w:pPr>
            <w:r w:rsidRPr="00154B06">
              <w:rPr>
                <w:rFonts w:ascii="Times New Roman" w:eastAsia="Times New Roman" w:hAnsi="Times New Roman" w:cs="Times New Roman"/>
                <w:b/>
                <w:bCs/>
                <w:sz w:val="20"/>
                <w:szCs w:val="20"/>
              </w:rPr>
              <w:t>Post Reform</w:t>
            </w:r>
          </w:p>
        </w:tc>
        <w:tc>
          <w:tcPr>
            <w:tcW w:w="1620" w:type="dxa"/>
            <w:tcBorders>
              <w:top w:val="nil"/>
              <w:left w:val="nil"/>
              <w:bottom w:val="double" w:sz="6" w:space="0" w:color="000000"/>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20.1</w:t>
            </w:r>
            <w:r>
              <w:rPr>
                <w:rFonts w:ascii="Times New Roman" w:hAnsi="Times New Roman" w:cs="Times New Roman"/>
                <w:sz w:val="20"/>
                <w:szCs w:val="20"/>
              </w:rPr>
              <w:t>7</w:t>
            </w:r>
          </w:p>
        </w:tc>
        <w:tc>
          <w:tcPr>
            <w:tcW w:w="1890" w:type="dxa"/>
            <w:tcBorders>
              <w:top w:val="nil"/>
              <w:left w:val="nil"/>
              <w:bottom w:val="double" w:sz="6" w:space="0" w:color="000000"/>
              <w:right w:val="nil"/>
            </w:tcBorders>
            <w:shd w:val="clear" w:color="auto" w:fill="auto"/>
            <w:noWrap/>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0.1</w:t>
            </w:r>
            <w:r>
              <w:rPr>
                <w:rFonts w:ascii="Times New Roman" w:hAnsi="Times New Roman" w:cs="Times New Roman"/>
                <w:sz w:val="20"/>
                <w:szCs w:val="20"/>
              </w:rPr>
              <w:t>7</w:t>
            </w:r>
          </w:p>
        </w:tc>
        <w:tc>
          <w:tcPr>
            <w:tcW w:w="1620" w:type="dxa"/>
            <w:tcBorders>
              <w:top w:val="nil"/>
              <w:left w:val="nil"/>
              <w:bottom w:val="double" w:sz="6" w:space="0" w:color="000000"/>
              <w:right w:val="nil"/>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45.1</w:t>
            </w:r>
            <w:r>
              <w:rPr>
                <w:rFonts w:ascii="Times New Roman" w:hAnsi="Times New Roman" w:cs="Times New Roman"/>
                <w:sz w:val="20"/>
                <w:szCs w:val="20"/>
              </w:rPr>
              <w:t>3</w:t>
            </w:r>
          </w:p>
        </w:tc>
        <w:tc>
          <w:tcPr>
            <w:tcW w:w="1710" w:type="dxa"/>
            <w:tcBorders>
              <w:top w:val="nil"/>
              <w:left w:val="nil"/>
              <w:bottom w:val="double" w:sz="6" w:space="0" w:color="000000"/>
            </w:tcBorders>
            <w:vAlign w:val="center"/>
          </w:tcPr>
          <w:p w:rsidR="003F3439" w:rsidRPr="00154B06" w:rsidRDefault="003F3439" w:rsidP="006F432E">
            <w:pPr>
              <w:spacing w:after="0"/>
              <w:jc w:val="center"/>
              <w:rPr>
                <w:rFonts w:ascii="Times New Roman" w:eastAsia="Times New Roman" w:hAnsi="Times New Roman" w:cs="Times New Roman"/>
                <w:sz w:val="20"/>
                <w:szCs w:val="20"/>
              </w:rPr>
            </w:pPr>
            <w:r w:rsidRPr="00154B06">
              <w:rPr>
                <w:rFonts w:ascii="Times New Roman" w:hAnsi="Times New Roman" w:cs="Times New Roman"/>
                <w:sz w:val="20"/>
                <w:szCs w:val="20"/>
              </w:rPr>
              <w:t>-0.0</w:t>
            </w:r>
            <w:r>
              <w:rPr>
                <w:rFonts w:ascii="Times New Roman" w:hAnsi="Times New Roman" w:cs="Times New Roman"/>
                <w:sz w:val="20"/>
                <w:szCs w:val="20"/>
              </w:rPr>
              <w:t>2</w:t>
            </w:r>
          </w:p>
        </w:tc>
      </w:tr>
    </w:tbl>
    <w:p w:rsidR="003F3439" w:rsidRPr="007230D9" w:rsidRDefault="003F3439" w:rsidP="000E7D76">
      <w:pPr>
        <w:widowControl w:val="0"/>
        <w:autoSpaceDE w:val="0"/>
        <w:autoSpaceDN w:val="0"/>
        <w:adjustRightInd w:val="0"/>
        <w:spacing w:after="0" w:line="240" w:lineRule="auto"/>
        <w:jc w:val="both"/>
        <w:rPr>
          <w:rFonts w:ascii="Times New Roman" w:hAnsi="Times New Roman" w:cs="Times New Roman"/>
          <w:sz w:val="18"/>
        </w:rPr>
      </w:pPr>
      <w:r>
        <w:t xml:space="preserve"> </w:t>
      </w:r>
      <w:r w:rsidRPr="00433284">
        <w:rPr>
          <w:rFonts w:ascii="Times New Roman" w:hAnsi="Times New Roman"/>
          <w:i/>
          <w:sz w:val="18"/>
        </w:rPr>
        <w:t>Source:</w:t>
      </w:r>
      <w:r w:rsidRPr="00553D7A">
        <w:rPr>
          <w:rFonts w:ascii="Times New Roman" w:hAnsi="Times New Roman"/>
          <w:sz w:val="18"/>
          <w:szCs w:val="18"/>
        </w:rPr>
        <w:t xml:space="preserve"> World Bank calculation based on the EDAM 3.</w:t>
      </w:r>
    </w:p>
    <w:p w:rsidR="00504398" w:rsidRDefault="00504398" w:rsidP="00504398">
      <w:pPr>
        <w:widowControl w:val="0"/>
        <w:autoSpaceDE w:val="0"/>
        <w:autoSpaceDN w:val="0"/>
        <w:adjustRightInd w:val="0"/>
        <w:spacing w:after="0" w:line="240" w:lineRule="auto"/>
        <w:jc w:val="both"/>
        <w:rPr>
          <w:rFonts w:ascii="Times New Roman" w:hAnsi="Times New Roman" w:cs="Times New Roman"/>
          <w:sz w:val="18"/>
        </w:rPr>
      </w:pPr>
    </w:p>
    <w:p w:rsidR="000E7D76" w:rsidRPr="007230D9" w:rsidRDefault="000E7D76"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sz w:val="18"/>
        </w:rPr>
      </w:pPr>
      <w:r w:rsidRPr="007230D9">
        <w:rPr>
          <w:rFonts w:ascii="Times New Roman" w:hAnsi="Times New Roman"/>
          <w:bCs/>
        </w:rPr>
        <w:t>Among the poorer quintiles, the loss in welfare as a result of the reform would be the highest on food</w:t>
      </w:r>
      <w:r w:rsidR="00F710B6">
        <w:rPr>
          <w:rFonts w:ascii="Times New Roman" w:hAnsi="Times New Roman"/>
          <w:bCs/>
        </w:rPr>
        <w:t>-</w:t>
      </w:r>
      <w:r w:rsidRPr="007230D9">
        <w:rPr>
          <w:rFonts w:ascii="Times New Roman" w:hAnsi="Times New Roman"/>
          <w:bCs/>
        </w:rPr>
        <w:t>related items; while it would be the highest on fuel products among the richer quintiles.</w:t>
      </w:r>
      <w:r w:rsidRPr="007230D9">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_Ref406596768 \h </w:instrText>
      </w:r>
      <w:r>
        <w:rPr>
          <w:rFonts w:ascii="Times New Roman" w:hAnsi="Times New Roman"/>
        </w:rPr>
      </w:r>
      <w:r>
        <w:rPr>
          <w:rFonts w:ascii="Times New Roman" w:hAnsi="Times New Roman"/>
        </w:rPr>
        <w:fldChar w:fldCharType="separate"/>
      </w:r>
      <w:r>
        <w:rPr>
          <w:rStyle w:val="Hyperlink"/>
          <w:rFonts w:ascii="Times New Roman" w:hAnsi="Times New Roman" w:cs="Times New Roman"/>
        </w:rPr>
        <w:t>Figure 1</w:t>
      </w:r>
      <w:r>
        <w:rPr>
          <w:rFonts w:ascii="Times New Roman" w:hAnsi="Times New Roman"/>
        </w:rPr>
        <w:fldChar w:fldCharType="end"/>
      </w:r>
      <w:r>
        <w:rPr>
          <w:rFonts w:ascii="Times New Roman" w:hAnsi="Times New Roman"/>
        </w:rPr>
        <w:t xml:space="preserve"> </w:t>
      </w:r>
      <w:r w:rsidRPr="007230D9">
        <w:rPr>
          <w:rFonts w:ascii="Times New Roman" w:hAnsi="Times New Roman"/>
        </w:rPr>
        <w:t>show</w:t>
      </w:r>
      <w:r>
        <w:rPr>
          <w:rFonts w:ascii="Times New Roman" w:hAnsi="Times New Roman"/>
        </w:rPr>
        <w:t>s</w:t>
      </w:r>
      <w:r w:rsidRPr="007230D9">
        <w:rPr>
          <w:rFonts w:ascii="Times New Roman" w:hAnsi="Times New Roman"/>
        </w:rPr>
        <w:t xml:space="preserve"> the impact of the reform on the welfare of the population as a proportion of </w:t>
      </w:r>
      <w:r w:rsidR="00F710B6">
        <w:rPr>
          <w:rFonts w:ascii="Times New Roman" w:hAnsi="Times New Roman"/>
        </w:rPr>
        <w:t xml:space="preserve">the </w:t>
      </w:r>
      <w:r w:rsidRPr="007230D9">
        <w:rPr>
          <w:rFonts w:ascii="Times New Roman" w:hAnsi="Times New Roman"/>
        </w:rPr>
        <w:t>total spending by quintile and for each subsidized product</w:t>
      </w:r>
      <w:r>
        <w:rPr>
          <w:rFonts w:ascii="Times New Roman" w:hAnsi="Times New Roman"/>
        </w:rPr>
        <w:t xml:space="preserve"> group</w:t>
      </w:r>
      <w:r w:rsidRPr="007230D9">
        <w:rPr>
          <w:rFonts w:ascii="Times New Roman" w:hAnsi="Times New Roman"/>
        </w:rPr>
        <w:t>. In terms of food-related products, the reform would result in a significant loss of welfare among the poorest quintile (1.12</w:t>
      </w:r>
      <w:r>
        <w:rPr>
          <w:rFonts w:ascii="Times New Roman" w:hAnsi="Times New Roman"/>
        </w:rPr>
        <w:t xml:space="preserve"> </w:t>
      </w:r>
      <w:r w:rsidRPr="007230D9">
        <w:rPr>
          <w:rFonts w:ascii="Times New Roman" w:hAnsi="Times New Roman"/>
        </w:rPr>
        <w:t>percent of total spending) but this loss decreases as welfare increases. On the other hand, the reform would result in a minimal loss among the top quintile for fuel products, and this loss decreases as welfare decreases and becomes negligible for the first quintile.</w:t>
      </w:r>
    </w:p>
    <w:p w:rsidR="00504398" w:rsidRPr="007230D9"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sz w:val="18"/>
        </w:rPr>
      </w:pPr>
      <w:r w:rsidRPr="007230D9">
        <w:rPr>
          <w:rFonts w:ascii="Times New Roman" w:hAnsi="Times New Roman"/>
          <w:bCs/>
        </w:rPr>
        <w:t>The impact of the reform on government budget would result in a gain, the highest coming from fuel</w:t>
      </w:r>
      <w:r w:rsidRPr="007230D9">
        <w:rPr>
          <w:rFonts w:ascii="Times New Roman" w:hAnsi="Times New Roman"/>
        </w:rPr>
        <w:t>. The impact of the reform on government budget would result in</w:t>
      </w:r>
      <w:r w:rsidR="00BD4E04">
        <w:rPr>
          <w:rFonts w:ascii="Times New Roman" w:hAnsi="Times New Roman"/>
        </w:rPr>
        <w:t xml:space="preserve"> a total gain of DF 856</w:t>
      </w:r>
      <w:r w:rsidRPr="007230D9">
        <w:rPr>
          <w:rFonts w:ascii="Times New Roman" w:hAnsi="Times New Roman"/>
        </w:rPr>
        <w:t xml:space="preserve"> million </w:t>
      </w:r>
      <w:r w:rsidRPr="00B95B51">
        <w:rPr>
          <w:rFonts w:ascii="Times New Roman" w:hAnsi="Times New Roman"/>
        </w:rPr>
        <w:t>(or 0.3</w:t>
      </w:r>
      <w:r w:rsidR="00F116CC">
        <w:rPr>
          <w:rFonts w:ascii="Times New Roman" w:hAnsi="Times New Roman"/>
        </w:rPr>
        <w:t>3</w:t>
      </w:r>
      <w:r w:rsidR="000E7D76">
        <w:rPr>
          <w:rFonts w:ascii="Times New Roman" w:hAnsi="Times New Roman"/>
        </w:rPr>
        <w:t xml:space="preserve"> </w:t>
      </w:r>
      <w:r w:rsidRPr="00B95B51">
        <w:rPr>
          <w:rFonts w:ascii="Times New Roman" w:hAnsi="Times New Roman"/>
        </w:rPr>
        <w:t>percent of GDP):</w:t>
      </w:r>
      <w:r w:rsidRPr="007230D9">
        <w:rPr>
          <w:rFonts w:ascii="Times New Roman" w:hAnsi="Times New Roman"/>
        </w:rPr>
        <w:t xml:space="preserve"> 28 percent of that gain would come from fuel (96 percent of the gain from fuel will originate from the richest households), 18 percent from flour, and 15 percent from sugar. The highest gain in </w:t>
      </w:r>
      <w:r w:rsidR="00F710B6">
        <w:rPr>
          <w:rFonts w:ascii="Times New Roman" w:hAnsi="Times New Roman"/>
        </w:rPr>
        <w:t xml:space="preserve">the </w:t>
      </w:r>
      <w:r w:rsidRPr="007230D9">
        <w:rPr>
          <w:rFonts w:ascii="Times New Roman" w:hAnsi="Times New Roman"/>
        </w:rPr>
        <w:t xml:space="preserve">government budget will come from the richest households (54 percent). </w:t>
      </w:r>
      <w:r w:rsidRPr="00257B89">
        <w:rPr>
          <w:rFonts w:ascii="Times New Roman" w:hAnsi="Times New Roman"/>
        </w:rPr>
        <w:t>This decrease</w:t>
      </w:r>
      <w:r w:rsidR="00F710B6" w:rsidRPr="00257B89">
        <w:rPr>
          <w:rFonts w:ascii="Times New Roman" w:hAnsi="Times New Roman"/>
        </w:rPr>
        <w:t>s</w:t>
      </w:r>
      <w:r w:rsidRPr="007230D9">
        <w:rPr>
          <w:rFonts w:ascii="Times New Roman" w:hAnsi="Times New Roman"/>
        </w:rPr>
        <w:t xml:space="preserve"> as welfare decreases to reach the lowest share among poor households (5 percent). This is consistent with the previous finding that the highest loss of welfare in the population would come from fuel, and particularly among the rich. </w:t>
      </w:r>
      <w:r w:rsidR="00325E37" w:rsidRPr="00325E37">
        <w:rPr>
          <w:rFonts w:ascii="Times New Roman" w:hAnsi="Times New Roman" w:cs="Times New Roman"/>
        </w:rPr>
        <w:fldChar w:fldCharType="begin"/>
      </w:r>
      <w:r w:rsidR="00325E37" w:rsidRPr="00325E37">
        <w:rPr>
          <w:rFonts w:ascii="Times New Roman" w:hAnsi="Times New Roman" w:cs="Times New Roman"/>
        </w:rPr>
        <w:instrText xml:space="preserve"> REF _Ref412114009 \h </w:instrText>
      </w:r>
      <w:r w:rsidR="00325E37">
        <w:rPr>
          <w:rFonts w:ascii="Times New Roman" w:hAnsi="Times New Roman" w:cs="Times New Roman"/>
        </w:rPr>
        <w:instrText xml:space="preserve"> \* MERGEFORMAT </w:instrText>
      </w:r>
      <w:r w:rsidR="00325E37" w:rsidRPr="00325E37">
        <w:rPr>
          <w:rFonts w:ascii="Times New Roman" w:hAnsi="Times New Roman" w:cs="Times New Roman"/>
        </w:rPr>
      </w:r>
      <w:r w:rsidR="00325E37" w:rsidRPr="00325E37">
        <w:rPr>
          <w:rFonts w:ascii="Times New Roman" w:hAnsi="Times New Roman" w:cs="Times New Roman"/>
        </w:rPr>
        <w:fldChar w:fldCharType="separate"/>
      </w:r>
      <w:r w:rsidR="00325E37" w:rsidRPr="00325E37">
        <w:rPr>
          <w:rFonts w:ascii="Times New Roman" w:hAnsi="Times New Roman" w:cs="Times New Roman"/>
        </w:rPr>
        <w:t xml:space="preserve">Figure </w:t>
      </w:r>
      <w:r w:rsidR="00325E37" w:rsidRPr="00325E37">
        <w:rPr>
          <w:rFonts w:ascii="Times New Roman" w:hAnsi="Times New Roman" w:cs="Times New Roman"/>
          <w:noProof/>
        </w:rPr>
        <w:t>2</w:t>
      </w:r>
      <w:r w:rsidR="00325E37" w:rsidRPr="00325E37">
        <w:rPr>
          <w:rFonts w:ascii="Times New Roman" w:hAnsi="Times New Roman" w:cs="Times New Roman"/>
        </w:rPr>
        <w:fldChar w:fldCharType="end"/>
      </w:r>
      <w:r>
        <w:rPr>
          <w:rFonts w:ascii="Times New Roman" w:hAnsi="Times New Roman"/>
        </w:rPr>
        <w:t xml:space="preserve"> </w:t>
      </w:r>
      <w:r w:rsidRPr="007230D9">
        <w:rPr>
          <w:rFonts w:ascii="Times New Roman" w:hAnsi="Times New Roman"/>
        </w:rPr>
        <w:t>shows the impact on government revenues as the price of each subsidized product increases. The most important revenue gain to the government would come from increasing the price of fuel, while the least would come from increasing the price of cooking oil.</w:t>
      </w:r>
    </w:p>
    <w:p w:rsidR="007A3FA3" w:rsidRDefault="007A3FA3" w:rsidP="007A3FA3">
      <w:pPr>
        <w:pStyle w:val="Caption"/>
      </w:pPr>
      <w:r>
        <w:lastRenderedPageBreak/>
        <w:t xml:space="preserve">Figure </w:t>
      </w:r>
      <w:fldSimple w:instr=" SEQ Figure \* ARABIC ">
        <w:r>
          <w:rPr>
            <w:noProof/>
          </w:rPr>
          <w:t>1</w:t>
        </w:r>
      </w:fldSimple>
      <w:r>
        <w:t xml:space="preserve">: </w:t>
      </w:r>
      <w:r w:rsidRPr="006868A0">
        <w:t>The Impact on Well-Being (in</w:t>
      </w:r>
      <w:r w:rsidR="00491100">
        <w:t xml:space="preserve"> </w:t>
      </w:r>
      <w:r w:rsidRPr="006868A0">
        <w:t>%)</w:t>
      </w:r>
    </w:p>
    <w:p w:rsidR="00504398" w:rsidRDefault="00504398" w:rsidP="00491100">
      <w:pPr>
        <w:spacing w:after="0"/>
        <w:jc w:val="center"/>
        <w:rPr>
          <w:rFonts w:ascii="Times New Roman" w:eastAsia="Times New Roman" w:hAnsi="Times New Roman"/>
        </w:rPr>
      </w:pPr>
      <w:r>
        <w:rPr>
          <w:noProof/>
        </w:rPr>
        <w:drawing>
          <wp:inline distT="0" distB="0" distL="0" distR="0" wp14:anchorId="08B934BC" wp14:editId="4428B2B0">
            <wp:extent cx="5701085" cy="2043485"/>
            <wp:effectExtent l="0" t="0" r="1397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4398" w:rsidRPr="001000E9" w:rsidRDefault="00504398" w:rsidP="007A3FA3">
      <w:pPr>
        <w:pStyle w:val="Caption"/>
        <w:spacing w:before="0" w:after="0"/>
        <w:jc w:val="left"/>
        <w:rPr>
          <w:b w:val="0"/>
          <w:sz w:val="18"/>
          <w:szCs w:val="18"/>
        </w:rPr>
      </w:pPr>
      <w:r w:rsidRPr="001000E9">
        <w:rPr>
          <w:b w:val="0"/>
          <w:i/>
          <w:sz w:val="18"/>
          <w:szCs w:val="18"/>
        </w:rPr>
        <w:t xml:space="preserve">Source: </w:t>
      </w:r>
      <w:r w:rsidRPr="001000E9">
        <w:rPr>
          <w:b w:val="0"/>
          <w:sz w:val="18"/>
          <w:szCs w:val="18"/>
        </w:rPr>
        <w:t>World Bank calculation based on the EDAM 3.</w:t>
      </w:r>
    </w:p>
    <w:p w:rsidR="007A3FA3" w:rsidRDefault="007A3FA3" w:rsidP="007A3FA3">
      <w:pPr>
        <w:pStyle w:val="Caption"/>
      </w:pPr>
      <w:bookmarkStart w:id="62" w:name="_Ref412114009"/>
      <w:r>
        <w:t xml:space="preserve">Figure </w:t>
      </w:r>
      <w:fldSimple w:instr=" SEQ Figure \* ARABIC ">
        <w:r>
          <w:rPr>
            <w:noProof/>
          </w:rPr>
          <w:t>2</w:t>
        </w:r>
      </w:fldSimple>
      <w:bookmarkEnd w:id="62"/>
      <w:r>
        <w:t xml:space="preserve">: </w:t>
      </w:r>
      <w:r w:rsidRPr="00DC4627">
        <w:t>The Impact of the Reform on the Government Revenue (in DF)</w:t>
      </w:r>
    </w:p>
    <w:p w:rsidR="00BD4E04" w:rsidRDefault="00BD4E04" w:rsidP="00BD4E04">
      <w:pPr>
        <w:spacing w:after="0"/>
        <w:rPr>
          <w:sz w:val="18"/>
          <w:szCs w:val="18"/>
        </w:rPr>
      </w:pPr>
      <w:r>
        <w:rPr>
          <w:noProof/>
        </w:rPr>
        <w:drawing>
          <wp:inline distT="0" distB="0" distL="0" distR="0">
            <wp:extent cx="5727700" cy="2092325"/>
            <wp:effectExtent l="0" t="0" r="635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4398" w:rsidRPr="001000E9" w:rsidRDefault="00504398" w:rsidP="001000E9">
      <w:pPr>
        <w:pStyle w:val="Caption"/>
        <w:spacing w:before="0" w:after="0"/>
        <w:jc w:val="left"/>
        <w:rPr>
          <w:b w:val="0"/>
          <w:sz w:val="18"/>
          <w:szCs w:val="18"/>
        </w:rPr>
      </w:pPr>
      <w:r w:rsidRPr="00BD4E04">
        <w:rPr>
          <w:b w:val="0"/>
          <w:i/>
          <w:sz w:val="18"/>
          <w:szCs w:val="18"/>
        </w:rPr>
        <w:t xml:space="preserve">Source: </w:t>
      </w:r>
      <w:r w:rsidRPr="00BD4E04">
        <w:rPr>
          <w:b w:val="0"/>
          <w:sz w:val="18"/>
          <w:szCs w:val="18"/>
        </w:rPr>
        <w:t>World Bank calculation based on the EDAM 3</w:t>
      </w:r>
      <w:r w:rsidR="00BD4E04">
        <w:rPr>
          <w:b w:val="0"/>
          <w:sz w:val="18"/>
          <w:szCs w:val="18"/>
        </w:rPr>
        <w:t xml:space="preserve"> (2014</w:t>
      </w:r>
      <w:r w:rsidR="0085074C" w:rsidRPr="00BD4E04">
        <w:rPr>
          <w:b w:val="0"/>
          <w:sz w:val="18"/>
          <w:szCs w:val="18"/>
        </w:rPr>
        <w:t xml:space="preserve"> prices)</w:t>
      </w:r>
      <w:r w:rsidR="001000E9" w:rsidRPr="00BD4E04">
        <w:rPr>
          <w:b w:val="0"/>
          <w:sz w:val="18"/>
          <w:szCs w:val="18"/>
        </w:rPr>
        <w:t>.</w:t>
      </w:r>
    </w:p>
    <w:p w:rsidR="00504398" w:rsidRPr="00504398" w:rsidRDefault="00504398" w:rsidP="008D71E6">
      <w:pPr>
        <w:pStyle w:val="Heading2"/>
        <w:spacing w:after="240"/>
        <w:rPr>
          <w:rFonts w:eastAsia="Times New Roman"/>
        </w:rPr>
      </w:pPr>
      <w:bookmarkStart w:id="63" w:name="_Toc410901653"/>
      <w:bookmarkStart w:id="64" w:name="_Toc412105862"/>
      <w:r>
        <w:rPr>
          <w:rFonts w:eastAsia="Times New Roman"/>
        </w:rPr>
        <w:t>L</w:t>
      </w:r>
      <w:r w:rsidR="00CA70DF">
        <w:rPr>
          <w:rFonts w:eastAsia="Times New Roman"/>
        </w:rPr>
        <w:t>ikely I</w:t>
      </w:r>
      <w:r w:rsidRPr="00504398">
        <w:rPr>
          <w:rFonts w:eastAsia="Times New Roman"/>
        </w:rPr>
        <w:t xml:space="preserve">mpact of </w:t>
      </w:r>
      <w:r w:rsidR="00CA70DF">
        <w:rPr>
          <w:rFonts w:eastAsia="Times New Roman"/>
        </w:rPr>
        <w:t>Compensation P</w:t>
      </w:r>
      <w:r w:rsidRPr="00504398">
        <w:rPr>
          <w:rFonts w:eastAsia="Times New Roman"/>
        </w:rPr>
        <w:t>olicies t</w:t>
      </w:r>
      <w:r w:rsidR="00CA70DF">
        <w:rPr>
          <w:rFonts w:eastAsia="Times New Roman"/>
        </w:rPr>
        <w:t>h</w:t>
      </w:r>
      <w:r w:rsidRPr="00504398">
        <w:rPr>
          <w:rFonts w:eastAsia="Times New Roman"/>
        </w:rPr>
        <w:t xml:space="preserve">rough </w:t>
      </w:r>
      <w:r w:rsidR="00CA70DF">
        <w:rPr>
          <w:rFonts w:eastAsia="Times New Roman"/>
        </w:rPr>
        <w:t>Social Safety Nets P</w:t>
      </w:r>
      <w:r w:rsidRPr="00504398">
        <w:rPr>
          <w:rFonts w:eastAsia="Times New Roman"/>
        </w:rPr>
        <w:t>rograms</w:t>
      </w:r>
      <w:bookmarkEnd w:id="63"/>
      <w:bookmarkEnd w:id="64"/>
    </w:p>
    <w:p w:rsidR="00504398" w:rsidRPr="001000E9"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rPr>
      </w:pPr>
      <w:r>
        <w:rPr>
          <w:rFonts w:ascii="Times New Roman" w:hAnsi="Times New Roman"/>
        </w:rPr>
        <w:t>Any reform necessitates an efficient system for targeting the poor and vulnerable. The government, with support from development partners, is currently in the process of</w:t>
      </w:r>
      <w:r w:rsidRPr="007230D9">
        <w:rPr>
          <w:rFonts w:ascii="Times New Roman" w:hAnsi="Times New Roman"/>
        </w:rPr>
        <w:t xml:space="preserve"> reform</w:t>
      </w:r>
      <w:r>
        <w:rPr>
          <w:rFonts w:ascii="Times New Roman" w:hAnsi="Times New Roman"/>
        </w:rPr>
        <w:t>ing</w:t>
      </w:r>
      <w:r w:rsidRPr="007230D9">
        <w:rPr>
          <w:rFonts w:ascii="Times New Roman" w:hAnsi="Times New Roman"/>
        </w:rPr>
        <w:t xml:space="preserve"> the social protection sy</w:t>
      </w:r>
      <w:r>
        <w:rPr>
          <w:rFonts w:ascii="Times New Roman" w:hAnsi="Times New Roman"/>
        </w:rPr>
        <w:t>stem</w:t>
      </w:r>
      <w:r w:rsidRPr="007230D9">
        <w:rPr>
          <w:rFonts w:ascii="Times New Roman" w:hAnsi="Times New Roman"/>
        </w:rPr>
        <w:t xml:space="preserve">. </w:t>
      </w:r>
      <w:r w:rsidR="00491100">
        <w:rPr>
          <w:rFonts w:ascii="Times New Roman" w:hAnsi="Times New Roman"/>
        </w:rPr>
        <w:t>A k</w:t>
      </w:r>
      <w:r w:rsidRPr="007230D9">
        <w:rPr>
          <w:rFonts w:ascii="Times New Roman" w:hAnsi="Times New Roman"/>
        </w:rPr>
        <w:t>ey element to strengthening social safety nets in Djibouti is the creation of a social registry of poor and vulnerable household</w:t>
      </w:r>
      <w:r w:rsidR="00491100">
        <w:rPr>
          <w:rFonts w:ascii="Times New Roman" w:hAnsi="Times New Roman"/>
        </w:rPr>
        <w:t>s</w:t>
      </w:r>
      <w:r w:rsidRPr="007230D9">
        <w:rPr>
          <w:rFonts w:ascii="Times New Roman" w:hAnsi="Times New Roman"/>
        </w:rPr>
        <w:t xml:space="preserve">, which will be used to target the poor and serve as a single </w:t>
      </w:r>
      <w:r w:rsidRPr="001000E9">
        <w:rPr>
          <w:rFonts w:ascii="Times New Roman" w:hAnsi="Times New Roman" w:cs="Times New Roman"/>
        </w:rPr>
        <w:t>platform used by all social assistance programs, resulting in significant cost savings and substantial improvements in targeting the poorest households.</w:t>
      </w:r>
    </w:p>
    <w:p w:rsidR="00504398" w:rsidRPr="001000E9"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sz w:val="18"/>
        </w:rPr>
      </w:pPr>
      <w:r w:rsidRPr="001000E9">
        <w:rPr>
          <w:rFonts w:ascii="Times New Roman" w:hAnsi="Times New Roman" w:cs="Times New Roman"/>
        </w:rPr>
        <w:t xml:space="preserve">The preceding analysis has shown that tax exemptions on food and fuel items are regressive, and that the poor benefit the least. The government is considering strengthening the social protection system through a targeted cash-transfer system. </w:t>
      </w:r>
      <w:r w:rsidRPr="001000E9">
        <w:rPr>
          <w:rFonts w:ascii="Times New Roman" w:hAnsi="Times New Roman" w:cs="Times New Roman"/>
          <w:bCs/>
        </w:rPr>
        <w:t xml:space="preserve">Based on discussions with the </w:t>
      </w:r>
      <w:r w:rsidR="0085074C" w:rsidRPr="001000E9">
        <w:rPr>
          <w:rFonts w:ascii="Times New Roman" w:eastAsia="Times New Roman" w:hAnsi="Times New Roman" w:cs="Times New Roman"/>
        </w:rPr>
        <w:t>SESN</w:t>
      </w:r>
      <w:r w:rsidRPr="001000E9">
        <w:rPr>
          <w:rFonts w:ascii="Times New Roman" w:hAnsi="Times New Roman" w:cs="Times New Roman"/>
          <w:bCs/>
        </w:rPr>
        <w:t xml:space="preserve">, reform options based on a number of transfer schemes and budget envelopes are presented </w:t>
      </w:r>
      <w:r w:rsidR="00BD4E04">
        <w:rPr>
          <w:rFonts w:ascii="Times New Roman" w:hAnsi="Times New Roman" w:cs="Times New Roman"/>
          <w:bCs/>
        </w:rPr>
        <w:t>in table 18</w:t>
      </w:r>
      <w:r w:rsidRPr="001000E9">
        <w:rPr>
          <w:rFonts w:ascii="Times New Roman" w:hAnsi="Times New Roman" w:cs="Times New Roman"/>
          <w:bCs/>
        </w:rPr>
        <w:t>. The transfer schemes are defined in</w:t>
      </w:r>
      <w:r w:rsidRPr="001000E9">
        <w:rPr>
          <w:rFonts w:ascii="Times New Roman" w:hAnsi="Times New Roman" w:cs="Times New Roman"/>
          <w:sz w:val="18"/>
        </w:rPr>
        <w:t xml:space="preserve"> </w:t>
      </w:r>
      <w:r w:rsidR="001000E9" w:rsidRPr="001000E9">
        <w:rPr>
          <w:rFonts w:ascii="Times New Roman" w:hAnsi="Times New Roman" w:cs="Times New Roman"/>
        </w:rPr>
        <w:fldChar w:fldCharType="begin"/>
      </w:r>
      <w:r w:rsidR="001000E9" w:rsidRPr="001000E9">
        <w:rPr>
          <w:rFonts w:ascii="Times New Roman" w:hAnsi="Times New Roman" w:cs="Times New Roman"/>
          <w:sz w:val="18"/>
        </w:rPr>
        <w:instrText xml:space="preserve"> REF _Ref411954664 \h </w:instrText>
      </w:r>
      <w:r w:rsidR="001000E9">
        <w:rPr>
          <w:rFonts w:ascii="Times New Roman" w:hAnsi="Times New Roman" w:cs="Times New Roman"/>
        </w:rPr>
        <w:instrText xml:space="preserve"> \* MERGEFORMAT </w:instrText>
      </w:r>
      <w:r w:rsidR="001000E9" w:rsidRPr="001000E9">
        <w:rPr>
          <w:rFonts w:ascii="Times New Roman" w:hAnsi="Times New Roman" w:cs="Times New Roman"/>
        </w:rPr>
      </w:r>
      <w:r w:rsidR="001000E9" w:rsidRPr="001000E9">
        <w:rPr>
          <w:rFonts w:ascii="Times New Roman" w:hAnsi="Times New Roman" w:cs="Times New Roman"/>
        </w:rPr>
        <w:fldChar w:fldCharType="separate"/>
      </w:r>
      <w:r w:rsidR="001000E9">
        <w:rPr>
          <w:rFonts w:ascii="Times New Roman" w:hAnsi="Times New Roman" w:cs="Times New Roman"/>
        </w:rPr>
        <w:t>t</w:t>
      </w:r>
      <w:r w:rsidR="001000E9" w:rsidRPr="001000E9">
        <w:rPr>
          <w:rFonts w:ascii="Times New Roman" w:hAnsi="Times New Roman" w:cs="Times New Roman"/>
        </w:rPr>
        <w:t xml:space="preserve">able </w:t>
      </w:r>
      <w:r w:rsidR="001000E9" w:rsidRPr="001000E9">
        <w:rPr>
          <w:rFonts w:ascii="Times New Roman" w:hAnsi="Times New Roman" w:cs="Times New Roman"/>
          <w:noProof/>
        </w:rPr>
        <w:t>18</w:t>
      </w:r>
      <w:r w:rsidR="001000E9" w:rsidRPr="001000E9">
        <w:rPr>
          <w:rFonts w:ascii="Times New Roman" w:hAnsi="Times New Roman" w:cs="Times New Roman"/>
        </w:rPr>
        <w:fldChar w:fldCharType="end"/>
      </w:r>
      <w:r w:rsidRPr="001000E9">
        <w:rPr>
          <w:rFonts w:ascii="Times New Roman" w:hAnsi="Times New Roman" w:cs="Times New Roman"/>
        </w:rPr>
        <w:t xml:space="preserve"> and could be implemented at </w:t>
      </w:r>
      <w:r w:rsidR="00491100">
        <w:rPr>
          <w:rFonts w:ascii="Times New Roman" w:hAnsi="Times New Roman" w:cs="Times New Roman"/>
        </w:rPr>
        <w:t xml:space="preserve">an </w:t>
      </w:r>
      <w:r w:rsidRPr="001000E9">
        <w:rPr>
          <w:rFonts w:ascii="Times New Roman" w:hAnsi="Times New Roman" w:cs="Times New Roman"/>
        </w:rPr>
        <w:t>individual or household level. In the latter case, the amount transferred is the same for any household meeting the selection criteria irrespective of the household size. On the other hand, the ‘individual schemes’ depend on household size. For example, a nine-member household would receive three times the amount received by a three-member household. An intermediate measure is based on a calorie requirement-based equivalence adult scale (Eq.Ad.).</w:t>
      </w:r>
    </w:p>
    <w:p w:rsidR="001000E9" w:rsidRDefault="001000E9" w:rsidP="001000E9">
      <w:pPr>
        <w:pStyle w:val="Caption"/>
      </w:pPr>
      <w:bookmarkStart w:id="65" w:name="_Ref411954664"/>
      <w:bookmarkStart w:id="66" w:name="_Toc412105849"/>
      <w:r>
        <w:lastRenderedPageBreak/>
        <w:t xml:space="preserve">Table </w:t>
      </w:r>
      <w:fldSimple w:instr=" SEQ Table \* ARABIC ">
        <w:r>
          <w:rPr>
            <w:noProof/>
          </w:rPr>
          <w:t>18</w:t>
        </w:r>
      </w:fldSimple>
      <w:bookmarkEnd w:id="65"/>
      <w:r>
        <w:t xml:space="preserve">: </w:t>
      </w:r>
      <w:r w:rsidRPr="003F6335">
        <w:t>Definition of the Different Transfer Schemes</w:t>
      </w:r>
      <w:bookmarkEnd w:id="66"/>
    </w:p>
    <w:tbl>
      <w:tblPr>
        <w:tblW w:w="5000" w:type="pct"/>
        <w:tblCellMar>
          <w:left w:w="0" w:type="dxa"/>
          <w:right w:w="0" w:type="dxa"/>
        </w:tblCellMar>
        <w:tblLook w:val="04A0" w:firstRow="1" w:lastRow="0" w:firstColumn="1" w:lastColumn="0" w:noHBand="0" w:noVBand="1"/>
      </w:tblPr>
      <w:tblGrid>
        <w:gridCol w:w="1337"/>
        <w:gridCol w:w="2903"/>
        <w:gridCol w:w="2288"/>
        <w:gridCol w:w="2832"/>
      </w:tblGrid>
      <w:tr w:rsidR="00504398" w:rsidRPr="001000E9" w:rsidTr="00EF6B01">
        <w:trPr>
          <w:trHeight w:hRule="exact" w:val="522"/>
          <w:tblHeader/>
        </w:trPr>
        <w:tc>
          <w:tcPr>
            <w:tcW w:w="714" w:type="pct"/>
            <w:tcBorders>
              <w:top w:val="double" w:sz="4" w:space="0" w:color="auto"/>
              <w:left w:val="nil"/>
              <w:bottom w:val="single" w:sz="8" w:space="0" w:color="000000"/>
              <w:right w:val="nil"/>
            </w:tcBorders>
            <w:shd w:val="clear" w:color="auto" w:fill="auto"/>
            <w:tcMar>
              <w:top w:w="15" w:type="dxa"/>
              <w:left w:w="108" w:type="dxa"/>
              <w:bottom w:w="0" w:type="dxa"/>
              <w:right w:w="108" w:type="dxa"/>
            </w:tcMar>
            <w:hideMark/>
          </w:tcPr>
          <w:p w:rsidR="00504398" w:rsidRPr="001000E9" w:rsidRDefault="00504398" w:rsidP="007A3FA3">
            <w:pPr>
              <w:spacing w:after="0" w:line="240" w:lineRule="auto"/>
              <w:rPr>
                <w:rFonts w:ascii="Times New Roman" w:hAnsi="Times New Roman" w:cs="Times New Roman"/>
                <w:b/>
                <w:sz w:val="20"/>
                <w:szCs w:val="20"/>
              </w:rPr>
            </w:pPr>
            <w:r w:rsidRPr="001000E9">
              <w:rPr>
                <w:rFonts w:ascii="Times New Roman" w:hAnsi="Times New Roman" w:cs="Times New Roman"/>
                <w:b/>
                <w:sz w:val="20"/>
                <w:szCs w:val="20"/>
              </w:rPr>
              <w:t>Transfer</w:t>
            </w:r>
            <w:r w:rsidR="007A3FA3">
              <w:rPr>
                <w:rFonts w:ascii="Times New Roman" w:hAnsi="Times New Roman" w:cs="Times New Roman"/>
                <w:b/>
                <w:sz w:val="20"/>
                <w:szCs w:val="20"/>
              </w:rPr>
              <w:t xml:space="preserve"> </w:t>
            </w:r>
            <w:r w:rsidRPr="001000E9">
              <w:rPr>
                <w:rFonts w:ascii="Times New Roman" w:hAnsi="Times New Roman" w:cs="Times New Roman"/>
                <w:b/>
                <w:sz w:val="20"/>
                <w:szCs w:val="20"/>
              </w:rPr>
              <w:t>No.</w:t>
            </w:r>
          </w:p>
        </w:tc>
        <w:tc>
          <w:tcPr>
            <w:tcW w:w="1551" w:type="pct"/>
            <w:tcBorders>
              <w:top w:val="double" w:sz="4" w:space="0" w:color="auto"/>
              <w:left w:val="nil"/>
              <w:bottom w:val="single" w:sz="8" w:space="0" w:color="000000"/>
              <w:right w:val="nil"/>
            </w:tcBorders>
            <w:shd w:val="clear" w:color="auto" w:fill="auto"/>
            <w:tcMar>
              <w:top w:w="15" w:type="dxa"/>
              <w:left w:w="108" w:type="dxa"/>
              <w:bottom w:w="0" w:type="dxa"/>
              <w:right w:w="108" w:type="dxa"/>
            </w:tcMar>
            <w:hideMark/>
          </w:tcPr>
          <w:p w:rsidR="00504398" w:rsidRPr="001000E9" w:rsidRDefault="00504398" w:rsidP="007A3FA3">
            <w:pPr>
              <w:spacing w:after="0" w:line="240" w:lineRule="auto"/>
              <w:rPr>
                <w:rFonts w:ascii="Times New Roman" w:hAnsi="Times New Roman" w:cs="Times New Roman"/>
                <w:b/>
                <w:sz w:val="20"/>
                <w:szCs w:val="20"/>
              </w:rPr>
            </w:pPr>
            <w:r w:rsidRPr="001000E9">
              <w:rPr>
                <w:rFonts w:ascii="Times New Roman" w:hAnsi="Times New Roman" w:cs="Times New Roman"/>
                <w:b/>
                <w:sz w:val="20"/>
                <w:szCs w:val="20"/>
              </w:rPr>
              <w:t>Selection Criteria</w:t>
            </w:r>
          </w:p>
        </w:tc>
        <w:tc>
          <w:tcPr>
            <w:tcW w:w="1222" w:type="pct"/>
            <w:tcBorders>
              <w:top w:val="double" w:sz="4" w:space="0" w:color="auto"/>
              <w:left w:val="nil"/>
              <w:bottom w:val="single" w:sz="8" w:space="0" w:color="000000"/>
              <w:right w:val="nil"/>
            </w:tcBorders>
            <w:shd w:val="clear" w:color="auto" w:fill="auto"/>
            <w:tcMar>
              <w:top w:w="15" w:type="dxa"/>
              <w:left w:w="108" w:type="dxa"/>
              <w:bottom w:w="0" w:type="dxa"/>
              <w:right w:w="108" w:type="dxa"/>
            </w:tcMar>
            <w:hideMark/>
          </w:tcPr>
          <w:p w:rsidR="00504398" w:rsidRPr="001000E9" w:rsidRDefault="00504398" w:rsidP="007A3FA3">
            <w:pPr>
              <w:spacing w:after="0" w:line="240" w:lineRule="auto"/>
              <w:rPr>
                <w:rFonts w:ascii="Times New Roman" w:hAnsi="Times New Roman" w:cs="Times New Roman"/>
                <w:b/>
                <w:sz w:val="20"/>
                <w:szCs w:val="20"/>
              </w:rPr>
            </w:pPr>
            <w:r w:rsidRPr="001000E9">
              <w:rPr>
                <w:rFonts w:ascii="Times New Roman" w:hAnsi="Times New Roman" w:cs="Times New Roman"/>
                <w:b/>
                <w:sz w:val="20"/>
                <w:szCs w:val="20"/>
              </w:rPr>
              <w:t>Beneficiary</w:t>
            </w:r>
          </w:p>
        </w:tc>
        <w:tc>
          <w:tcPr>
            <w:tcW w:w="1513" w:type="pct"/>
            <w:tcBorders>
              <w:top w:val="double" w:sz="4" w:space="0" w:color="auto"/>
              <w:left w:val="nil"/>
              <w:bottom w:val="single" w:sz="8" w:space="0" w:color="000000"/>
              <w:right w:val="nil"/>
            </w:tcBorders>
            <w:shd w:val="clear" w:color="auto" w:fill="auto"/>
            <w:tcMar>
              <w:top w:w="15" w:type="dxa"/>
              <w:left w:w="108" w:type="dxa"/>
              <w:bottom w:w="0" w:type="dxa"/>
              <w:right w:w="108" w:type="dxa"/>
            </w:tcMar>
            <w:hideMark/>
          </w:tcPr>
          <w:p w:rsidR="00504398" w:rsidRPr="001000E9" w:rsidRDefault="00504398" w:rsidP="007A3FA3">
            <w:pPr>
              <w:spacing w:after="0" w:line="240" w:lineRule="auto"/>
              <w:jc w:val="center"/>
              <w:rPr>
                <w:rFonts w:ascii="Times New Roman" w:hAnsi="Times New Roman" w:cs="Times New Roman"/>
                <w:b/>
                <w:sz w:val="20"/>
                <w:szCs w:val="20"/>
              </w:rPr>
            </w:pPr>
            <w:r w:rsidRPr="001000E9">
              <w:rPr>
                <w:rFonts w:ascii="Times New Roman" w:hAnsi="Times New Roman" w:cs="Times New Roman"/>
                <w:b/>
                <w:sz w:val="20"/>
                <w:szCs w:val="20"/>
              </w:rPr>
              <w:t>Amount Transferred Per Unit</w:t>
            </w:r>
            <w:r w:rsidR="00BD4E04">
              <w:rPr>
                <w:rFonts w:ascii="Times New Roman" w:hAnsi="Times New Roman" w:cs="Times New Roman"/>
                <w:b/>
                <w:sz w:val="20"/>
                <w:szCs w:val="20"/>
              </w:rPr>
              <w:t xml:space="preserve"> (in DF)</w:t>
            </w:r>
          </w:p>
        </w:tc>
      </w:tr>
      <w:tr w:rsidR="00504398" w:rsidRPr="001000E9" w:rsidTr="007A3FA3">
        <w:trPr>
          <w:trHeight w:hRule="exact" w:val="557"/>
        </w:trPr>
        <w:tc>
          <w:tcPr>
            <w:tcW w:w="714"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w:t>
            </w:r>
          </w:p>
        </w:tc>
        <w:tc>
          <w:tcPr>
            <w:tcW w:w="155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Rural + urban outside</w:t>
            </w:r>
          </w:p>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Djibouti-ville</w:t>
            </w:r>
          </w:p>
        </w:tc>
        <w:tc>
          <w:tcPr>
            <w:tcW w:w="1222"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1513" w:type="pct"/>
            <w:tcBorders>
              <w:top w:val="single" w:sz="8" w:space="0" w:color="000000"/>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6,935</w:t>
            </w:r>
          </w:p>
        </w:tc>
      </w:tr>
      <w:tr w:rsidR="00504398" w:rsidRPr="001000E9" w:rsidTr="00BD4E04">
        <w:trPr>
          <w:trHeight w:hRule="exact" w:val="317"/>
        </w:trPr>
        <w:tc>
          <w:tcPr>
            <w:tcW w:w="714"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2</w:t>
            </w:r>
          </w:p>
        </w:tc>
        <w:tc>
          <w:tcPr>
            <w:tcW w:w="1551"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1513"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9,268</w:t>
            </w:r>
          </w:p>
        </w:tc>
      </w:tr>
      <w:tr w:rsidR="00504398" w:rsidRPr="001000E9" w:rsidTr="00BD4E04">
        <w:trPr>
          <w:trHeight w:hRule="exact" w:val="317"/>
        </w:trPr>
        <w:tc>
          <w:tcPr>
            <w:tcW w:w="714"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3</w:t>
            </w:r>
          </w:p>
        </w:tc>
        <w:tc>
          <w:tcPr>
            <w:tcW w:w="1551"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 xml:space="preserve"> </w:t>
            </w:r>
          </w:p>
        </w:tc>
        <w:tc>
          <w:tcPr>
            <w:tcW w:w="1222"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1513"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35,826</w:t>
            </w:r>
          </w:p>
        </w:tc>
      </w:tr>
      <w:tr w:rsidR="00504398" w:rsidRPr="001000E9" w:rsidTr="007A3FA3">
        <w:trPr>
          <w:trHeight w:hRule="exact" w:val="389"/>
        </w:trPr>
        <w:tc>
          <w:tcPr>
            <w:tcW w:w="714"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4</w:t>
            </w:r>
          </w:p>
        </w:tc>
        <w:tc>
          <w:tcPr>
            <w:tcW w:w="1551"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Rural only</w:t>
            </w:r>
          </w:p>
        </w:tc>
        <w:tc>
          <w:tcPr>
            <w:tcW w:w="1222"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1513" w:type="pct"/>
            <w:tcBorders>
              <w:top w:val="dotted" w:sz="6" w:space="0" w:color="auto"/>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11,560</w:t>
            </w:r>
          </w:p>
        </w:tc>
      </w:tr>
      <w:tr w:rsidR="00504398" w:rsidRPr="001000E9" w:rsidTr="00BD4E04">
        <w:trPr>
          <w:trHeight w:hRule="exact" w:val="317"/>
        </w:trPr>
        <w:tc>
          <w:tcPr>
            <w:tcW w:w="714"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5</w:t>
            </w:r>
          </w:p>
        </w:tc>
        <w:tc>
          <w:tcPr>
            <w:tcW w:w="1551"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1513"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15,717</w:t>
            </w:r>
          </w:p>
        </w:tc>
      </w:tr>
      <w:tr w:rsidR="00504398" w:rsidRPr="001000E9" w:rsidTr="00BD4E04">
        <w:trPr>
          <w:trHeight w:hRule="exact" w:val="317"/>
        </w:trPr>
        <w:tc>
          <w:tcPr>
            <w:tcW w:w="714"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6</w:t>
            </w:r>
          </w:p>
        </w:tc>
        <w:tc>
          <w:tcPr>
            <w:tcW w:w="1551"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1513"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54,940</w:t>
            </w:r>
          </w:p>
        </w:tc>
      </w:tr>
      <w:tr w:rsidR="00504398" w:rsidRPr="001000E9" w:rsidTr="007A3FA3">
        <w:trPr>
          <w:trHeight w:val="294"/>
        </w:trPr>
        <w:tc>
          <w:tcPr>
            <w:tcW w:w="714"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7</w:t>
            </w:r>
          </w:p>
        </w:tc>
        <w:tc>
          <w:tcPr>
            <w:tcW w:w="1551"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Rural + urban in first quintile</w:t>
            </w:r>
          </w:p>
        </w:tc>
        <w:tc>
          <w:tcPr>
            <w:tcW w:w="1222"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1513" w:type="pct"/>
            <w:tcBorders>
              <w:top w:val="dotted" w:sz="6" w:space="0" w:color="auto"/>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7,675</w:t>
            </w:r>
          </w:p>
        </w:tc>
      </w:tr>
      <w:tr w:rsidR="00504398" w:rsidRPr="001000E9" w:rsidTr="00BD4E04">
        <w:trPr>
          <w:trHeight w:hRule="exact" w:val="317"/>
        </w:trPr>
        <w:tc>
          <w:tcPr>
            <w:tcW w:w="714"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8</w:t>
            </w:r>
          </w:p>
        </w:tc>
        <w:tc>
          <w:tcPr>
            <w:tcW w:w="1551"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1513"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10,259</w:t>
            </w:r>
          </w:p>
        </w:tc>
      </w:tr>
      <w:tr w:rsidR="00504398" w:rsidRPr="001000E9" w:rsidTr="00BD4E04">
        <w:trPr>
          <w:trHeight w:hRule="exact" w:val="317"/>
        </w:trPr>
        <w:tc>
          <w:tcPr>
            <w:tcW w:w="714"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9</w:t>
            </w:r>
          </w:p>
        </w:tc>
        <w:tc>
          <w:tcPr>
            <w:tcW w:w="1551"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1513"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42,550</w:t>
            </w:r>
          </w:p>
        </w:tc>
      </w:tr>
      <w:tr w:rsidR="00504398" w:rsidRPr="001000E9" w:rsidTr="007A3FA3">
        <w:trPr>
          <w:trHeight w:hRule="exact" w:val="435"/>
        </w:trPr>
        <w:tc>
          <w:tcPr>
            <w:tcW w:w="714"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10</w:t>
            </w:r>
          </w:p>
        </w:tc>
        <w:tc>
          <w:tcPr>
            <w:tcW w:w="1551"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First quintile with unique transfer</w:t>
            </w:r>
          </w:p>
        </w:tc>
        <w:tc>
          <w:tcPr>
            <w:tcW w:w="1222"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1513" w:type="pct"/>
            <w:tcBorders>
              <w:top w:val="dotted" w:sz="6" w:space="0" w:color="auto"/>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9,306</w:t>
            </w:r>
          </w:p>
        </w:tc>
      </w:tr>
      <w:tr w:rsidR="00504398" w:rsidRPr="001000E9" w:rsidTr="00BD4E04">
        <w:trPr>
          <w:trHeight w:hRule="exact" w:val="317"/>
        </w:trPr>
        <w:tc>
          <w:tcPr>
            <w:tcW w:w="714"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11</w:t>
            </w:r>
          </w:p>
        </w:tc>
        <w:tc>
          <w:tcPr>
            <w:tcW w:w="1551"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1513"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12,418</w:t>
            </w:r>
          </w:p>
        </w:tc>
      </w:tr>
      <w:tr w:rsidR="00504398" w:rsidRPr="001000E9" w:rsidTr="00BD4E04">
        <w:trPr>
          <w:trHeight w:hRule="exact" w:val="317"/>
        </w:trPr>
        <w:tc>
          <w:tcPr>
            <w:tcW w:w="714"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12</w:t>
            </w:r>
          </w:p>
        </w:tc>
        <w:tc>
          <w:tcPr>
            <w:tcW w:w="1551"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1513"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58,748</w:t>
            </w:r>
          </w:p>
        </w:tc>
      </w:tr>
      <w:tr w:rsidR="00504398" w:rsidRPr="001000E9" w:rsidTr="007A3FA3">
        <w:trPr>
          <w:trHeight w:hRule="exact" w:val="579"/>
        </w:trPr>
        <w:tc>
          <w:tcPr>
            <w:tcW w:w="714"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13</w:t>
            </w:r>
          </w:p>
        </w:tc>
        <w:tc>
          <w:tcPr>
            <w:tcW w:w="1551"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First quintile with 2 steps</w:t>
            </w:r>
          </w:p>
        </w:tc>
        <w:tc>
          <w:tcPr>
            <w:tcW w:w="1222"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1513"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10: 13,960</w:t>
            </w:r>
          </w:p>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20: 4,673</w:t>
            </w:r>
          </w:p>
        </w:tc>
      </w:tr>
      <w:tr w:rsidR="00504398" w:rsidRPr="001000E9" w:rsidTr="007A3FA3">
        <w:trPr>
          <w:trHeight w:hRule="exact" w:val="519"/>
        </w:trPr>
        <w:tc>
          <w:tcPr>
            <w:tcW w:w="714"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14</w:t>
            </w:r>
          </w:p>
        </w:tc>
        <w:tc>
          <w:tcPr>
            <w:tcW w:w="1551"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1513"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10: 18,811</w:t>
            </w:r>
          </w:p>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20: 6,176</w:t>
            </w:r>
          </w:p>
        </w:tc>
      </w:tr>
      <w:tr w:rsidR="00504398" w:rsidRPr="001000E9" w:rsidTr="007A3FA3">
        <w:trPr>
          <w:trHeight w:hRule="exact" w:val="537"/>
        </w:trPr>
        <w:tc>
          <w:tcPr>
            <w:tcW w:w="714"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15</w:t>
            </w:r>
          </w:p>
        </w:tc>
        <w:tc>
          <w:tcPr>
            <w:tcW w:w="1551"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1513"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10: 90,133</w:t>
            </w:r>
          </w:p>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20: 28,863</w:t>
            </w:r>
          </w:p>
        </w:tc>
      </w:tr>
      <w:tr w:rsidR="00504398" w:rsidRPr="001000E9" w:rsidTr="007A3FA3">
        <w:trPr>
          <w:trHeight w:hRule="exact" w:val="566"/>
        </w:trPr>
        <w:tc>
          <w:tcPr>
            <w:tcW w:w="714"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16</w:t>
            </w:r>
          </w:p>
        </w:tc>
        <w:tc>
          <w:tcPr>
            <w:tcW w:w="155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First quintile with 4 steps</w:t>
            </w:r>
          </w:p>
        </w:tc>
        <w:tc>
          <w:tcPr>
            <w:tcW w:w="1222"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1513"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5: 15,245</w:t>
            </w:r>
          </w:p>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10: 12,670</w:t>
            </w:r>
          </w:p>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percentile 15: 7,066</w:t>
            </w:r>
          </w:p>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percentile 20: 2,288</w:t>
            </w:r>
          </w:p>
        </w:tc>
      </w:tr>
      <w:tr w:rsidR="00504398" w:rsidRPr="001000E9" w:rsidTr="00EF6B01">
        <w:trPr>
          <w:trHeight w:hRule="exact" w:val="510"/>
        </w:trPr>
        <w:tc>
          <w:tcPr>
            <w:tcW w:w="714" w:type="pct"/>
            <w:tcBorders>
              <w:top w:val="nil"/>
              <w:left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17</w:t>
            </w:r>
          </w:p>
        </w:tc>
        <w:tc>
          <w:tcPr>
            <w:tcW w:w="1551" w:type="pct"/>
            <w:tcBorders>
              <w:top w:val="nil"/>
              <w:left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1513" w:type="pct"/>
            <w:tcBorders>
              <w:top w:val="nil"/>
              <w:left w:val="nil"/>
              <w:right w:val="nil"/>
            </w:tcBorders>
            <w:shd w:val="clear" w:color="auto" w:fill="auto"/>
            <w:tcMar>
              <w:top w:w="15" w:type="dxa"/>
              <w:left w:w="108" w:type="dxa"/>
              <w:bottom w:w="0" w:type="dxa"/>
              <w:right w:w="108" w:type="dxa"/>
            </w:tcMar>
            <w:hideMark/>
          </w:tcPr>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5: 20,629</w:t>
            </w:r>
          </w:p>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10: 17,001</w:t>
            </w:r>
          </w:p>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percentile 15: 9,313</w:t>
            </w:r>
          </w:p>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percentile 20: 3,031</w:t>
            </w:r>
          </w:p>
        </w:tc>
      </w:tr>
      <w:tr w:rsidR="00504398" w:rsidRPr="001000E9" w:rsidTr="00EF6B01">
        <w:trPr>
          <w:trHeight w:val="489"/>
        </w:trPr>
        <w:tc>
          <w:tcPr>
            <w:tcW w:w="714" w:type="pct"/>
            <w:tcBorders>
              <w:top w:val="nil"/>
              <w:left w:val="nil"/>
              <w:bottom w:val="double" w:sz="4"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18</w:t>
            </w:r>
          </w:p>
        </w:tc>
        <w:tc>
          <w:tcPr>
            <w:tcW w:w="1551" w:type="pct"/>
            <w:tcBorders>
              <w:top w:val="nil"/>
              <w:left w:val="nil"/>
              <w:bottom w:val="double" w:sz="4"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222" w:type="pct"/>
            <w:tcBorders>
              <w:top w:val="nil"/>
              <w:left w:val="nil"/>
              <w:bottom w:val="double" w:sz="4"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1513" w:type="pct"/>
            <w:tcBorders>
              <w:top w:val="nil"/>
              <w:left w:val="nil"/>
              <w:bottom w:val="double" w:sz="4" w:space="0" w:color="auto"/>
              <w:right w:val="nil"/>
            </w:tcBorders>
            <w:shd w:val="clear" w:color="auto" w:fill="auto"/>
            <w:tcMar>
              <w:top w:w="15" w:type="dxa"/>
              <w:left w:w="108" w:type="dxa"/>
              <w:bottom w:w="0" w:type="dxa"/>
              <w:right w:w="108" w:type="dxa"/>
            </w:tcMar>
            <w:hideMark/>
          </w:tcPr>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5: 110,709</w:t>
            </w:r>
          </w:p>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10: 73,607</w:t>
            </w:r>
          </w:p>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15: 42,777</w:t>
            </w:r>
          </w:p>
          <w:p w:rsidR="00504398" w:rsidRPr="001000E9" w:rsidRDefault="00152878" w:rsidP="00D56EDF">
            <w:pPr>
              <w:spacing w:after="0"/>
              <w:jc w:val="center"/>
              <w:rPr>
                <w:rFonts w:ascii="Times New Roman" w:hAnsi="Times New Roman" w:cs="Times New Roman"/>
                <w:sz w:val="20"/>
                <w:szCs w:val="20"/>
              </w:rPr>
            </w:pPr>
            <w:r>
              <w:rPr>
                <w:rFonts w:ascii="Times New Roman" w:hAnsi="Times New Roman" w:cs="Times New Roman"/>
                <w:sz w:val="20"/>
                <w:szCs w:val="20"/>
              </w:rPr>
              <w:t>P</w:t>
            </w:r>
            <w:r w:rsidR="00504398" w:rsidRPr="001000E9">
              <w:rPr>
                <w:rFonts w:ascii="Times New Roman" w:hAnsi="Times New Roman" w:cs="Times New Roman"/>
                <w:sz w:val="20"/>
                <w:szCs w:val="20"/>
              </w:rPr>
              <w:t>ercentile 20: 14,417</w:t>
            </w:r>
          </w:p>
        </w:tc>
      </w:tr>
    </w:tbl>
    <w:p w:rsidR="00504398" w:rsidRPr="00875228" w:rsidRDefault="00504398" w:rsidP="001000E9">
      <w:pPr>
        <w:spacing w:after="0" w:line="240" w:lineRule="auto"/>
        <w:rPr>
          <w:rFonts w:ascii="Times New Roman" w:hAnsi="Times New Roman" w:cs="Times New Roman"/>
          <w:i/>
        </w:rPr>
      </w:pPr>
      <w:r w:rsidRPr="003D0379">
        <w:rPr>
          <w:rFonts w:ascii="Times New Roman" w:hAnsi="Times New Roman" w:cs="Times New Roman"/>
          <w:i/>
          <w:sz w:val="18"/>
          <w:szCs w:val="20"/>
        </w:rPr>
        <w:t>Source:</w:t>
      </w:r>
      <w:r w:rsidRPr="00553D7A">
        <w:rPr>
          <w:rFonts w:ascii="Times New Roman" w:hAnsi="Times New Roman"/>
          <w:sz w:val="18"/>
          <w:szCs w:val="18"/>
        </w:rPr>
        <w:t xml:space="preserve"> World Bank calculation based on the EDAM 3</w:t>
      </w:r>
      <w:r w:rsidR="0085074C">
        <w:rPr>
          <w:rFonts w:ascii="Times New Roman" w:hAnsi="Times New Roman"/>
          <w:sz w:val="18"/>
          <w:szCs w:val="18"/>
        </w:rPr>
        <w:t xml:space="preserve"> (2012 prices).</w:t>
      </w:r>
    </w:p>
    <w:p w:rsidR="00504398" w:rsidRPr="0080720F" w:rsidRDefault="00BD4E04" w:rsidP="00504398">
      <w:pPr>
        <w:pStyle w:val="Head3"/>
        <w:rPr>
          <w:b w:val="0"/>
          <w:i/>
        </w:rPr>
      </w:pPr>
      <w:r>
        <w:rPr>
          <w:b w:val="0"/>
          <w:i/>
        </w:rPr>
        <w:t>Destitution</w:t>
      </w:r>
      <w:r w:rsidR="00504398" w:rsidRPr="0080720F">
        <w:rPr>
          <w:b w:val="0"/>
          <w:i/>
        </w:rPr>
        <w:t xml:space="preserve"> Head</w:t>
      </w:r>
      <w:r w:rsidR="005A582C">
        <w:rPr>
          <w:b w:val="0"/>
          <w:i/>
        </w:rPr>
        <w:t xml:space="preserve"> C</w:t>
      </w:r>
      <w:r w:rsidR="00504398" w:rsidRPr="0080720F">
        <w:rPr>
          <w:b w:val="0"/>
          <w:i/>
        </w:rPr>
        <w:t>ount</w:t>
      </w:r>
    </w:p>
    <w:p w:rsidR="00504398" w:rsidRPr="0080720F"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sz w:val="18"/>
        </w:rPr>
      </w:pPr>
      <w:r w:rsidRPr="0080720F">
        <w:rPr>
          <w:rFonts w:ascii="Times New Roman" w:hAnsi="Times New Roman"/>
        </w:rPr>
        <w:t xml:space="preserve">The largest decline in </w:t>
      </w:r>
      <w:r w:rsidR="00BD4E04">
        <w:rPr>
          <w:rFonts w:ascii="Times New Roman" w:hAnsi="Times New Roman"/>
        </w:rPr>
        <w:t>destitution</w:t>
      </w:r>
      <w:r w:rsidRPr="0080720F">
        <w:rPr>
          <w:rFonts w:ascii="Times New Roman" w:hAnsi="Times New Roman"/>
        </w:rPr>
        <w:t xml:space="preserve"> head</w:t>
      </w:r>
      <w:r w:rsidR="009E6F6B">
        <w:rPr>
          <w:rFonts w:ascii="Times New Roman" w:hAnsi="Times New Roman"/>
        </w:rPr>
        <w:t xml:space="preserve"> </w:t>
      </w:r>
      <w:r w:rsidRPr="0080720F">
        <w:rPr>
          <w:rFonts w:ascii="Times New Roman" w:hAnsi="Times New Roman"/>
        </w:rPr>
        <w:t xml:space="preserve">count is achieved when targeting the first quintile. </w:t>
      </w:r>
      <w:r w:rsidR="006803CD">
        <w:rPr>
          <w:rFonts w:ascii="Times New Roman" w:hAnsi="Times New Roman"/>
        </w:rPr>
        <w:t xml:space="preserve">The </w:t>
      </w:r>
      <w:r w:rsidR="00BD4E04">
        <w:rPr>
          <w:rFonts w:ascii="Times New Roman" w:hAnsi="Times New Roman"/>
        </w:rPr>
        <w:t>destitution</w:t>
      </w:r>
      <w:r w:rsidRPr="0080720F">
        <w:rPr>
          <w:rFonts w:ascii="Times New Roman" w:hAnsi="Times New Roman"/>
        </w:rPr>
        <w:t xml:space="preserve"> head</w:t>
      </w:r>
      <w:r w:rsidR="009E6F6B">
        <w:rPr>
          <w:rFonts w:ascii="Times New Roman" w:hAnsi="Times New Roman"/>
        </w:rPr>
        <w:t xml:space="preserve"> </w:t>
      </w:r>
      <w:r w:rsidRPr="0080720F">
        <w:rPr>
          <w:rFonts w:ascii="Times New Roman" w:hAnsi="Times New Roman"/>
        </w:rPr>
        <w:t>count (P0)</w:t>
      </w:r>
      <w:r w:rsidR="006803CD">
        <w:rPr>
          <w:rFonts w:ascii="Times New Roman" w:hAnsi="Times New Roman"/>
        </w:rPr>
        <w:t xml:space="preserve"> is defined as the first quintile. </w:t>
      </w:r>
      <w:r w:rsidRPr="0080720F">
        <w:rPr>
          <w:rFonts w:ascii="Times New Roman" w:hAnsi="Times New Roman"/>
        </w:rPr>
        <w:t xml:space="preserve">Overall, with a total budget of DF 1 billion, the effect on </w:t>
      </w:r>
      <w:r w:rsidR="00BD4E04">
        <w:rPr>
          <w:rFonts w:ascii="Times New Roman" w:hAnsi="Times New Roman"/>
        </w:rPr>
        <w:t>destitution</w:t>
      </w:r>
      <w:r w:rsidRPr="0080720F">
        <w:rPr>
          <w:rFonts w:ascii="Times New Roman" w:hAnsi="Times New Roman"/>
        </w:rPr>
        <w:t xml:space="preserve"> head</w:t>
      </w:r>
      <w:r w:rsidR="005A582C">
        <w:rPr>
          <w:rFonts w:ascii="Times New Roman" w:hAnsi="Times New Roman"/>
        </w:rPr>
        <w:t xml:space="preserve"> </w:t>
      </w:r>
      <w:r w:rsidRPr="0080720F">
        <w:rPr>
          <w:rFonts w:ascii="Times New Roman" w:hAnsi="Times New Roman"/>
        </w:rPr>
        <w:t xml:space="preserve">count is limited if we concentrate mainly on rural households without taking into account urban households from the first quintile. The </w:t>
      </w:r>
      <w:r w:rsidRPr="00152878">
        <w:rPr>
          <w:rFonts w:ascii="Times New Roman" w:hAnsi="Times New Roman"/>
        </w:rPr>
        <w:t xml:space="preserve">largest decline in </w:t>
      </w:r>
      <w:r w:rsidR="00BD4E04">
        <w:rPr>
          <w:rFonts w:ascii="Times New Roman" w:hAnsi="Times New Roman"/>
        </w:rPr>
        <w:t>destitution</w:t>
      </w:r>
      <w:r w:rsidRPr="00152878">
        <w:rPr>
          <w:rFonts w:ascii="Times New Roman" w:hAnsi="Times New Roman"/>
        </w:rPr>
        <w:t xml:space="preserve"> head</w:t>
      </w:r>
      <w:r w:rsidR="005A582C" w:rsidRPr="00152878">
        <w:rPr>
          <w:rFonts w:ascii="Times New Roman" w:hAnsi="Times New Roman"/>
        </w:rPr>
        <w:t xml:space="preserve"> </w:t>
      </w:r>
      <w:r w:rsidRPr="00152878">
        <w:rPr>
          <w:rFonts w:ascii="Times New Roman" w:hAnsi="Times New Roman"/>
        </w:rPr>
        <w:t>count</w:t>
      </w:r>
      <w:r w:rsidRPr="0080720F">
        <w:rPr>
          <w:rFonts w:ascii="Times New Roman" w:hAnsi="Times New Roman"/>
        </w:rPr>
        <w:t xml:space="preserve"> with a </w:t>
      </w:r>
      <w:r w:rsidR="005A582C">
        <w:rPr>
          <w:rFonts w:ascii="Times New Roman" w:hAnsi="Times New Roman"/>
        </w:rPr>
        <w:t xml:space="preserve">budget of </w:t>
      </w:r>
      <w:r w:rsidRPr="0080720F">
        <w:rPr>
          <w:rFonts w:ascii="Times New Roman" w:hAnsi="Times New Roman"/>
        </w:rPr>
        <w:t>DF 1 billion targets the first quintile and transfers a uniform amount.</w:t>
      </w:r>
    </w:p>
    <w:p w:rsidR="00504398" w:rsidRPr="0080720F"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sz w:val="18"/>
        </w:rPr>
      </w:pPr>
      <w:r w:rsidRPr="0080720F">
        <w:rPr>
          <w:rFonts w:ascii="Times New Roman" w:hAnsi="Times New Roman"/>
        </w:rPr>
        <w:t xml:space="preserve">With a larger budget of DF 3 billion, it would be possible to almost halve the </w:t>
      </w:r>
      <w:r w:rsidR="00BD4E04">
        <w:rPr>
          <w:rFonts w:ascii="Times New Roman" w:hAnsi="Times New Roman"/>
        </w:rPr>
        <w:t>destitution</w:t>
      </w:r>
      <w:r w:rsidRPr="0080720F">
        <w:rPr>
          <w:rFonts w:ascii="Times New Roman" w:hAnsi="Times New Roman"/>
        </w:rPr>
        <w:t xml:space="preserve"> head</w:t>
      </w:r>
      <w:r w:rsidR="005A582C">
        <w:rPr>
          <w:rFonts w:ascii="Times New Roman" w:hAnsi="Times New Roman"/>
        </w:rPr>
        <w:t xml:space="preserve"> </w:t>
      </w:r>
      <w:r w:rsidRPr="0080720F">
        <w:rPr>
          <w:rFonts w:ascii="Times New Roman" w:hAnsi="Times New Roman"/>
        </w:rPr>
        <w:t xml:space="preserve">count using any of the schemes that target the first quintile. </w:t>
      </w:r>
      <w:r w:rsidR="005A582C">
        <w:rPr>
          <w:rFonts w:ascii="Times New Roman" w:hAnsi="Times New Roman"/>
        </w:rPr>
        <w:t>By u</w:t>
      </w:r>
      <w:r w:rsidRPr="0080720F">
        <w:rPr>
          <w:rFonts w:ascii="Times New Roman" w:hAnsi="Times New Roman"/>
        </w:rPr>
        <w:t xml:space="preserve">sing such a </w:t>
      </w:r>
      <w:r w:rsidR="00BD4E04">
        <w:rPr>
          <w:rFonts w:ascii="Times New Roman" w:hAnsi="Times New Roman"/>
        </w:rPr>
        <w:t>destitution</w:t>
      </w:r>
      <w:r w:rsidRPr="0080720F">
        <w:rPr>
          <w:rFonts w:ascii="Times New Roman" w:hAnsi="Times New Roman"/>
        </w:rPr>
        <w:t xml:space="preserve"> head</w:t>
      </w:r>
      <w:r w:rsidR="005A582C">
        <w:rPr>
          <w:rFonts w:ascii="Times New Roman" w:hAnsi="Times New Roman"/>
        </w:rPr>
        <w:t xml:space="preserve"> </w:t>
      </w:r>
      <w:r w:rsidRPr="0080720F">
        <w:rPr>
          <w:rFonts w:ascii="Times New Roman" w:hAnsi="Times New Roman"/>
        </w:rPr>
        <w:t>count as a measure of efficiency, however, it is not clear whether an individual</w:t>
      </w:r>
      <w:r w:rsidR="005A582C">
        <w:rPr>
          <w:rFonts w:ascii="Times New Roman" w:hAnsi="Times New Roman"/>
        </w:rPr>
        <w:t>-</w:t>
      </w:r>
      <w:r w:rsidRPr="0080720F">
        <w:rPr>
          <w:rFonts w:ascii="Times New Roman" w:hAnsi="Times New Roman"/>
        </w:rPr>
        <w:t xml:space="preserve"> or a household-based scheme is more efficient at reducing </w:t>
      </w:r>
      <w:r w:rsidR="00BD4E04">
        <w:rPr>
          <w:rFonts w:ascii="Times New Roman" w:hAnsi="Times New Roman"/>
        </w:rPr>
        <w:t>destitution</w:t>
      </w:r>
      <w:r w:rsidRPr="0080720F">
        <w:rPr>
          <w:rFonts w:ascii="Times New Roman" w:hAnsi="Times New Roman"/>
        </w:rPr>
        <w:t xml:space="preserve">. The main problem </w:t>
      </w:r>
      <w:r w:rsidR="00152878">
        <w:rPr>
          <w:rFonts w:ascii="Times New Roman" w:hAnsi="Times New Roman"/>
        </w:rPr>
        <w:t>in</w:t>
      </w:r>
      <w:r w:rsidR="005A582C">
        <w:rPr>
          <w:rFonts w:ascii="Times New Roman" w:hAnsi="Times New Roman"/>
        </w:rPr>
        <w:t xml:space="preserve"> </w:t>
      </w:r>
      <w:r w:rsidRPr="0080720F">
        <w:rPr>
          <w:rFonts w:ascii="Times New Roman" w:hAnsi="Times New Roman"/>
        </w:rPr>
        <w:t>using a poverty head</w:t>
      </w:r>
      <w:r w:rsidR="005A582C">
        <w:rPr>
          <w:rFonts w:ascii="Times New Roman" w:hAnsi="Times New Roman"/>
        </w:rPr>
        <w:t xml:space="preserve"> </w:t>
      </w:r>
      <w:r w:rsidRPr="0080720F">
        <w:rPr>
          <w:rFonts w:ascii="Times New Roman" w:hAnsi="Times New Roman"/>
        </w:rPr>
        <w:t>count to assess the different schemes is that no weight is given when an extremely poor household receives an important transfer while remaining below the poverty line. Actually</w:t>
      </w:r>
      <w:r w:rsidR="005A582C">
        <w:rPr>
          <w:rFonts w:ascii="Times New Roman" w:hAnsi="Times New Roman"/>
        </w:rPr>
        <w:t>,</w:t>
      </w:r>
      <w:r w:rsidRPr="0080720F">
        <w:rPr>
          <w:rFonts w:ascii="Times New Roman" w:hAnsi="Times New Roman"/>
        </w:rPr>
        <w:t xml:space="preserve"> we can imagine an extreme case where all the poorest households would </w:t>
      </w:r>
      <w:r w:rsidRPr="0080720F">
        <w:rPr>
          <w:rFonts w:ascii="Times New Roman" w:hAnsi="Times New Roman"/>
        </w:rPr>
        <w:lastRenderedPageBreak/>
        <w:t xml:space="preserve">be much better off but still poor if none of the amount transferred makes them go over the poverty line. </w:t>
      </w:r>
      <w:r w:rsidR="005A582C">
        <w:rPr>
          <w:rFonts w:ascii="Times New Roman" w:hAnsi="Times New Roman"/>
        </w:rPr>
        <w:t>Due to this,</w:t>
      </w:r>
      <w:r w:rsidRPr="0080720F">
        <w:rPr>
          <w:rFonts w:ascii="Times New Roman" w:hAnsi="Times New Roman"/>
        </w:rPr>
        <w:t xml:space="preserve"> we should focus on </w:t>
      </w:r>
      <w:r w:rsidR="00BD4E04">
        <w:rPr>
          <w:rFonts w:ascii="Times New Roman" w:hAnsi="Times New Roman"/>
        </w:rPr>
        <w:t>destitution</w:t>
      </w:r>
      <w:r w:rsidRPr="0080720F">
        <w:rPr>
          <w:rFonts w:ascii="Times New Roman" w:hAnsi="Times New Roman"/>
        </w:rPr>
        <w:t xml:space="preserve"> gap as a measure of </w:t>
      </w:r>
      <w:r w:rsidR="00BD4E04">
        <w:rPr>
          <w:rFonts w:ascii="Times New Roman" w:hAnsi="Times New Roman"/>
        </w:rPr>
        <w:t>destitution</w:t>
      </w:r>
      <w:r w:rsidRPr="0080720F">
        <w:rPr>
          <w:rFonts w:ascii="Times New Roman" w:hAnsi="Times New Roman"/>
        </w:rPr>
        <w:t>.</w:t>
      </w:r>
    </w:p>
    <w:p w:rsidR="00504398" w:rsidRPr="0080720F" w:rsidRDefault="00BD4E04" w:rsidP="00504398">
      <w:pPr>
        <w:pStyle w:val="Head3"/>
        <w:rPr>
          <w:b w:val="0"/>
          <w:i/>
        </w:rPr>
      </w:pPr>
      <w:r>
        <w:rPr>
          <w:b w:val="0"/>
          <w:i/>
        </w:rPr>
        <w:t>Destitution</w:t>
      </w:r>
      <w:r w:rsidR="00504398" w:rsidRPr="0080720F">
        <w:rPr>
          <w:b w:val="0"/>
          <w:i/>
        </w:rPr>
        <w:t xml:space="preserve"> Gap</w:t>
      </w:r>
    </w:p>
    <w:p w:rsidR="000C6F02" w:rsidRPr="001000E9" w:rsidRDefault="00504398" w:rsidP="00600CD2">
      <w:pPr>
        <w:widowControl w:val="0"/>
        <w:numPr>
          <w:ilvl w:val="0"/>
          <w:numId w:val="1"/>
        </w:numPr>
        <w:autoSpaceDE w:val="0"/>
        <w:autoSpaceDN w:val="0"/>
        <w:adjustRightInd w:val="0"/>
        <w:spacing w:after="240" w:line="240" w:lineRule="auto"/>
        <w:ind w:left="0" w:firstLine="0"/>
        <w:jc w:val="both"/>
        <w:rPr>
          <w:rFonts w:ascii="Times New Roman" w:hAnsi="Times New Roman" w:cs="Times New Roman"/>
        </w:rPr>
      </w:pPr>
      <w:r w:rsidRPr="001000E9">
        <w:rPr>
          <w:rFonts w:ascii="Times New Roman" w:hAnsi="Times New Roman" w:cs="Times New Roman"/>
        </w:rPr>
        <w:t xml:space="preserve">To reduce the </w:t>
      </w:r>
      <w:r w:rsidR="00BD4E04">
        <w:rPr>
          <w:rFonts w:ascii="Times New Roman" w:hAnsi="Times New Roman" w:cs="Times New Roman"/>
        </w:rPr>
        <w:t>destitution</w:t>
      </w:r>
      <w:r w:rsidRPr="001000E9">
        <w:rPr>
          <w:rFonts w:ascii="Times New Roman" w:hAnsi="Times New Roman" w:cs="Times New Roman"/>
        </w:rPr>
        <w:t xml:space="preserve"> gap, targeting the first quintile is more efficient than any of the schemes focusing on rural households.</w:t>
      </w:r>
      <w:r w:rsidRPr="001000E9">
        <w:rPr>
          <w:rFonts w:ascii="Times New Roman" w:hAnsi="Times New Roman" w:cs="Times New Roman"/>
          <w:b/>
        </w:rPr>
        <w:t xml:space="preserve"> </w:t>
      </w:r>
      <w:r w:rsidRPr="00257B89">
        <w:rPr>
          <w:rFonts w:ascii="Times New Roman" w:hAnsi="Times New Roman" w:cs="Times New Roman"/>
        </w:rPr>
        <w:t xml:space="preserve">The </w:t>
      </w:r>
      <w:r w:rsidR="00BD4E04">
        <w:rPr>
          <w:rFonts w:ascii="Times New Roman" w:hAnsi="Times New Roman" w:cs="Times New Roman"/>
          <w:color w:val="252525"/>
          <w:shd w:val="clear" w:color="auto" w:fill="FFFFFF"/>
        </w:rPr>
        <w:t>destitution</w:t>
      </w:r>
      <w:r w:rsidRPr="00257B89">
        <w:rPr>
          <w:rFonts w:ascii="Times New Roman" w:hAnsi="Times New Roman" w:cs="Times New Roman"/>
          <w:color w:val="252525"/>
          <w:shd w:val="clear" w:color="auto" w:fill="FFFFFF"/>
        </w:rPr>
        <w:t xml:space="preserve"> gap</w:t>
      </w:r>
      <w:r w:rsidRPr="001000E9">
        <w:rPr>
          <w:rFonts w:ascii="Times New Roman" w:hAnsi="Times New Roman" w:cs="Times New Roman"/>
          <w:color w:val="252525"/>
          <w:shd w:val="clear" w:color="auto" w:fill="FFFFFF"/>
        </w:rPr>
        <w:t xml:space="preserve"> index </w:t>
      </w:r>
      <w:r w:rsidRPr="005A582C">
        <w:rPr>
          <w:rFonts w:ascii="Times New Roman" w:hAnsi="Times New Roman" w:cs="Times New Roman"/>
          <w:color w:val="252525"/>
          <w:shd w:val="clear" w:color="auto" w:fill="FFFFFF"/>
        </w:rPr>
        <w:t>(</w:t>
      </w:r>
      <w:r w:rsidR="005A582C" w:rsidRPr="005A582C">
        <w:rPr>
          <w:rFonts w:ascii="Times New Roman" w:hAnsi="Times New Roman" w:cs="Times New Roman"/>
          <w:color w:val="252525"/>
          <w:shd w:val="clear" w:color="auto" w:fill="FFFFFF"/>
        </w:rPr>
        <w:t xml:space="preserve">PGI or </w:t>
      </w:r>
      <w:r w:rsidRPr="005A582C">
        <w:rPr>
          <w:rFonts w:ascii="Times New Roman" w:hAnsi="Times New Roman" w:cs="Times New Roman"/>
          <w:color w:val="252525"/>
          <w:shd w:val="clear" w:color="auto" w:fill="FFFFFF"/>
        </w:rPr>
        <w:t>P1)</w:t>
      </w:r>
      <w:r w:rsidRPr="001000E9">
        <w:rPr>
          <w:rFonts w:ascii="Times New Roman" w:hAnsi="Times New Roman" w:cs="Times New Roman"/>
          <w:color w:val="252525"/>
          <w:shd w:val="clear" w:color="auto" w:fill="FFFFFF"/>
        </w:rPr>
        <w:t xml:space="preserve"> estimates the depth of </w:t>
      </w:r>
      <w:r w:rsidR="00BD4E04">
        <w:rPr>
          <w:rFonts w:ascii="Times New Roman" w:hAnsi="Times New Roman" w:cs="Times New Roman"/>
          <w:color w:val="252525"/>
          <w:shd w:val="clear" w:color="auto" w:fill="FFFFFF"/>
        </w:rPr>
        <w:t>destitution</w:t>
      </w:r>
      <w:r w:rsidRPr="001000E9">
        <w:rPr>
          <w:rFonts w:ascii="Times New Roman" w:hAnsi="Times New Roman" w:cs="Times New Roman"/>
          <w:color w:val="252525"/>
          <w:shd w:val="clear" w:color="auto" w:fill="FFFFFF"/>
        </w:rPr>
        <w:t xml:space="preserve"> by considering how far, on average, the poor are from that </w:t>
      </w:r>
      <w:r w:rsidR="00BD4E04">
        <w:rPr>
          <w:rFonts w:ascii="Times New Roman" w:hAnsi="Times New Roman" w:cs="Times New Roman"/>
          <w:color w:val="252525"/>
          <w:shd w:val="clear" w:color="auto" w:fill="FFFFFF"/>
        </w:rPr>
        <w:t>destitution</w:t>
      </w:r>
      <w:r w:rsidRPr="001000E9">
        <w:rPr>
          <w:rFonts w:ascii="Times New Roman" w:hAnsi="Times New Roman" w:cs="Times New Roman"/>
          <w:color w:val="252525"/>
          <w:shd w:val="clear" w:color="auto" w:fill="FFFFFF"/>
        </w:rPr>
        <w:t xml:space="preserve"> line. It is defined as the average </w:t>
      </w:r>
      <w:r w:rsidR="00BD4E04">
        <w:rPr>
          <w:rFonts w:ascii="Times New Roman" w:hAnsi="Times New Roman" w:cs="Times New Roman"/>
          <w:color w:val="252525"/>
          <w:shd w:val="clear" w:color="auto" w:fill="FFFFFF"/>
        </w:rPr>
        <w:t>destitution</w:t>
      </w:r>
      <w:r w:rsidRPr="001000E9">
        <w:rPr>
          <w:rFonts w:ascii="Times New Roman" w:hAnsi="Times New Roman" w:cs="Times New Roman"/>
          <w:color w:val="252525"/>
          <w:shd w:val="clear" w:color="auto" w:fill="FFFFFF"/>
        </w:rPr>
        <w:t xml:space="preserve"> gap in the population as a proportion of the </w:t>
      </w:r>
      <w:r w:rsidR="00BD4E04">
        <w:rPr>
          <w:rFonts w:ascii="Times New Roman" w:hAnsi="Times New Roman" w:cs="Times New Roman"/>
          <w:shd w:val="clear" w:color="auto" w:fill="FFFFFF"/>
        </w:rPr>
        <w:t>destitution</w:t>
      </w:r>
      <w:r w:rsidRPr="001000E9">
        <w:rPr>
          <w:rFonts w:ascii="Times New Roman" w:hAnsi="Times New Roman" w:cs="Times New Roman"/>
          <w:shd w:val="clear" w:color="auto" w:fill="FFFFFF"/>
        </w:rPr>
        <w:t xml:space="preserve"> line.</w:t>
      </w:r>
      <w:r w:rsidRPr="001000E9">
        <w:rPr>
          <w:rFonts w:ascii="Times New Roman" w:hAnsi="Times New Roman" w:cs="Times New Roman"/>
          <w:b/>
        </w:rPr>
        <w:t xml:space="preserve"> </w:t>
      </w:r>
      <w:r w:rsidRPr="001000E9">
        <w:rPr>
          <w:rFonts w:ascii="Times New Roman" w:hAnsi="Times New Roman" w:cs="Times New Roman"/>
          <w:color w:val="252525"/>
          <w:shd w:val="clear" w:color="auto" w:fill="FFFFFF"/>
        </w:rPr>
        <w:t xml:space="preserve">In a graph presenting the cumulative welfare function, this is the area below the </w:t>
      </w:r>
      <w:r w:rsidR="00BD4E04">
        <w:rPr>
          <w:rFonts w:ascii="Times New Roman" w:hAnsi="Times New Roman" w:cs="Times New Roman"/>
          <w:color w:val="252525"/>
          <w:shd w:val="clear" w:color="auto" w:fill="FFFFFF"/>
        </w:rPr>
        <w:t>destitution</w:t>
      </w:r>
      <w:r w:rsidRPr="001000E9">
        <w:rPr>
          <w:rFonts w:ascii="Times New Roman" w:hAnsi="Times New Roman" w:cs="Times New Roman"/>
          <w:color w:val="252525"/>
          <w:shd w:val="clear" w:color="auto" w:fill="FFFFFF"/>
        </w:rPr>
        <w:t xml:space="preserve"> line and </w:t>
      </w:r>
      <w:r w:rsidRPr="00152878">
        <w:rPr>
          <w:rFonts w:ascii="Times New Roman" w:hAnsi="Times New Roman" w:cs="Times New Roman"/>
          <w:color w:val="252525"/>
          <w:shd w:val="clear" w:color="auto" w:fill="FFFFFF"/>
        </w:rPr>
        <w:t>on the left</w:t>
      </w:r>
      <w:r w:rsidR="005A582C" w:rsidRPr="00152878">
        <w:rPr>
          <w:rFonts w:ascii="Times New Roman" w:hAnsi="Times New Roman" w:cs="Times New Roman"/>
          <w:color w:val="252525"/>
          <w:shd w:val="clear" w:color="auto" w:fill="FFFFFF"/>
        </w:rPr>
        <w:t>-</w:t>
      </w:r>
      <w:r w:rsidRPr="00152878">
        <w:rPr>
          <w:rFonts w:ascii="Times New Roman" w:hAnsi="Times New Roman" w:cs="Times New Roman"/>
          <w:color w:val="252525"/>
          <w:shd w:val="clear" w:color="auto" w:fill="FFFFFF"/>
        </w:rPr>
        <w:t>hand side of the function</w:t>
      </w:r>
      <w:r w:rsidRPr="001000E9">
        <w:rPr>
          <w:rFonts w:ascii="Times New Roman" w:hAnsi="Times New Roman" w:cs="Times New Roman"/>
          <w:color w:val="252525"/>
          <w:shd w:val="clear" w:color="auto" w:fill="FFFFFF"/>
        </w:rPr>
        <w:t>.</w:t>
      </w:r>
      <w:r w:rsidRPr="001000E9">
        <w:rPr>
          <w:rFonts w:ascii="Times New Roman" w:hAnsi="Times New Roman" w:cs="Times New Roman"/>
          <w:b/>
        </w:rPr>
        <w:t xml:space="preserve"> </w:t>
      </w:r>
      <w:r w:rsidRPr="001000E9">
        <w:rPr>
          <w:rFonts w:ascii="Times New Roman" w:hAnsi="Times New Roman" w:cs="Times New Roman"/>
          <w:color w:val="252525"/>
          <w:shd w:val="clear" w:color="auto" w:fill="FFFFFF"/>
        </w:rPr>
        <w:t xml:space="preserve">Before any transfer, the </w:t>
      </w:r>
      <w:r w:rsidR="00BD4E04">
        <w:rPr>
          <w:rFonts w:ascii="Times New Roman" w:hAnsi="Times New Roman" w:cs="Times New Roman"/>
          <w:color w:val="252525"/>
          <w:shd w:val="clear" w:color="auto" w:fill="FFFFFF"/>
        </w:rPr>
        <w:t>destitution</w:t>
      </w:r>
      <w:r w:rsidRPr="00152878">
        <w:rPr>
          <w:rFonts w:ascii="Times New Roman" w:hAnsi="Times New Roman" w:cs="Times New Roman"/>
          <w:color w:val="252525"/>
          <w:shd w:val="clear" w:color="auto" w:fill="FFFFFF"/>
        </w:rPr>
        <w:t xml:space="preserve"> gap index</w:t>
      </w:r>
      <w:r w:rsidRPr="001000E9">
        <w:rPr>
          <w:rFonts w:ascii="Times New Roman" w:hAnsi="Times New Roman" w:cs="Times New Roman"/>
          <w:color w:val="252525"/>
          <w:shd w:val="clear" w:color="auto" w:fill="FFFFFF"/>
        </w:rPr>
        <w:t xml:space="preserve"> associated with the </w:t>
      </w:r>
      <w:r w:rsidR="00BD4E04">
        <w:rPr>
          <w:rFonts w:ascii="Times New Roman" w:hAnsi="Times New Roman" w:cs="Times New Roman"/>
          <w:color w:val="252525"/>
          <w:shd w:val="clear" w:color="auto" w:fill="FFFFFF"/>
        </w:rPr>
        <w:t>destitution</w:t>
      </w:r>
      <w:r w:rsidRPr="001000E9">
        <w:rPr>
          <w:rFonts w:ascii="Times New Roman" w:hAnsi="Times New Roman" w:cs="Times New Roman"/>
          <w:color w:val="252525"/>
          <w:shd w:val="clear" w:color="auto" w:fill="FFFFFF"/>
        </w:rPr>
        <w:t xml:space="preserve"> line is measured as 6.9 percent</w:t>
      </w:r>
      <w:r w:rsidR="000C6F02" w:rsidRPr="001000E9">
        <w:rPr>
          <w:rFonts w:ascii="Times New Roman" w:hAnsi="Times New Roman" w:cs="Times New Roman"/>
          <w:color w:val="252525"/>
          <w:shd w:val="clear" w:color="auto" w:fill="FFFFFF"/>
        </w:rPr>
        <w:t xml:space="preserve"> (last line in </w:t>
      </w:r>
      <w:r w:rsidR="001000E9" w:rsidRPr="001000E9">
        <w:rPr>
          <w:rFonts w:ascii="Times New Roman" w:hAnsi="Times New Roman" w:cs="Times New Roman"/>
          <w:color w:val="252525"/>
          <w:shd w:val="clear" w:color="auto" w:fill="FFFFFF"/>
        </w:rPr>
        <w:fldChar w:fldCharType="begin"/>
      </w:r>
      <w:r w:rsidR="001000E9" w:rsidRPr="001000E9">
        <w:rPr>
          <w:rFonts w:ascii="Times New Roman" w:hAnsi="Times New Roman" w:cs="Times New Roman"/>
          <w:color w:val="252525"/>
          <w:shd w:val="clear" w:color="auto" w:fill="FFFFFF"/>
        </w:rPr>
        <w:instrText xml:space="preserve"> REF _Ref411954763 \h </w:instrText>
      </w:r>
      <w:r w:rsidR="001000E9">
        <w:rPr>
          <w:rFonts w:ascii="Times New Roman" w:hAnsi="Times New Roman" w:cs="Times New Roman"/>
          <w:color w:val="252525"/>
          <w:shd w:val="clear" w:color="auto" w:fill="FFFFFF"/>
        </w:rPr>
        <w:instrText xml:space="preserve"> \* MERGEFORMAT </w:instrText>
      </w:r>
      <w:r w:rsidR="001000E9" w:rsidRPr="001000E9">
        <w:rPr>
          <w:rFonts w:ascii="Times New Roman" w:hAnsi="Times New Roman" w:cs="Times New Roman"/>
          <w:color w:val="252525"/>
          <w:shd w:val="clear" w:color="auto" w:fill="FFFFFF"/>
        </w:rPr>
      </w:r>
      <w:r w:rsidR="001000E9" w:rsidRPr="001000E9">
        <w:rPr>
          <w:rFonts w:ascii="Times New Roman" w:hAnsi="Times New Roman" w:cs="Times New Roman"/>
          <w:color w:val="252525"/>
          <w:shd w:val="clear" w:color="auto" w:fill="FFFFFF"/>
        </w:rPr>
        <w:fldChar w:fldCharType="separate"/>
      </w:r>
      <w:r w:rsidR="001000E9" w:rsidRPr="001000E9">
        <w:rPr>
          <w:rFonts w:ascii="Times New Roman" w:hAnsi="Times New Roman" w:cs="Times New Roman"/>
        </w:rPr>
        <w:t xml:space="preserve">table </w:t>
      </w:r>
      <w:r w:rsidR="001000E9" w:rsidRPr="001000E9">
        <w:rPr>
          <w:rFonts w:ascii="Times New Roman" w:hAnsi="Times New Roman" w:cs="Times New Roman"/>
          <w:noProof/>
        </w:rPr>
        <w:t>19</w:t>
      </w:r>
      <w:r w:rsidR="001000E9" w:rsidRPr="001000E9">
        <w:rPr>
          <w:rFonts w:ascii="Times New Roman" w:hAnsi="Times New Roman" w:cs="Times New Roman"/>
          <w:color w:val="252525"/>
          <w:shd w:val="clear" w:color="auto" w:fill="FFFFFF"/>
        </w:rPr>
        <w:fldChar w:fldCharType="end"/>
      </w:r>
      <w:r w:rsidR="000C6F02" w:rsidRPr="001000E9">
        <w:rPr>
          <w:rFonts w:ascii="Times New Roman" w:hAnsi="Times New Roman" w:cs="Times New Roman"/>
          <w:color w:val="252525"/>
          <w:shd w:val="clear" w:color="auto" w:fill="FFFFFF"/>
        </w:rPr>
        <w:t>)</w:t>
      </w:r>
      <w:r w:rsidRPr="001000E9">
        <w:rPr>
          <w:rFonts w:ascii="Times New Roman" w:hAnsi="Times New Roman" w:cs="Times New Roman"/>
          <w:color w:val="252525"/>
          <w:shd w:val="clear" w:color="auto" w:fill="FFFFFF"/>
        </w:rPr>
        <w:t xml:space="preserve">. On average, the poor individual has </w:t>
      </w:r>
      <w:r w:rsidRPr="00152878">
        <w:rPr>
          <w:rFonts w:ascii="Times New Roman" w:hAnsi="Times New Roman" w:cs="Times New Roman"/>
          <w:color w:val="252525"/>
          <w:shd w:val="clear" w:color="auto" w:fill="FFFFFF"/>
        </w:rPr>
        <w:t xml:space="preserve">expenditures (as measured by the PMT) 6.9 percent below the </w:t>
      </w:r>
      <w:r w:rsidR="00BD4E04">
        <w:rPr>
          <w:rFonts w:ascii="Times New Roman" w:hAnsi="Times New Roman" w:cs="Times New Roman"/>
          <w:color w:val="252525"/>
          <w:shd w:val="clear" w:color="auto" w:fill="FFFFFF"/>
        </w:rPr>
        <w:t>destitution</w:t>
      </w:r>
      <w:r w:rsidRPr="00152878">
        <w:rPr>
          <w:rFonts w:ascii="Times New Roman" w:hAnsi="Times New Roman" w:cs="Times New Roman"/>
          <w:color w:val="252525"/>
          <w:shd w:val="clear" w:color="auto" w:fill="FFFFFF"/>
        </w:rPr>
        <w:t xml:space="preserve"> line</w:t>
      </w:r>
      <w:r w:rsidRPr="001000E9">
        <w:rPr>
          <w:rFonts w:ascii="Times New Roman" w:hAnsi="Times New Roman" w:cs="Times New Roman"/>
          <w:color w:val="252525"/>
          <w:shd w:val="clear" w:color="auto" w:fill="FFFFFF"/>
        </w:rPr>
        <w:t xml:space="preserve"> (DF 77,926 per capita</w:t>
      </w:r>
      <w:r w:rsidR="006803CD" w:rsidRPr="001000E9">
        <w:rPr>
          <w:rFonts w:ascii="Times New Roman" w:hAnsi="Times New Roman" w:cs="Times New Roman"/>
          <w:color w:val="252525"/>
          <w:shd w:val="clear" w:color="auto" w:fill="FFFFFF"/>
        </w:rPr>
        <w:t xml:space="preserve"> in 2012 prices</w:t>
      </w:r>
      <w:r w:rsidRPr="001000E9">
        <w:rPr>
          <w:rFonts w:ascii="Times New Roman" w:hAnsi="Times New Roman" w:cs="Times New Roman"/>
          <w:color w:val="252525"/>
          <w:shd w:val="clear" w:color="auto" w:fill="FFFFFF"/>
        </w:rPr>
        <w:t xml:space="preserve">). </w:t>
      </w:r>
      <w:r w:rsidRPr="001000E9">
        <w:rPr>
          <w:rFonts w:ascii="Times New Roman" w:hAnsi="Times New Roman" w:cs="Times New Roman"/>
        </w:rPr>
        <w:t xml:space="preserve">The preferred scheme to reduce the </w:t>
      </w:r>
      <w:r w:rsidR="00BD4E04">
        <w:rPr>
          <w:rFonts w:ascii="Times New Roman" w:hAnsi="Times New Roman" w:cs="Times New Roman"/>
        </w:rPr>
        <w:t>destitution</w:t>
      </w:r>
      <w:r w:rsidRPr="001000E9">
        <w:rPr>
          <w:rFonts w:ascii="Times New Roman" w:hAnsi="Times New Roman" w:cs="Times New Roman"/>
        </w:rPr>
        <w:t xml:space="preserve"> gap would be targeting the first quintile with a </w:t>
      </w:r>
      <w:r w:rsidR="005A582C">
        <w:rPr>
          <w:rFonts w:ascii="Times New Roman" w:hAnsi="Times New Roman" w:cs="Times New Roman"/>
        </w:rPr>
        <w:t>four</w:t>
      </w:r>
      <w:r w:rsidRPr="001000E9">
        <w:rPr>
          <w:rFonts w:ascii="Times New Roman" w:hAnsi="Times New Roman" w:cs="Times New Roman"/>
        </w:rPr>
        <w:t xml:space="preserve">-step transfer amount depending on </w:t>
      </w:r>
      <w:r w:rsidR="00BD4E04">
        <w:rPr>
          <w:rFonts w:ascii="Times New Roman" w:hAnsi="Times New Roman" w:cs="Times New Roman"/>
        </w:rPr>
        <w:t>destitution</w:t>
      </w:r>
      <w:r w:rsidRPr="001000E9">
        <w:rPr>
          <w:rFonts w:ascii="Times New Roman" w:hAnsi="Times New Roman" w:cs="Times New Roman"/>
        </w:rPr>
        <w:t xml:space="preserve">. </w:t>
      </w:r>
      <w:r w:rsidR="000C6F02" w:rsidRPr="001000E9">
        <w:rPr>
          <w:rFonts w:ascii="Times New Roman" w:hAnsi="Times New Roman" w:cs="Times New Roman"/>
        </w:rPr>
        <w:t>Schemes 16 or 17 would be by far the best</w:t>
      </w:r>
      <w:r w:rsidR="00FC6BAE">
        <w:rPr>
          <w:rFonts w:ascii="Times New Roman" w:hAnsi="Times New Roman" w:cs="Times New Roman"/>
        </w:rPr>
        <w:t>—</w:t>
      </w:r>
      <w:r w:rsidR="000C6F02" w:rsidRPr="001000E9">
        <w:rPr>
          <w:rFonts w:ascii="Times New Roman" w:hAnsi="Times New Roman" w:cs="Times New Roman"/>
        </w:rPr>
        <w:t xml:space="preserve">focusing on the first quintile but with the amount transferred being dependent on </w:t>
      </w:r>
      <w:r w:rsidR="00BD4E04">
        <w:rPr>
          <w:rFonts w:ascii="Times New Roman" w:hAnsi="Times New Roman" w:cs="Times New Roman"/>
        </w:rPr>
        <w:t>destitution</w:t>
      </w:r>
      <w:r w:rsidR="000C6F02" w:rsidRPr="001000E9">
        <w:rPr>
          <w:rFonts w:ascii="Times New Roman" w:hAnsi="Times New Roman" w:cs="Times New Roman"/>
        </w:rPr>
        <w:t xml:space="preserve"> (as defined by the PMT). In this case, the poorest 5 percent would receive more than the poorest 10 percent, and so on (see </w:t>
      </w:r>
      <w:r w:rsidR="001000E9" w:rsidRPr="001000E9">
        <w:rPr>
          <w:rFonts w:ascii="Times New Roman" w:hAnsi="Times New Roman" w:cs="Times New Roman"/>
        </w:rPr>
        <w:fldChar w:fldCharType="begin"/>
      </w:r>
      <w:r w:rsidR="001000E9" w:rsidRPr="001000E9">
        <w:rPr>
          <w:rFonts w:ascii="Times New Roman" w:hAnsi="Times New Roman" w:cs="Times New Roman"/>
        </w:rPr>
        <w:instrText xml:space="preserve"> REF _Ref411954664 \h </w:instrText>
      </w:r>
      <w:r w:rsidR="001000E9">
        <w:rPr>
          <w:rFonts w:ascii="Times New Roman" w:hAnsi="Times New Roman" w:cs="Times New Roman"/>
        </w:rPr>
        <w:instrText xml:space="preserve"> \* MERGEFORMAT </w:instrText>
      </w:r>
      <w:r w:rsidR="001000E9" w:rsidRPr="001000E9">
        <w:rPr>
          <w:rFonts w:ascii="Times New Roman" w:hAnsi="Times New Roman" w:cs="Times New Roman"/>
        </w:rPr>
      </w:r>
      <w:r w:rsidR="001000E9" w:rsidRPr="001000E9">
        <w:rPr>
          <w:rFonts w:ascii="Times New Roman" w:hAnsi="Times New Roman" w:cs="Times New Roman"/>
        </w:rPr>
        <w:fldChar w:fldCharType="separate"/>
      </w:r>
      <w:r w:rsidR="001000E9" w:rsidRPr="001000E9">
        <w:rPr>
          <w:rFonts w:ascii="Times New Roman" w:hAnsi="Times New Roman" w:cs="Times New Roman"/>
        </w:rPr>
        <w:t xml:space="preserve">table </w:t>
      </w:r>
      <w:r w:rsidR="001000E9" w:rsidRPr="001000E9">
        <w:rPr>
          <w:rFonts w:ascii="Times New Roman" w:hAnsi="Times New Roman" w:cs="Times New Roman"/>
          <w:noProof/>
        </w:rPr>
        <w:t>18</w:t>
      </w:r>
      <w:r w:rsidR="001000E9" w:rsidRPr="001000E9">
        <w:rPr>
          <w:rFonts w:ascii="Times New Roman" w:hAnsi="Times New Roman" w:cs="Times New Roman"/>
        </w:rPr>
        <w:fldChar w:fldCharType="end"/>
      </w:r>
      <w:r w:rsidR="000C6F02" w:rsidRPr="001000E9">
        <w:rPr>
          <w:rFonts w:ascii="Times New Roman" w:hAnsi="Times New Roman" w:cs="Times New Roman"/>
        </w:rPr>
        <w:t>).</w:t>
      </w:r>
    </w:p>
    <w:p w:rsidR="001000E9" w:rsidRDefault="001000E9" w:rsidP="001000E9">
      <w:pPr>
        <w:pStyle w:val="Caption"/>
      </w:pPr>
      <w:bookmarkStart w:id="67" w:name="_Ref411954763"/>
      <w:bookmarkStart w:id="68" w:name="_Toc412105850"/>
      <w:r>
        <w:t xml:space="preserve">Table </w:t>
      </w:r>
      <w:fldSimple w:instr=" SEQ Table \* ARABIC ">
        <w:r>
          <w:rPr>
            <w:noProof/>
          </w:rPr>
          <w:t>19</w:t>
        </w:r>
      </w:fldSimple>
      <w:bookmarkEnd w:id="67"/>
      <w:r>
        <w:t xml:space="preserve">: </w:t>
      </w:r>
      <w:r w:rsidRPr="006B4F51">
        <w:t xml:space="preserve">Effect on </w:t>
      </w:r>
      <w:r w:rsidR="00BD4E04">
        <w:t>Destitution</w:t>
      </w:r>
      <w:r w:rsidRPr="006B4F51">
        <w:t xml:space="preserve"> Gap of the Different Transfer Schemes</w:t>
      </w:r>
      <w:bookmarkEnd w:id="68"/>
    </w:p>
    <w:tbl>
      <w:tblPr>
        <w:tblW w:w="4934" w:type="pct"/>
        <w:tblCellMar>
          <w:left w:w="0" w:type="dxa"/>
          <w:right w:w="0" w:type="dxa"/>
        </w:tblCellMar>
        <w:tblLook w:val="04A0" w:firstRow="1" w:lastRow="0" w:firstColumn="1" w:lastColumn="0" w:noHBand="0" w:noVBand="1"/>
      </w:tblPr>
      <w:tblGrid>
        <w:gridCol w:w="1336"/>
        <w:gridCol w:w="2196"/>
        <w:gridCol w:w="2050"/>
        <w:gridCol w:w="1185"/>
        <w:gridCol w:w="1185"/>
        <w:gridCol w:w="1275"/>
      </w:tblGrid>
      <w:tr w:rsidR="00504398" w:rsidRPr="001000E9" w:rsidTr="00EF6B01">
        <w:trPr>
          <w:tblHeader/>
        </w:trPr>
        <w:tc>
          <w:tcPr>
            <w:tcW w:w="724" w:type="pct"/>
            <w:tcBorders>
              <w:top w:val="double" w:sz="4" w:space="0" w:color="auto"/>
              <w:left w:val="single" w:sz="4" w:space="0" w:color="auto"/>
              <w:bottom w:val="single" w:sz="8" w:space="0" w:color="000000"/>
              <w:right w:val="nil"/>
            </w:tcBorders>
            <w:shd w:val="clear" w:color="auto" w:fill="auto"/>
            <w:tcMar>
              <w:top w:w="15" w:type="dxa"/>
              <w:left w:w="108" w:type="dxa"/>
              <w:bottom w:w="0" w:type="dxa"/>
              <w:right w:w="108" w:type="dxa"/>
            </w:tcMar>
            <w:hideMark/>
          </w:tcPr>
          <w:p w:rsidR="00504398" w:rsidRPr="001000E9" w:rsidRDefault="00504398" w:rsidP="007A3FA3">
            <w:pPr>
              <w:spacing w:after="0"/>
              <w:rPr>
                <w:rFonts w:ascii="Times New Roman" w:hAnsi="Times New Roman" w:cs="Times New Roman"/>
                <w:b/>
                <w:sz w:val="20"/>
                <w:szCs w:val="20"/>
              </w:rPr>
            </w:pPr>
            <w:r w:rsidRPr="001000E9">
              <w:rPr>
                <w:rFonts w:ascii="Times New Roman" w:hAnsi="Times New Roman" w:cs="Times New Roman"/>
                <w:b/>
                <w:sz w:val="20"/>
                <w:szCs w:val="20"/>
              </w:rPr>
              <w:t>Transfer</w:t>
            </w:r>
            <w:r w:rsidR="007A3FA3">
              <w:rPr>
                <w:rFonts w:ascii="Times New Roman" w:hAnsi="Times New Roman" w:cs="Times New Roman"/>
                <w:b/>
                <w:sz w:val="20"/>
                <w:szCs w:val="20"/>
              </w:rPr>
              <w:t xml:space="preserve"> </w:t>
            </w:r>
            <w:r w:rsidRPr="001000E9">
              <w:rPr>
                <w:rFonts w:ascii="Times New Roman" w:hAnsi="Times New Roman" w:cs="Times New Roman"/>
                <w:b/>
                <w:sz w:val="20"/>
                <w:szCs w:val="20"/>
              </w:rPr>
              <w:t>No.</w:t>
            </w:r>
          </w:p>
        </w:tc>
        <w:tc>
          <w:tcPr>
            <w:tcW w:w="1190" w:type="pct"/>
            <w:tcBorders>
              <w:top w:val="double" w:sz="4" w:space="0" w:color="auto"/>
              <w:left w:val="nil"/>
              <w:bottom w:val="single" w:sz="8" w:space="0" w:color="000000"/>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b/>
                <w:sz w:val="20"/>
                <w:szCs w:val="20"/>
              </w:rPr>
            </w:pPr>
            <w:r w:rsidRPr="001000E9">
              <w:rPr>
                <w:rFonts w:ascii="Times New Roman" w:hAnsi="Times New Roman" w:cs="Times New Roman"/>
                <w:b/>
                <w:sz w:val="20"/>
                <w:szCs w:val="20"/>
              </w:rPr>
              <w:t>Selection Criteria</w:t>
            </w:r>
          </w:p>
        </w:tc>
        <w:tc>
          <w:tcPr>
            <w:tcW w:w="1111" w:type="pct"/>
            <w:tcBorders>
              <w:top w:val="double" w:sz="4" w:space="0" w:color="auto"/>
              <w:left w:val="nil"/>
              <w:bottom w:val="single" w:sz="8" w:space="0" w:color="000000"/>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b/>
                <w:sz w:val="20"/>
                <w:szCs w:val="20"/>
              </w:rPr>
            </w:pPr>
            <w:r w:rsidRPr="001000E9">
              <w:rPr>
                <w:rFonts w:ascii="Times New Roman" w:hAnsi="Times New Roman" w:cs="Times New Roman"/>
                <w:b/>
                <w:sz w:val="20"/>
                <w:szCs w:val="20"/>
              </w:rPr>
              <w:t>Beneficiary</w:t>
            </w:r>
          </w:p>
        </w:tc>
        <w:tc>
          <w:tcPr>
            <w:tcW w:w="642" w:type="pct"/>
            <w:tcBorders>
              <w:top w:val="double" w:sz="4" w:space="0" w:color="auto"/>
              <w:left w:val="nil"/>
              <w:bottom w:val="single" w:sz="8" w:space="0" w:color="000000"/>
              <w:right w:val="nil"/>
            </w:tcBorders>
          </w:tcPr>
          <w:p w:rsidR="00504398" w:rsidRPr="001000E9" w:rsidRDefault="00504398" w:rsidP="00D56EDF">
            <w:pPr>
              <w:spacing w:after="0"/>
              <w:jc w:val="center"/>
              <w:rPr>
                <w:rFonts w:ascii="Times New Roman" w:hAnsi="Times New Roman" w:cs="Times New Roman"/>
                <w:b/>
                <w:sz w:val="20"/>
                <w:szCs w:val="20"/>
              </w:rPr>
            </w:pPr>
            <w:r w:rsidRPr="001000E9">
              <w:rPr>
                <w:rFonts w:ascii="Times New Roman" w:hAnsi="Times New Roman" w:cs="Times New Roman"/>
                <w:b/>
                <w:sz w:val="20"/>
                <w:szCs w:val="20"/>
              </w:rPr>
              <w:t>DF 1 billion</w:t>
            </w:r>
          </w:p>
        </w:tc>
        <w:tc>
          <w:tcPr>
            <w:tcW w:w="642" w:type="pct"/>
            <w:tcBorders>
              <w:top w:val="double" w:sz="4" w:space="0" w:color="auto"/>
              <w:left w:val="nil"/>
              <w:bottom w:val="single" w:sz="8" w:space="0" w:color="000000"/>
              <w:right w:val="nil"/>
            </w:tcBorders>
          </w:tcPr>
          <w:p w:rsidR="00504398" w:rsidRPr="001000E9" w:rsidRDefault="00504398" w:rsidP="00D56EDF">
            <w:pPr>
              <w:spacing w:after="0"/>
              <w:jc w:val="center"/>
              <w:rPr>
                <w:rFonts w:ascii="Times New Roman" w:hAnsi="Times New Roman" w:cs="Times New Roman"/>
                <w:b/>
                <w:sz w:val="20"/>
                <w:szCs w:val="20"/>
              </w:rPr>
            </w:pPr>
            <w:r w:rsidRPr="001000E9">
              <w:rPr>
                <w:rFonts w:ascii="Times New Roman" w:hAnsi="Times New Roman" w:cs="Times New Roman"/>
                <w:b/>
                <w:sz w:val="20"/>
                <w:szCs w:val="20"/>
              </w:rPr>
              <w:t>DF 2 billion</w:t>
            </w:r>
          </w:p>
        </w:tc>
        <w:tc>
          <w:tcPr>
            <w:tcW w:w="691" w:type="pct"/>
            <w:tcBorders>
              <w:top w:val="double" w:sz="4" w:space="0" w:color="auto"/>
              <w:left w:val="nil"/>
              <w:bottom w:val="single" w:sz="8" w:space="0" w:color="000000"/>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b/>
                <w:sz w:val="20"/>
                <w:szCs w:val="20"/>
              </w:rPr>
            </w:pPr>
            <w:r w:rsidRPr="001000E9">
              <w:rPr>
                <w:rFonts w:ascii="Times New Roman" w:hAnsi="Times New Roman" w:cs="Times New Roman"/>
                <w:b/>
                <w:sz w:val="20"/>
                <w:szCs w:val="20"/>
              </w:rPr>
              <w:t>DF 3 billion</w:t>
            </w:r>
          </w:p>
        </w:tc>
      </w:tr>
      <w:tr w:rsidR="00504398" w:rsidRPr="001000E9" w:rsidTr="00BD4E04">
        <w:trPr>
          <w:trHeight w:hRule="exact" w:val="547"/>
        </w:trPr>
        <w:tc>
          <w:tcPr>
            <w:tcW w:w="724" w:type="pct"/>
            <w:tcBorders>
              <w:top w:val="single" w:sz="8" w:space="0" w:color="000000"/>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w:t>
            </w:r>
          </w:p>
        </w:tc>
        <w:tc>
          <w:tcPr>
            <w:tcW w:w="119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FC6BAE">
            <w:pPr>
              <w:spacing w:after="0"/>
              <w:rPr>
                <w:rFonts w:ascii="Times New Roman" w:hAnsi="Times New Roman" w:cs="Times New Roman"/>
                <w:sz w:val="20"/>
                <w:szCs w:val="20"/>
              </w:rPr>
            </w:pPr>
            <w:r w:rsidRPr="001000E9">
              <w:rPr>
                <w:rFonts w:ascii="Times New Roman" w:hAnsi="Times New Roman" w:cs="Times New Roman"/>
                <w:sz w:val="20"/>
                <w:szCs w:val="20"/>
              </w:rPr>
              <w:t>Rural + urban outside Djibouti</w:t>
            </w:r>
            <w:r w:rsidR="00BD4E04">
              <w:rPr>
                <w:rFonts w:ascii="Times New Roman" w:hAnsi="Times New Roman" w:cs="Times New Roman"/>
                <w:sz w:val="20"/>
                <w:szCs w:val="20"/>
              </w:rPr>
              <w:t xml:space="preserve"> ville</w:t>
            </w:r>
          </w:p>
        </w:tc>
        <w:tc>
          <w:tcPr>
            <w:tcW w:w="111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642" w:type="pct"/>
            <w:tcBorders>
              <w:top w:val="single" w:sz="8" w:space="0" w:color="000000"/>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5.5</w:t>
            </w:r>
          </w:p>
        </w:tc>
        <w:tc>
          <w:tcPr>
            <w:tcW w:w="642" w:type="pct"/>
            <w:tcBorders>
              <w:top w:val="single" w:sz="8" w:space="0" w:color="000000"/>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4.3</w:t>
            </w:r>
          </w:p>
        </w:tc>
        <w:tc>
          <w:tcPr>
            <w:tcW w:w="691" w:type="pct"/>
            <w:tcBorders>
              <w:top w:val="single" w:sz="8" w:space="0" w:color="000000"/>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3.3</w:t>
            </w:r>
          </w:p>
        </w:tc>
      </w:tr>
      <w:tr w:rsidR="00504398" w:rsidRPr="001000E9" w:rsidTr="00BD4E04">
        <w:trPr>
          <w:trHeight w:hRule="exact" w:val="317"/>
        </w:trPr>
        <w:tc>
          <w:tcPr>
            <w:tcW w:w="724" w:type="pct"/>
            <w:tcBorders>
              <w:top w:val="nil"/>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2</w:t>
            </w:r>
          </w:p>
        </w:tc>
        <w:tc>
          <w:tcPr>
            <w:tcW w:w="1190"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5.6</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4.4</w:t>
            </w:r>
          </w:p>
        </w:tc>
        <w:tc>
          <w:tcPr>
            <w:tcW w:w="691" w:type="pct"/>
            <w:tcBorders>
              <w:top w:val="nil"/>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3.4</w:t>
            </w:r>
          </w:p>
        </w:tc>
      </w:tr>
      <w:tr w:rsidR="00504398" w:rsidRPr="001000E9" w:rsidTr="00BD4E04">
        <w:trPr>
          <w:trHeight w:hRule="exact" w:val="317"/>
        </w:trPr>
        <w:tc>
          <w:tcPr>
            <w:tcW w:w="724" w:type="pct"/>
            <w:tcBorders>
              <w:top w:val="nil"/>
              <w:left w:val="single" w:sz="4" w:space="0" w:color="auto"/>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3</w:t>
            </w:r>
          </w:p>
        </w:tc>
        <w:tc>
          <w:tcPr>
            <w:tcW w:w="1190"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 xml:space="preserve"> </w:t>
            </w:r>
          </w:p>
        </w:tc>
        <w:tc>
          <w:tcPr>
            <w:tcW w:w="1111"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5.7</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4.6</w:t>
            </w:r>
          </w:p>
        </w:tc>
        <w:tc>
          <w:tcPr>
            <w:tcW w:w="691" w:type="pct"/>
            <w:tcBorders>
              <w:top w:val="nil"/>
              <w:left w:val="nil"/>
              <w:bottom w:val="dotted" w:sz="6" w:space="0" w:color="auto"/>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3.8</w:t>
            </w:r>
          </w:p>
        </w:tc>
      </w:tr>
      <w:tr w:rsidR="00504398" w:rsidRPr="001000E9" w:rsidTr="00BD4E04">
        <w:trPr>
          <w:trHeight w:hRule="exact" w:val="317"/>
        </w:trPr>
        <w:tc>
          <w:tcPr>
            <w:tcW w:w="724" w:type="pct"/>
            <w:tcBorders>
              <w:top w:val="dotted" w:sz="6" w:space="0" w:color="auto"/>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4</w:t>
            </w:r>
          </w:p>
        </w:tc>
        <w:tc>
          <w:tcPr>
            <w:tcW w:w="1190"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Rural only</w:t>
            </w:r>
          </w:p>
        </w:tc>
        <w:tc>
          <w:tcPr>
            <w:tcW w:w="1111"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642" w:type="pct"/>
            <w:tcBorders>
              <w:top w:val="dotted" w:sz="6" w:space="0" w:color="auto"/>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5.0</w:t>
            </w:r>
          </w:p>
        </w:tc>
        <w:tc>
          <w:tcPr>
            <w:tcW w:w="642" w:type="pct"/>
            <w:tcBorders>
              <w:top w:val="dotted" w:sz="6" w:space="0" w:color="auto"/>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3.4</w:t>
            </w:r>
          </w:p>
        </w:tc>
        <w:tc>
          <w:tcPr>
            <w:tcW w:w="691" w:type="pct"/>
            <w:tcBorders>
              <w:top w:val="dotted" w:sz="6" w:space="0" w:color="auto"/>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2.2</w:t>
            </w:r>
          </w:p>
        </w:tc>
      </w:tr>
      <w:tr w:rsidR="00504398" w:rsidRPr="001000E9" w:rsidTr="00BD4E04">
        <w:trPr>
          <w:trHeight w:hRule="exact" w:val="317"/>
        </w:trPr>
        <w:tc>
          <w:tcPr>
            <w:tcW w:w="724" w:type="pct"/>
            <w:tcBorders>
              <w:top w:val="nil"/>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5</w:t>
            </w:r>
          </w:p>
        </w:tc>
        <w:tc>
          <w:tcPr>
            <w:tcW w:w="1190"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5.0</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3.5</w:t>
            </w:r>
          </w:p>
        </w:tc>
        <w:tc>
          <w:tcPr>
            <w:tcW w:w="691" w:type="pct"/>
            <w:tcBorders>
              <w:top w:val="nil"/>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2.3</w:t>
            </w:r>
          </w:p>
        </w:tc>
      </w:tr>
      <w:tr w:rsidR="00504398" w:rsidRPr="001000E9" w:rsidTr="00BD4E04">
        <w:trPr>
          <w:trHeight w:hRule="exact" w:val="317"/>
        </w:trPr>
        <w:tc>
          <w:tcPr>
            <w:tcW w:w="724" w:type="pct"/>
            <w:tcBorders>
              <w:top w:val="nil"/>
              <w:left w:val="single" w:sz="4" w:space="0" w:color="auto"/>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6</w:t>
            </w:r>
          </w:p>
        </w:tc>
        <w:tc>
          <w:tcPr>
            <w:tcW w:w="1190"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5.3</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4.0</w:t>
            </w:r>
          </w:p>
        </w:tc>
        <w:tc>
          <w:tcPr>
            <w:tcW w:w="691" w:type="pct"/>
            <w:tcBorders>
              <w:top w:val="nil"/>
              <w:left w:val="nil"/>
              <w:bottom w:val="dotted" w:sz="6" w:space="0" w:color="auto"/>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3.1</w:t>
            </w:r>
          </w:p>
        </w:tc>
      </w:tr>
      <w:tr w:rsidR="00504398" w:rsidRPr="001000E9" w:rsidTr="00BD4E04">
        <w:trPr>
          <w:trHeight w:hRule="exact" w:val="547"/>
        </w:trPr>
        <w:tc>
          <w:tcPr>
            <w:tcW w:w="724" w:type="pct"/>
            <w:tcBorders>
              <w:top w:val="dotted" w:sz="6" w:space="0" w:color="auto"/>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7</w:t>
            </w:r>
          </w:p>
        </w:tc>
        <w:tc>
          <w:tcPr>
            <w:tcW w:w="1190"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Rural + urban in first quintile</w:t>
            </w:r>
          </w:p>
        </w:tc>
        <w:tc>
          <w:tcPr>
            <w:tcW w:w="1111"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642" w:type="pct"/>
            <w:tcBorders>
              <w:top w:val="dotted" w:sz="6" w:space="0" w:color="auto"/>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5.0</w:t>
            </w:r>
          </w:p>
        </w:tc>
        <w:tc>
          <w:tcPr>
            <w:tcW w:w="642" w:type="pct"/>
            <w:tcBorders>
              <w:top w:val="dotted" w:sz="6" w:space="0" w:color="auto"/>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3.4</w:t>
            </w:r>
          </w:p>
        </w:tc>
        <w:tc>
          <w:tcPr>
            <w:tcW w:w="691" w:type="pct"/>
            <w:tcBorders>
              <w:top w:val="dotted" w:sz="6" w:space="0" w:color="auto"/>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2.2</w:t>
            </w:r>
          </w:p>
        </w:tc>
      </w:tr>
      <w:tr w:rsidR="00504398" w:rsidRPr="001000E9" w:rsidTr="00BD4E04">
        <w:trPr>
          <w:trHeight w:hRule="exact" w:val="317"/>
        </w:trPr>
        <w:tc>
          <w:tcPr>
            <w:tcW w:w="724" w:type="pct"/>
            <w:tcBorders>
              <w:top w:val="nil"/>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8</w:t>
            </w:r>
          </w:p>
        </w:tc>
        <w:tc>
          <w:tcPr>
            <w:tcW w:w="1190"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5.0</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3.5</w:t>
            </w:r>
          </w:p>
        </w:tc>
        <w:tc>
          <w:tcPr>
            <w:tcW w:w="691" w:type="pct"/>
            <w:tcBorders>
              <w:top w:val="nil"/>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2.3</w:t>
            </w:r>
          </w:p>
        </w:tc>
      </w:tr>
      <w:tr w:rsidR="00504398" w:rsidRPr="001000E9" w:rsidTr="00BD4E04">
        <w:trPr>
          <w:trHeight w:hRule="exact" w:val="317"/>
        </w:trPr>
        <w:tc>
          <w:tcPr>
            <w:tcW w:w="724" w:type="pct"/>
            <w:tcBorders>
              <w:top w:val="nil"/>
              <w:left w:val="single" w:sz="4" w:space="0" w:color="auto"/>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9</w:t>
            </w:r>
          </w:p>
        </w:tc>
        <w:tc>
          <w:tcPr>
            <w:tcW w:w="1190"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5.1</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3.8</w:t>
            </w:r>
          </w:p>
        </w:tc>
        <w:tc>
          <w:tcPr>
            <w:tcW w:w="691" w:type="pct"/>
            <w:tcBorders>
              <w:top w:val="nil"/>
              <w:left w:val="nil"/>
              <w:bottom w:val="dotted" w:sz="6" w:space="0" w:color="auto"/>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2.7</w:t>
            </w:r>
          </w:p>
        </w:tc>
      </w:tr>
      <w:tr w:rsidR="00504398" w:rsidRPr="001000E9" w:rsidTr="007A3FA3">
        <w:trPr>
          <w:trHeight w:hRule="exact" w:val="534"/>
        </w:trPr>
        <w:tc>
          <w:tcPr>
            <w:tcW w:w="724" w:type="pct"/>
            <w:tcBorders>
              <w:top w:val="dotted" w:sz="6" w:space="0" w:color="auto"/>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10</w:t>
            </w:r>
          </w:p>
        </w:tc>
        <w:tc>
          <w:tcPr>
            <w:tcW w:w="1190"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First quintile with unique transfer</w:t>
            </w:r>
          </w:p>
        </w:tc>
        <w:tc>
          <w:tcPr>
            <w:tcW w:w="1111"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642" w:type="pct"/>
            <w:tcBorders>
              <w:top w:val="dotted" w:sz="6" w:space="0" w:color="auto"/>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4.6</w:t>
            </w:r>
          </w:p>
        </w:tc>
        <w:tc>
          <w:tcPr>
            <w:tcW w:w="642" w:type="pct"/>
            <w:tcBorders>
              <w:top w:val="dotted" w:sz="6" w:space="0" w:color="auto"/>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2.9</w:t>
            </w:r>
          </w:p>
        </w:tc>
        <w:tc>
          <w:tcPr>
            <w:tcW w:w="691" w:type="pct"/>
            <w:tcBorders>
              <w:top w:val="dotted" w:sz="6" w:space="0" w:color="auto"/>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1.6</w:t>
            </w:r>
          </w:p>
        </w:tc>
      </w:tr>
      <w:tr w:rsidR="00504398" w:rsidRPr="001000E9" w:rsidTr="00BD4E04">
        <w:trPr>
          <w:trHeight w:hRule="exact" w:val="317"/>
        </w:trPr>
        <w:tc>
          <w:tcPr>
            <w:tcW w:w="724" w:type="pct"/>
            <w:tcBorders>
              <w:top w:val="nil"/>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11</w:t>
            </w:r>
          </w:p>
        </w:tc>
        <w:tc>
          <w:tcPr>
            <w:tcW w:w="1190"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4.7</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3.0</w:t>
            </w:r>
          </w:p>
        </w:tc>
        <w:tc>
          <w:tcPr>
            <w:tcW w:w="691" w:type="pct"/>
            <w:tcBorders>
              <w:top w:val="nil"/>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1.7</w:t>
            </w:r>
          </w:p>
        </w:tc>
      </w:tr>
      <w:tr w:rsidR="00504398" w:rsidRPr="001000E9" w:rsidTr="00BD4E04">
        <w:trPr>
          <w:trHeight w:hRule="exact" w:val="317"/>
        </w:trPr>
        <w:tc>
          <w:tcPr>
            <w:tcW w:w="724" w:type="pct"/>
            <w:tcBorders>
              <w:top w:val="nil"/>
              <w:left w:val="single" w:sz="4" w:space="0" w:color="auto"/>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12</w:t>
            </w:r>
          </w:p>
        </w:tc>
        <w:tc>
          <w:tcPr>
            <w:tcW w:w="1190"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4.6</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2.9</w:t>
            </w:r>
          </w:p>
        </w:tc>
        <w:tc>
          <w:tcPr>
            <w:tcW w:w="691" w:type="pct"/>
            <w:tcBorders>
              <w:top w:val="nil"/>
              <w:left w:val="nil"/>
              <w:bottom w:val="dotted" w:sz="6" w:space="0" w:color="auto"/>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1.8</w:t>
            </w:r>
          </w:p>
        </w:tc>
      </w:tr>
      <w:tr w:rsidR="00504398" w:rsidRPr="001000E9" w:rsidTr="007A3FA3">
        <w:trPr>
          <w:trHeight w:hRule="exact" w:val="579"/>
        </w:trPr>
        <w:tc>
          <w:tcPr>
            <w:tcW w:w="724" w:type="pct"/>
            <w:tcBorders>
              <w:top w:val="dotted" w:sz="6" w:space="0" w:color="auto"/>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13</w:t>
            </w:r>
          </w:p>
        </w:tc>
        <w:tc>
          <w:tcPr>
            <w:tcW w:w="1190"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First quintile with 2 steps</w:t>
            </w:r>
          </w:p>
        </w:tc>
        <w:tc>
          <w:tcPr>
            <w:tcW w:w="1111" w:type="pct"/>
            <w:tcBorders>
              <w:top w:val="dotted" w:sz="6" w:space="0" w:color="auto"/>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642" w:type="pct"/>
            <w:tcBorders>
              <w:top w:val="dotted" w:sz="6" w:space="0" w:color="auto"/>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4.4</w:t>
            </w:r>
          </w:p>
        </w:tc>
        <w:tc>
          <w:tcPr>
            <w:tcW w:w="642" w:type="pct"/>
            <w:tcBorders>
              <w:top w:val="dotted" w:sz="6" w:space="0" w:color="auto"/>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2.1</w:t>
            </w:r>
          </w:p>
        </w:tc>
        <w:tc>
          <w:tcPr>
            <w:tcW w:w="691" w:type="pct"/>
            <w:tcBorders>
              <w:top w:val="dotted" w:sz="6" w:space="0" w:color="auto"/>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0.6</w:t>
            </w:r>
          </w:p>
        </w:tc>
      </w:tr>
      <w:tr w:rsidR="00504398" w:rsidRPr="001000E9" w:rsidTr="00BD4E04">
        <w:trPr>
          <w:trHeight w:hRule="exact" w:val="317"/>
        </w:trPr>
        <w:tc>
          <w:tcPr>
            <w:tcW w:w="724" w:type="pct"/>
            <w:tcBorders>
              <w:top w:val="nil"/>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14</w:t>
            </w:r>
          </w:p>
        </w:tc>
        <w:tc>
          <w:tcPr>
            <w:tcW w:w="1190"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4.5</w:t>
            </w:r>
          </w:p>
        </w:tc>
        <w:tc>
          <w:tcPr>
            <w:tcW w:w="642" w:type="pct"/>
            <w:tcBorders>
              <w:top w:val="nil"/>
              <w:left w:val="nil"/>
              <w:bottom w:val="nil"/>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2.2</w:t>
            </w:r>
          </w:p>
        </w:tc>
        <w:tc>
          <w:tcPr>
            <w:tcW w:w="691" w:type="pct"/>
            <w:tcBorders>
              <w:top w:val="nil"/>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0.8</w:t>
            </w:r>
          </w:p>
        </w:tc>
      </w:tr>
      <w:tr w:rsidR="00504398" w:rsidRPr="001000E9" w:rsidTr="00BD4E04">
        <w:trPr>
          <w:trHeight w:hRule="exact" w:val="317"/>
        </w:trPr>
        <w:tc>
          <w:tcPr>
            <w:tcW w:w="724" w:type="pct"/>
            <w:tcBorders>
              <w:top w:val="nil"/>
              <w:left w:val="single" w:sz="4" w:space="0" w:color="auto"/>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15</w:t>
            </w:r>
          </w:p>
        </w:tc>
        <w:tc>
          <w:tcPr>
            <w:tcW w:w="1190" w:type="pct"/>
            <w:tcBorders>
              <w:top w:val="nil"/>
              <w:left w:val="nil"/>
              <w:bottom w:val="dotted"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dotted"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4.3</w:t>
            </w:r>
          </w:p>
        </w:tc>
        <w:tc>
          <w:tcPr>
            <w:tcW w:w="642" w:type="pct"/>
            <w:tcBorders>
              <w:top w:val="nil"/>
              <w:left w:val="nil"/>
              <w:bottom w:val="dotted" w:sz="6" w:space="0" w:color="auto"/>
              <w:right w:val="nil"/>
            </w:tcBorders>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2.3</w:t>
            </w:r>
          </w:p>
        </w:tc>
        <w:tc>
          <w:tcPr>
            <w:tcW w:w="691" w:type="pct"/>
            <w:tcBorders>
              <w:top w:val="nil"/>
              <w:left w:val="nil"/>
              <w:bottom w:val="dotted" w:sz="6" w:space="0" w:color="auto"/>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1.1</w:t>
            </w:r>
          </w:p>
        </w:tc>
      </w:tr>
      <w:tr w:rsidR="00504398" w:rsidRPr="001000E9" w:rsidTr="007A3FA3">
        <w:trPr>
          <w:trHeight w:val="514"/>
        </w:trPr>
        <w:tc>
          <w:tcPr>
            <w:tcW w:w="724" w:type="pct"/>
            <w:tcBorders>
              <w:top w:val="single" w:sz="8" w:space="0" w:color="000000"/>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16</w:t>
            </w:r>
          </w:p>
        </w:tc>
        <w:tc>
          <w:tcPr>
            <w:tcW w:w="119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First quintile with 4 steps</w:t>
            </w:r>
          </w:p>
        </w:tc>
        <w:tc>
          <w:tcPr>
            <w:tcW w:w="111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w:t>
            </w:r>
          </w:p>
        </w:tc>
        <w:tc>
          <w:tcPr>
            <w:tcW w:w="642" w:type="pct"/>
            <w:tcBorders>
              <w:top w:val="single" w:sz="8" w:space="0" w:color="000000"/>
              <w:left w:val="nil"/>
              <w:bottom w:val="nil"/>
              <w:right w:val="nil"/>
            </w:tcBorders>
            <w:shd w:val="clear" w:color="auto" w:fill="auto"/>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4.4</w:t>
            </w:r>
          </w:p>
        </w:tc>
        <w:tc>
          <w:tcPr>
            <w:tcW w:w="642" w:type="pct"/>
            <w:tcBorders>
              <w:top w:val="single" w:sz="8" w:space="0" w:color="000000"/>
              <w:left w:val="nil"/>
              <w:bottom w:val="nil"/>
              <w:right w:val="nil"/>
            </w:tcBorders>
            <w:shd w:val="clear" w:color="auto" w:fill="auto"/>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1.9</w:t>
            </w:r>
          </w:p>
        </w:tc>
        <w:tc>
          <w:tcPr>
            <w:tcW w:w="691" w:type="pct"/>
            <w:tcBorders>
              <w:top w:val="single" w:sz="8" w:space="0" w:color="000000"/>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0.3</w:t>
            </w:r>
          </w:p>
        </w:tc>
      </w:tr>
      <w:tr w:rsidR="00504398" w:rsidRPr="001000E9" w:rsidTr="00BD4E04">
        <w:trPr>
          <w:trHeight w:hRule="exact" w:val="317"/>
        </w:trPr>
        <w:tc>
          <w:tcPr>
            <w:tcW w:w="724" w:type="pct"/>
            <w:tcBorders>
              <w:top w:val="nil"/>
              <w:left w:val="single" w:sz="4" w:space="0" w:color="auto"/>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17</w:t>
            </w:r>
          </w:p>
        </w:tc>
        <w:tc>
          <w:tcPr>
            <w:tcW w:w="1190" w:type="pct"/>
            <w:tcBorders>
              <w:top w:val="nil"/>
              <w:left w:val="nil"/>
              <w:bottom w:val="nil"/>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nil"/>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Individual (in Eq.Ad.)</w:t>
            </w:r>
          </w:p>
        </w:tc>
        <w:tc>
          <w:tcPr>
            <w:tcW w:w="642" w:type="pct"/>
            <w:tcBorders>
              <w:top w:val="nil"/>
              <w:left w:val="nil"/>
              <w:bottom w:val="nil"/>
              <w:right w:val="nil"/>
            </w:tcBorders>
            <w:shd w:val="clear" w:color="auto" w:fill="auto"/>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4.4</w:t>
            </w:r>
          </w:p>
        </w:tc>
        <w:tc>
          <w:tcPr>
            <w:tcW w:w="642" w:type="pct"/>
            <w:tcBorders>
              <w:top w:val="nil"/>
              <w:left w:val="nil"/>
              <w:bottom w:val="nil"/>
              <w:right w:val="nil"/>
            </w:tcBorders>
            <w:shd w:val="clear" w:color="auto" w:fill="auto"/>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2.0</w:t>
            </w:r>
          </w:p>
        </w:tc>
        <w:tc>
          <w:tcPr>
            <w:tcW w:w="691" w:type="pct"/>
            <w:tcBorders>
              <w:top w:val="nil"/>
              <w:left w:val="nil"/>
              <w:bottom w:val="nil"/>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0.4</w:t>
            </w:r>
          </w:p>
        </w:tc>
      </w:tr>
      <w:tr w:rsidR="00504398" w:rsidRPr="001000E9" w:rsidTr="00BD4E04">
        <w:trPr>
          <w:trHeight w:hRule="exact" w:val="317"/>
        </w:trPr>
        <w:tc>
          <w:tcPr>
            <w:tcW w:w="724" w:type="pct"/>
            <w:tcBorders>
              <w:top w:val="nil"/>
              <w:left w:val="single" w:sz="4" w:space="0" w:color="auto"/>
              <w:bottom w:val="single"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18</w:t>
            </w:r>
          </w:p>
        </w:tc>
        <w:tc>
          <w:tcPr>
            <w:tcW w:w="1190" w:type="pct"/>
            <w:tcBorders>
              <w:top w:val="nil"/>
              <w:left w:val="nil"/>
              <w:bottom w:val="single" w:sz="6"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p>
        </w:tc>
        <w:tc>
          <w:tcPr>
            <w:tcW w:w="1111" w:type="pct"/>
            <w:tcBorders>
              <w:top w:val="nil"/>
              <w:left w:val="nil"/>
              <w:bottom w:val="single" w:sz="6" w:space="0" w:color="auto"/>
              <w:right w:val="nil"/>
            </w:tcBorders>
            <w:shd w:val="clear" w:color="auto" w:fill="auto"/>
            <w:tcMar>
              <w:top w:w="15" w:type="dxa"/>
              <w:left w:w="108" w:type="dxa"/>
              <w:bottom w:w="0" w:type="dxa"/>
              <w:right w:w="108" w:type="dxa"/>
            </w:tcMar>
            <w:hideMark/>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Household</w:t>
            </w:r>
          </w:p>
        </w:tc>
        <w:tc>
          <w:tcPr>
            <w:tcW w:w="642" w:type="pct"/>
            <w:tcBorders>
              <w:top w:val="nil"/>
              <w:left w:val="nil"/>
              <w:bottom w:val="single" w:sz="6" w:space="0" w:color="auto"/>
              <w:right w:val="nil"/>
            </w:tcBorders>
            <w:shd w:val="clear" w:color="auto" w:fill="auto"/>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4.2</w:t>
            </w:r>
          </w:p>
        </w:tc>
        <w:tc>
          <w:tcPr>
            <w:tcW w:w="642" w:type="pct"/>
            <w:tcBorders>
              <w:top w:val="nil"/>
              <w:left w:val="nil"/>
              <w:bottom w:val="single" w:sz="6" w:space="0" w:color="auto"/>
              <w:right w:val="nil"/>
            </w:tcBorders>
            <w:shd w:val="clear" w:color="auto" w:fill="auto"/>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2.0</w:t>
            </w:r>
          </w:p>
        </w:tc>
        <w:tc>
          <w:tcPr>
            <w:tcW w:w="691" w:type="pct"/>
            <w:tcBorders>
              <w:top w:val="nil"/>
              <w:left w:val="nil"/>
              <w:bottom w:val="single" w:sz="6" w:space="0" w:color="auto"/>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0.8</w:t>
            </w:r>
          </w:p>
        </w:tc>
      </w:tr>
      <w:tr w:rsidR="00504398" w:rsidRPr="001000E9" w:rsidTr="00BD4E04">
        <w:trPr>
          <w:trHeight w:hRule="exact" w:val="317"/>
        </w:trPr>
        <w:tc>
          <w:tcPr>
            <w:tcW w:w="3025" w:type="pct"/>
            <w:gridSpan w:val="3"/>
            <w:tcBorders>
              <w:top w:val="single" w:sz="6" w:space="0" w:color="auto"/>
              <w:left w:val="single" w:sz="4" w:space="0" w:color="auto"/>
              <w:bottom w:val="double" w:sz="4" w:space="0" w:color="auto"/>
              <w:right w:val="nil"/>
            </w:tcBorders>
            <w:shd w:val="clear" w:color="auto" w:fill="auto"/>
            <w:tcMar>
              <w:top w:w="15" w:type="dxa"/>
              <w:left w:w="108" w:type="dxa"/>
              <w:bottom w:w="0" w:type="dxa"/>
              <w:right w:w="108" w:type="dxa"/>
            </w:tcMar>
          </w:tcPr>
          <w:p w:rsidR="00504398" w:rsidRPr="001000E9" w:rsidRDefault="00504398" w:rsidP="00D56EDF">
            <w:pPr>
              <w:spacing w:after="0"/>
              <w:rPr>
                <w:rFonts w:ascii="Times New Roman" w:hAnsi="Times New Roman" w:cs="Times New Roman"/>
                <w:sz w:val="20"/>
                <w:szCs w:val="20"/>
              </w:rPr>
            </w:pPr>
            <w:r w:rsidRPr="001000E9">
              <w:rPr>
                <w:rFonts w:ascii="Times New Roman" w:hAnsi="Times New Roman" w:cs="Times New Roman"/>
                <w:sz w:val="20"/>
                <w:szCs w:val="20"/>
              </w:rPr>
              <w:t>Without transfer</w:t>
            </w:r>
          </w:p>
        </w:tc>
        <w:tc>
          <w:tcPr>
            <w:tcW w:w="642" w:type="pct"/>
            <w:tcBorders>
              <w:top w:val="single" w:sz="6" w:space="0" w:color="auto"/>
              <w:left w:val="nil"/>
              <w:bottom w:val="double" w:sz="4" w:space="0" w:color="auto"/>
              <w:right w:val="nil"/>
            </w:tcBorders>
            <w:shd w:val="clear" w:color="auto" w:fill="auto"/>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6.9</w:t>
            </w:r>
          </w:p>
        </w:tc>
        <w:tc>
          <w:tcPr>
            <w:tcW w:w="642" w:type="pct"/>
            <w:tcBorders>
              <w:top w:val="single" w:sz="6" w:space="0" w:color="auto"/>
              <w:left w:val="nil"/>
              <w:bottom w:val="double" w:sz="4" w:space="0" w:color="auto"/>
              <w:right w:val="nil"/>
            </w:tcBorders>
            <w:shd w:val="clear" w:color="auto" w:fill="auto"/>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6.9</w:t>
            </w:r>
          </w:p>
        </w:tc>
        <w:tc>
          <w:tcPr>
            <w:tcW w:w="691" w:type="pct"/>
            <w:tcBorders>
              <w:top w:val="single" w:sz="6" w:space="0" w:color="auto"/>
              <w:left w:val="nil"/>
              <w:bottom w:val="double" w:sz="4" w:space="0" w:color="auto"/>
              <w:right w:val="single" w:sz="4" w:space="0" w:color="auto"/>
            </w:tcBorders>
            <w:shd w:val="clear" w:color="auto" w:fill="auto"/>
            <w:tcMar>
              <w:top w:w="15" w:type="dxa"/>
              <w:left w:w="108" w:type="dxa"/>
              <w:bottom w:w="0" w:type="dxa"/>
              <w:right w:w="108" w:type="dxa"/>
            </w:tcMar>
          </w:tcPr>
          <w:p w:rsidR="00504398" w:rsidRPr="001000E9" w:rsidRDefault="00504398" w:rsidP="00D56EDF">
            <w:pPr>
              <w:spacing w:after="0"/>
              <w:jc w:val="center"/>
              <w:rPr>
                <w:rFonts w:ascii="Times New Roman" w:hAnsi="Times New Roman" w:cs="Times New Roman"/>
                <w:sz w:val="20"/>
                <w:szCs w:val="20"/>
              </w:rPr>
            </w:pPr>
            <w:r w:rsidRPr="001000E9">
              <w:rPr>
                <w:rFonts w:ascii="Times New Roman" w:hAnsi="Times New Roman" w:cs="Times New Roman"/>
                <w:sz w:val="20"/>
                <w:szCs w:val="20"/>
              </w:rPr>
              <w:t>6.9</w:t>
            </w:r>
          </w:p>
        </w:tc>
      </w:tr>
    </w:tbl>
    <w:p w:rsidR="00504398" w:rsidRPr="00875228" w:rsidRDefault="00504398" w:rsidP="001000E9">
      <w:pPr>
        <w:spacing w:after="0" w:line="240" w:lineRule="auto"/>
        <w:rPr>
          <w:rFonts w:ascii="Times New Roman" w:hAnsi="Times New Roman" w:cs="Times New Roman"/>
        </w:rPr>
      </w:pPr>
      <w:r w:rsidRPr="00FF44F6">
        <w:rPr>
          <w:rFonts w:ascii="Times New Roman" w:hAnsi="Times New Roman" w:cs="Times New Roman"/>
          <w:i/>
          <w:sz w:val="18"/>
          <w:szCs w:val="20"/>
        </w:rPr>
        <w:t>Source:</w:t>
      </w:r>
      <w:r w:rsidRPr="00553D7A">
        <w:rPr>
          <w:rFonts w:ascii="Times New Roman" w:hAnsi="Times New Roman"/>
          <w:sz w:val="18"/>
          <w:szCs w:val="18"/>
        </w:rPr>
        <w:t xml:space="preserve"> World Bank calculation based on the EDAM 3.</w:t>
      </w:r>
    </w:p>
    <w:p w:rsidR="00504398" w:rsidRDefault="00504398"/>
    <w:sectPr w:rsidR="00504398" w:rsidSect="00F116CC">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52E" w:rsidRDefault="008A552E" w:rsidP="00504398">
      <w:pPr>
        <w:spacing w:after="0" w:line="240" w:lineRule="auto"/>
      </w:pPr>
      <w:r>
        <w:separator/>
      </w:r>
    </w:p>
  </w:endnote>
  <w:endnote w:type="continuationSeparator" w:id="0">
    <w:p w:rsidR="008A552E" w:rsidRDefault="008A552E" w:rsidP="0050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B4" w:rsidRDefault="008C39B4">
    <w:pPr>
      <w:pStyle w:val="Footer"/>
      <w:jc w:val="right"/>
    </w:pPr>
  </w:p>
  <w:p w:rsidR="008C39B4" w:rsidRDefault="008C3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02128"/>
      <w:docPartObj>
        <w:docPartGallery w:val="Page Numbers (Bottom of Page)"/>
        <w:docPartUnique/>
      </w:docPartObj>
    </w:sdtPr>
    <w:sdtEndPr>
      <w:rPr>
        <w:rFonts w:ascii="Times New Roman" w:hAnsi="Times New Roman" w:cs="Times New Roman"/>
        <w:noProof/>
        <w:sz w:val="20"/>
      </w:rPr>
    </w:sdtEndPr>
    <w:sdtContent>
      <w:p w:rsidR="008C39B4" w:rsidRPr="009F579F" w:rsidRDefault="007C17CB">
        <w:pPr>
          <w:pStyle w:val="Footer"/>
          <w:jc w:val="center"/>
          <w:rPr>
            <w:rFonts w:ascii="Times New Roman" w:hAnsi="Times New Roman" w:cs="Times New Roman"/>
            <w:sz w:val="20"/>
          </w:rPr>
        </w:pPr>
      </w:p>
    </w:sdtContent>
  </w:sdt>
  <w:p w:rsidR="008C39B4" w:rsidRDefault="008C3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313259"/>
      <w:docPartObj>
        <w:docPartGallery w:val="Page Numbers (Bottom of Page)"/>
        <w:docPartUnique/>
      </w:docPartObj>
    </w:sdtPr>
    <w:sdtEndPr>
      <w:rPr>
        <w:noProof/>
      </w:rPr>
    </w:sdtEndPr>
    <w:sdtContent>
      <w:p w:rsidR="00F116CC" w:rsidRDefault="00F116CC">
        <w:pPr>
          <w:pStyle w:val="Footer"/>
          <w:jc w:val="center"/>
        </w:pPr>
        <w:r>
          <w:fldChar w:fldCharType="begin"/>
        </w:r>
        <w:r>
          <w:instrText xml:space="preserve"> PAGE   \* MERGEFORMAT </w:instrText>
        </w:r>
        <w:r>
          <w:fldChar w:fldCharType="separate"/>
        </w:r>
        <w:r w:rsidR="007C17CB">
          <w:rPr>
            <w:noProof/>
          </w:rPr>
          <w:t>15</w:t>
        </w:r>
        <w:r>
          <w:rPr>
            <w:noProof/>
          </w:rPr>
          <w:fldChar w:fldCharType="end"/>
        </w:r>
      </w:p>
    </w:sdtContent>
  </w:sdt>
  <w:p w:rsidR="008C39B4" w:rsidRDefault="008C39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526431"/>
      <w:docPartObj>
        <w:docPartGallery w:val="Page Numbers (Bottom of Page)"/>
        <w:docPartUnique/>
      </w:docPartObj>
    </w:sdtPr>
    <w:sdtEndPr>
      <w:rPr>
        <w:rFonts w:ascii="Times New Roman" w:hAnsi="Times New Roman" w:cs="Times New Roman"/>
        <w:noProof/>
        <w:sz w:val="20"/>
      </w:rPr>
    </w:sdtEndPr>
    <w:sdtContent>
      <w:p w:rsidR="00F116CC" w:rsidRPr="009F579F" w:rsidRDefault="00F116CC">
        <w:pPr>
          <w:pStyle w:val="Footer"/>
          <w:jc w:val="center"/>
          <w:rPr>
            <w:rFonts w:ascii="Times New Roman" w:hAnsi="Times New Roman" w:cs="Times New Roman"/>
            <w:sz w:val="20"/>
          </w:rPr>
        </w:pPr>
        <w:r w:rsidRPr="009F579F">
          <w:rPr>
            <w:rFonts w:ascii="Times New Roman" w:hAnsi="Times New Roman" w:cs="Times New Roman"/>
            <w:sz w:val="20"/>
          </w:rPr>
          <w:fldChar w:fldCharType="begin"/>
        </w:r>
        <w:r w:rsidRPr="009F579F">
          <w:rPr>
            <w:rFonts w:ascii="Times New Roman" w:hAnsi="Times New Roman" w:cs="Times New Roman"/>
            <w:sz w:val="20"/>
          </w:rPr>
          <w:instrText xml:space="preserve"> PAGE   \* MERGEFORMAT </w:instrText>
        </w:r>
        <w:r w:rsidRPr="009F579F">
          <w:rPr>
            <w:rFonts w:ascii="Times New Roman" w:hAnsi="Times New Roman" w:cs="Times New Roman"/>
            <w:sz w:val="20"/>
          </w:rPr>
          <w:fldChar w:fldCharType="separate"/>
        </w:r>
        <w:r>
          <w:rPr>
            <w:rFonts w:ascii="Times New Roman" w:hAnsi="Times New Roman" w:cs="Times New Roman"/>
            <w:noProof/>
            <w:sz w:val="20"/>
          </w:rPr>
          <w:t>1</w:t>
        </w:r>
        <w:r w:rsidRPr="009F579F">
          <w:rPr>
            <w:rFonts w:ascii="Times New Roman" w:hAnsi="Times New Roman" w:cs="Times New Roman"/>
            <w:noProof/>
            <w:sz w:val="20"/>
          </w:rPr>
          <w:fldChar w:fldCharType="end"/>
        </w:r>
      </w:p>
    </w:sdtContent>
  </w:sdt>
  <w:p w:rsidR="00F116CC" w:rsidRDefault="00F11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52E" w:rsidRDefault="008A552E" w:rsidP="00504398">
      <w:pPr>
        <w:spacing w:after="0" w:line="240" w:lineRule="auto"/>
      </w:pPr>
      <w:r>
        <w:separator/>
      </w:r>
    </w:p>
  </w:footnote>
  <w:footnote w:type="continuationSeparator" w:id="0">
    <w:p w:rsidR="008A552E" w:rsidRDefault="008A552E" w:rsidP="00504398">
      <w:pPr>
        <w:spacing w:after="0" w:line="240" w:lineRule="auto"/>
      </w:pPr>
      <w:r>
        <w:continuationSeparator/>
      </w:r>
    </w:p>
  </w:footnote>
  <w:footnote w:id="1">
    <w:p w:rsidR="008C39B4" w:rsidRPr="00DF0CE6" w:rsidRDefault="008C39B4" w:rsidP="00DF0CE6">
      <w:pPr>
        <w:pStyle w:val="FootnoteText"/>
        <w:rPr>
          <w:rFonts w:ascii="Times New Roman" w:hAnsi="Times New Roman" w:cs="Times New Roman"/>
        </w:rPr>
      </w:pPr>
      <w:r w:rsidRPr="00CD31A5">
        <w:rPr>
          <w:rStyle w:val="FootnoteReference"/>
          <w:rFonts w:ascii="Times New Roman" w:hAnsi="Times New Roman" w:cs="Times New Roman"/>
          <w:sz w:val="18"/>
        </w:rPr>
        <w:footnoteRef/>
      </w:r>
      <w:r w:rsidRPr="00CD31A5">
        <w:rPr>
          <w:rFonts w:ascii="Times New Roman" w:hAnsi="Times New Roman" w:cs="Times New Roman"/>
          <w:sz w:val="18"/>
        </w:rPr>
        <w:t xml:space="preserve"> The EDAM</w:t>
      </w:r>
      <w:r>
        <w:rPr>
          <w:rFonts w:ascii="Times New Roman" w:hAnsi="Times New Roman" w:cs="Times New Roman"/>
          <w:sz w:val="18"/>
        </w:rPr>
        <w:t xml:space="preserve"> </w:t>
      </w:r>
      <w:r w:rsidRPr="00CD31A5">
        <w:rPr>
          <w:rFonts w:ascii="Times New Roman" w:hAnsi="Times New Roman" w:cs="Times New Roman"/>
          <w:sz w:val="18"/>
        </w:rPr>
        <w:t>3 sample slightly underestimates the size of households</w:t>
      </w:r>
      <w:r>
        <w:rPr>
          <w:rFonts w:ascii="Times New Roman" w:hAnsi="Times New Roman" w:cs="Times New Roman"/>
          <w:sz w:val="18"/>
        </w:rPr>
        <w:t>,</w:t>
      </w:r>
      <w:r w:rsidRPr="00CD31A5">
        <w:rPr>
          <w:rFonts w:ascii="Times New Roman" w:hAnsi="Times New Roman" w:cs="Times New Roman"/>
          <w:sz w:val="18"/>
        </w:rPr>
        <w:t xml:space="preserve"> and the level of</w:t>
      </w:r>
      <w:r>
        <w:rPr>
          <w:rFonts w:ascii="Times New Roman" w:hAnsi="Times New Roman" w:cs="Times New Roman"/>
          <w:sz w:val="18"/>
        </w:rPr>
        <w:t xml:space="preserve"> average</w:t>
      </w:r>
      <w:r w:rsidRPr="00CD31A5">
        <w:rPr>
          <w:rFonts w:ascii="Times New Roman" w:hAnsi="Times New Roman" w:cs="Times New Roman"/>
          <w:sz w:val="18"/>
        </w:rPr>
        <w:t xml:space="preserve"> per capita </w:t>
      </w:r>
      <w:r>
        <w:rPr>
          <w:rFonts w:ascii="Times New Roman" w:hAnsi="Times New Roman" w:cs="Times New Roman"/>
          <w:sz w:val="18"/>
        </w:rPr>
        <w:t xml:space="preserve">total household </w:t>
      </w:r>
      <w:r w:rsidRPr="00CD31A5">
        <w:rPr>
          <w:rFonts w:ascii="Times New Roman" w:hAnsi="Times New Roman" w:cs="Times New Roman"/>
          <w:sz w:val="18"/>
        </w:rPr>
        <w:t>expenditure is therefore slightly overvalued in this survey. Since this study focuses primarily on expenditure quintiles, the effect of this general overvaluation is marginal. Furthermore, and in contrast to the recently updated national poverty profile that combines data from EDAM</w:t>
      </w:r>
      <w:r>
        <w:rPr>
          <w:rFonts w:ascii="Times New Roman" w:hAnsi="Times New Roman" w:cs="Times New Roman"/>
          <w:sz w:val="18"/>
        </w:rPr>
        <w:t xml:space="preserve"> </w:t>
      </w:r>
      <w:r w:rsidRPr="00CD31A5">
        <w:rPr>
          <w:rFonts w:ascii="Times New Roman" w:hAnsi="Times New Roman" w:cs="Times New Roman"/>
          <w:sz w:val="18"/>
        </w:rPr>
        <w:t>3 and the Budget and Consumption Survey (EBC), this study uses data from EDAM</w:t>
      </w:r>
      <w:r>
        <w:rPr>
          <w:rFonts w:ascii="Times New Roman" w:hAnsi="Times New Roman" w:cs="Times New Roman"/>
          <w:sz w:val="18"/>
        </w:rPr>
        <w:t xml:space="preserve"> </w:t>
      </w:r>
      <w:r w:rsidRPr="00CD31A5">
        <w:rPr>
          <w:rFonts w:ascii="Times New Roman" w:hAnsi="Times New Roman" w:cs="Times New Roman"/>
          <w:sz w:val="18"/>
        </w:rPr>
        <w:t xml:space="preserve">3 and </w:t>
      </w:r>
      <w:r>
        <w:rPr>
          <w:rFonts w:ascii="Times New Roman" w:hAnsi="Times New Roman" w:cs="Times New Roman"/>
          <w:sz w:val="18"/>
        </w:rPr>
        <w:t xml:space="preserve">its expenditure </w:t>
      </w:r>
      <w:r w:rsidRPr="00CD31A5">
        <w:rPr>
          <w:rFonts w:ascii="Times New Roman" w:hAnsi="Times New Roman" w:cs="Times New Roman"/>
          <w:sz w:val="18"/>
        </w:rPr>
        <w:t>aggregate</w:t>
      </w:r>
      <w:r>
        <w:rPr>
          <w:rFonts w:ascii="Times New Roman" w:hAnsi="Times New Roman" w:cs="Times New Roman"/>
          <w:sz w:val="18"/>
        </w:rPr>
        <w:t xml:space="preserve"> only.</w:t>
      </w:r>
      <w:r w:rsidRPr="00CD31A5">
        <w:rPr>
          <w:rFonts w:ascii="Times New Roman" w:hAnsi="Times New Roman" w:cs="Times New Roman"/>
          <w:sz w:val="18"/>
        </w:rPr>
        <w:t xml:space="preserve"> The aggregate used in this study, however, is highly correlated with that used for the poverty profile produced by the DISED and </w:t>
      </w:r>
      <w:r>
        <w:rPr>
          <w:rFonts w:ascii="Times New Roman" w:hAnsi="Times New Roman" w:cs="Times New Roman"/>
          <w:sz w:val="18"/>
        </w:rPr>
        <w:t xml:space="preserve">we do not see any </w:t>
      </w:r>
      <w:r w:rsidRPr="00CD31A5">
        <w:rPr>
          <w:rFonts w:ascii="Times New Roman" w:hAnsi="Times New Roman" w:cs="Times New Roman"/>
          <w:sz w:val="18"/>
        </w:rPr>
        <w:t xml:space="preserve">conflict between the analysis in this study and the figures recently approved by the </w:t>
      </w:r>
      <w:r>
        <w:rPr>
          <w:rFonts w:ascii="Times New Roman" w:hAnsi="Times New Roman" w:cs="Times New Roman"/>
          <w:sz w:val="18"/>
        </w:rPr>
        <w:t>g</w:t>
      </w:r>
      <w:r w:rsidRPr="00CD31A5">
        <w:rPr>
          <w:rFonts w:ascii="Times New Roman" w:hAnsi="Times New Roman" w:cs="Times New Roman"/>
          <w:sz w:val="18"/>
        </w:rPr>
        <w:t>overnment.</w:t>
      </w:r>
    </w:p>
  </w:footnote>
  <w:footnote w:id="2">
    <w:p w:rsidR="008C39B4" w:rsidRPr="008C39B4" w:rsidRDefault="008C39B4">
      <w:pPr>
        <w:pStyle w:val="FootnoteText"/>
        <w:rPr>
          <w:rFonts w:ascii="Times New Roman" w:hAnsi="Times New Roman" w:cs="Times New Roman"/>
          <w:sz w:val="18"/>
          <w:szCs w:val="18"/>
        </w:rPr>
      </w:pPr>
      <w:r w:rsidRPr="008C39B4">
        <w:rPr>
          <w:rStyle w:val="FootnoteReference"/>
          <w:rFonts w:ascii="Times New Roman" w:hAnsi="Times New Roman" w:cs="Times New Roman"/>
          <w:sz w:val="18"/>
          <w:szCs w:val="18"/>
        </w:rPr>
        <w:footnoteRef/>
      </w:r>
      <w:r w:rsidRPr="008C39B4">
        <w:rPr>
          <w:rFonts w:ascii="Times New Roman" w:hAnsi="Times New Roman" w:cs="Times New Roman"/>
          <w:sz w:val="18"/>
          <w:szCs w:val="18"/>
        </w:rPr>
        <w:t xml:space="preserve"> In this report we try to avoid the terms “poverty line” and “poverty headcount” in order to differentiate our analysis from the poverty profile produced by the DISED</w:t>
      </w:r>
    </w:p>
  </w:footnote>
  <w:footnote w:id="3">
    <w:p w:rsidR="008C39B4" w:rsidRDefault="008C39B4" w:rsidP="00AB1A0B">
      <w:pPr>
        <w:pStyle w:val="FootnoteText"/>
      </w:pPr>
      <w:r>
        <w:rPr>
          <w:rStyle w:val="FootnoteReference"/>
        </w:rPr>
        <w:footnoteRef/>
      </w:r>
      <w:r>
        <w:t xml:space="preserve"> </w:t>
      </w:r>
      <w:r w:rsidRPr="00D4210A">
        <w:rPr>
          <w:rFonts w:ascii="Times New Roman" w:hAnsi="Times New Roman" w:cs="Times New Roman"/>
          <w:sz w:val="18"/>
        </w:rPr>
        <w:t>De Broek</w:t>
      </w:r>
      <w:r>
        <w:rPr>
          <w:rFonts w:ascii="Times New Roman" w:hAnsi="Times New Roman" w:cs="Times New Roman"/>
          <w:sz w:val="18"/>
        </w:rPr>
        <w:t>,</w:t>
      </w:r>
      <w:r w:rsidRPr="00E16C70">
        <w:rPr>
          <w:rFonts w:ascii="Times New Roman" w:hAnsi="Times New Roman" w:cs="Times New Roman"/>
          <w:sz w:val="18"/>
        </w:rPr>
        <w:t xml:space="preserve"> </w:t>
      </w:r>
      <w:r w:rsidRPr="00D4210A">
        <w:rPr>
          <w:rFonts w:ascii="Times New Roman" w:hAnsi="Times New Roman" w:cs="Times New Roman"/>
          <w:sz w:val="18"/>
        </w:rPr>
        <w:t>M., A Kangur, and R. Kpodar.</w:t>
      </w:r>
      <w:r>
        <w:rPr>
          <w:rFonts w:ascii="Times New Roman" w:hAnsi="Times New Roman" w:cs="Times New Roman"/>
          <w:sz w:val="18"/>
        </w:rPr>
        <w:t xml:space="preserve"> 2012. </w:t>
      </w:r>
      <w:r w:rsidRPr="00D41C01">
        <w:rPr>
          <w:rFonts w:ascii="Times New Roman" w:hAnsi="Times New Roman" w:cs="Times New Roman"/>
          <w:i/>
          <w:sz w:val="18"/>
        </w:rPr>
        <w:t>Djibouti: Fuel Price Subsidy Reform</w:t>
      </w:r>
      <w:r w:rsidRPr="00D41C01">
        <w:rPr>
          <w:rFonts w:ascii="Times New Roman" w:hAnsi="Times New Roman" w:cs="Times New Roman"/>
          <w:sz w:val="18"/>
        </w:rPr>
        <w:t xml:space="preserve">. </w:t>
      </w:r>
      <w:r w:rsidRPr="00D62C41">
        <w:rPr>
          <w:rFonts w:ascii="Times New Roman" w:hAnsi="Times New Roman" w:cs="Times New Roman"/>
          <w:sz w:val="18"/>
        </w:rPr>
        <w:t>IMF</w:t>
      </w:r>
      <w:r>
        <w:rPr>
          <w:rFonts w:ascii="Times New Roman" w:hAnsi="Times New Roman" w:cs="Times New Roman"/>
          <w:sz w:val="18"/>
        </w:rPr>
        <w:t>.</w:t>
      </w:r>
    </w:p>
  </w:footnote>
  <w:footnote w:id="4">
    <w:p w:rsidR="008C39B4" w:rsidRPr="0085074C" w:rsidRDefault="008C39B4" w:rsidP="00504398">
      <w:pPr>
        <w:pStyle w:val="FootnoteText"/>
        <w:rPr>
          <w:rFonts w:ascii="Times New Roman" w:hAnsi="Times New Roman" w:cs="Times New Roman"/>
        </w:rPr>
      </w:pPr>
      <w:r w:rsidRPr="0085074C">
        <w:rPr>
          <w:rStyle w:val="FootnoteReference"/>
          <w:rFonts w:ascii="Times New Roman" w:hAnsi="Times New Roman" w:cs="Times New Roman"/>
          <w:sz w:val="18"/>
        </w:rPr>
        <w:footnoteRef/>
      </w:r>
      <w:r w:rsidRPr="0085074C">
        <w:rPr>
          <w:rFonts w:ascii="Times New Roman" w:hAnsi="Times New Roman" w:cs="Times New Roman"/>
          <w:sz w:val="18"/>
        </w:rPr>
        <w:t xml:space="preserve"> GDP for 2013 is estimated at US$1.456 billion.</w:t>
      </w:r>
    </w:p>
  </w:footnote>
  <w:footnote w:id="5">
    <w:p w:rsidR="008C39B4" w:rsidRPr="0085074C" w:rsidRDefault="008C39B4">
      <w:pPr>
        <w:pStyle w:val="FootnoteText"/>
        <w:rPr>
          <w:rFonts w:ascii="Times New Roman" w:hAnsi="Times New Roman" w:cs="Times New Roman"/>
        </w:rPr>
      </w:pPr>
      <w:r w:rsidRPr="0085074C">
        <w:rPr>
          <w:rStyle w:val="FootnoteReference"/>
          <w:rFonts w:ascii="Times New Roman" w:hAnsi="Times New Roman" w:cs="Times New Roman"/>
          <w:sz w:val="18"/>
        </w:rPr>
        <w:footnoteRef/>
      </w:r>
      <w:r w:rsidRPr="0085074C">
        <w:rPr>
          <w:rFonts w:ascii="Times New Roman" w:hAnsi="Times New Roman" w:cs="Times New Roman"/>
          <w:sz w:val="18"/>
        </w:rPr>
        <w:t xml:space="preserve"> </w:t>
      </w:r>
      <w:r w:rsidRPr="0085074C">
        <w:rPr>
          <w:rFonts w:ascii="Times New Roman" w:hAnsi="Times New Roman" w:cs="Times New Roman"/>
          <w:bCs/>
          <w:sz w:val="18"/>
        </w:rPr>
        <w:t>This functionality will be part of the forthcoming social registry which will be used to identify, classify</w:t>
      </w:r>
      <w:r>
        <w:rPr>
          <w:rFonts w:ascii="Times New Roman" w:hAnsi="Times New Roman" w:cs="Times New Roman"/>
          <w:bCs/>
          <w:sz w:val="18"/>
        </w:rPr>
        <w:t>,</w:t>
      </w:r>
      <w:r w:rsidRPr="0085074C">
        <w:rPr>
          <w:rFonts w:ascii="Times New Roman" w:hAnsi="Times New Roman" w:cs="Times New Roman"/>
          <w:bCs/>
          <w:sz w:val="18"/>
        </w:rPr>
        <w:t xml:space="preserve"> and target households that would be considered poor or vulnerable</w:t>
      </w:r>
      <w:r>
        <w:rPr>
          <w:rFonts w:ascii="Times New Roman" w:hAnsi="Times New Roman" w:cs="Times New Roman"/>
          <w:bCs/>
          <w:sz w:val="18"/>
        </w:rPr>
        <w:t>,</w:t>
      </w:r>
      <w:r w:rsidRPr="0085074C">
        <w:rPr>
          <w:rFonts w:ascii="Times New Roman" w:hAnsi="Times New Roman" w:cs="Times New Roman"/>
          <w:bCs/>
          <w:sz w:val="18"/>
        </w:rPr>
        <w:t xml:space="preserve"> to improve the delivery of assistance to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B4" w:rsidRDefault="008C3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B4" w:rsidRDefault="008C3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06F39"/>
    <w:multiLevelType w:val="hybridMultilevel"/>
    <w:tmpl w:val="6980BA10"/>
    <w:lvl w:ilvl="0" w:tplc="04090001">
      <w:start w:val="1"/>
      <w:numFmt w:val="bullet"/>
      <w:lvlText w:val=""/>
      <w:lvlJc w:val="left"/>
      <w:pPr>
        <w:ind w:left="450" w:hanging="360"/>
      </w:pPr>
      <w:rPr>
        <w:rFonts w:ascii="Symbol" w:hAnsi="Symbol"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439E6"/>
    <w:multiLevelType w:val="multilevel"/>
    <w:tmpl w:val="F8383A6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10350"/>
        </w:tabs>
        <w:ind w:left="10350" w:hanging="720"/>
      </w:pPr>
      <w:rPr>
        <w:rFonts w:hint="default"/>
        <w:b w:val="0"/>
        <w:i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38"/>
        </w:tabs>
        <w:ind w:left="1778"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6440E16"/>
    <w:multiLevelType w:val="hybridMultilevel"/>
    <w:tmpl w:val="12C8077E"/>
    <w:lvl w:ilvl="0" w:tplc="6788635E">
      <w:start w:val="1"/>
      <w:numFmt w:val="decimal"/>
      <w:lvlText w:val="%1."/>
      <w:lvlJc w:val="left"/>
      <w:pPr>
        <w:ind w:left="450" w:hanging="360"/>
      </w:pPr>
      <w:rPr>
        <w:rFonts w:ascii="Times New Roman" w:hAnsi="Times New Roman" w:cs="Times New Roman" w:hint="default"/>
        <w:b w:val="0"/>
        <w:i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6763E"/>
    <w:multiLevelType w:val="hybridMultilevel"/>
    <w:tmpl w:val="51E0966A"/>
    <w:lvl w:ilvl="0" w:tplc="0409000F">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98"/>
    <w:rsid w:val="00007300"/>
    <w:rsid w:val="00083CF1"/>
    <w:rsid w:val="00097665"/>
    <w:rsid w:val="000C6F02"/>
    <w:rsid w:val="000E0266"/>
    <w:rsid w:val="000E4797"/>
    <w:rsid w:val="000E78EB"/>
    <w:rsid w:val="000E7D76"/>
    <w:rsid w:val="001000E9"/>
    <w:rsid w:val="001218E7"/>
    <w:rsid w:val="00152878"/>
    <w:rsid w:val="00154B09"/>
    <w:rsid w:val="00155F5C"/>
    <w:rsid w:val="00163277"/>
    <w:rsid w:val="001811EE"/>
    <w:rsid w:val="00185C08"/>
    <w:rsid w:val="001E48D0"/>
    <w:rsid w:val="001F5A38"/>
    <w:rsid w:val="00200909"/>
    <w:rsid w:val="00250E53"/>
    <w:rsid w:val="00257B89"/>
    <w:rsid w:val="00272AF2"/>
    <w:rsid w:val="00281755"/>
    <w:rsid w:val="002E7416"/>
    <w:rsid w:val="003039A5"/>
    <w:rsid w:val="00325E37"/>
    <w:rsid w:val="00345436"/>
    <w:rsid w:val="00357752"/>
    <w:rsid w:val="003A50D2"/>
    <w:rsid w:val="003F3439"/>
    <w:rsid w:val="00450D29"/>
    <w:rsid w:val="00491100"/>
    <w:rsid w:val="00496B0E"/>
    <w:rsid w:val="00503729"/>
    <w:rsid w:val="00504398"/>
    <w:rsid w:val="0053501C"/>
    <w:rsid w:val="00560747"/>
    <w:rsid w:val="005A47C8"/>
    <w:rsid w:val="005A582C"/>
    <w:rsid w:val="005F242B"/>
    <w:rsid w:val="00600CD2"/>
    <w:rsid w:val="0063508F"/>
    <w:rsid w:val="006723E9"/>
    <w:rsid w:val="00677031"/>
    <w:rsid w:val="006803CD"/>
    <w:rsid w:val="00686CC9"/>
    <w:rsid w:val="006E2138"/>
    <w:rsid w:val="006F432E"/>
    <w:rsid w:val="00715503"/>
    <w:rsid w:val="0072385D"/>
    <w:rsid w:val="00727CAC"/>
    <w:rsid w:val="0073442C"/>
    <w:rsid w:val="00767D76"/>
    <w:rsid w:val="007911E8"/>
    <w:rsid w:val="007A3FA3"/>
    <w:rsid w:val="007C17CB"/>
    <w:rsid w:val="007D2E12"/>
    <w:rsid w:val="007E46A0"/>
    <w:rsid w:val="007F19AD"/>
    <w:rsid w:val="008241D2"/>
    <w:rsid w:val="00824FD0"/>
    <w:rsid w:val="0085074C"/>
    <w:rsid w:val="008733FE"/>
    <w:rsid w:val="008A552E"/>
    <w:rsid w:val="008C39B4"/>
    <w:rsid w:val="008D56ED"/>
    <w:rsid w:val="008D71E6"/>
    <w:rsid w:val="008E72E4"/>
    <w:rsid w:val="008F7BE5"/>
    <w:rsid w:val="00962ADE"/>
    <w:rsid w:val="009759FD"/>
    <w:rsid w:val="009B70F6"/>
    <w:rsid w:val="009C544A"/>
    <w:rsid w:val="009E6F6B"/>
    <w:rsid w:val="009F579F"/>
    <w:rsid w:val="009F6B1D"/>
    <w:rsid w:val="00A2188B"/>
    <w:rsid w:val="00A42EBB"/>
    <w:rsid w:val="00AB1A0B"/>
    <w:rsid w:val="00AE145F"/>
    <w:rsid w:val="00B4739E"/>
    <w:rsid w:val="00BD4E04"/>
    <w:rsid w:val="00BD7521"/>
    <w:rsid w:val="00BE2335"/>
    <w:rsid w:val="00BF60E1"/>
    <w:rsid w:val="00C63AB5"/>
    <w:rsid w:val="00CA70DF"/>
    <w:rsid w:val="00CB6774"/>
    <w:rsid w:val="00CC444C"/>
    <w:rsid w:val="00CD31A5"/>
    <w:rsid w:val="00D1038F"/>
    <w:rsid w:val="00D56EDF"/>
    <w:rsid w:val="00D62C41"/>
    <w:rsid w:val="00D65CD3"/>
    <w:rsid w:val="00D92EC4"/>
    <w:rsid w:val="00DF0CE6"/>
    <w:rsid w:val="00E34652"/>
    <w:rsid w:val="00E34693"/>
    <w:rsid w:val="00E57B35"/>
    <w:rsid w:val="00EE48C2"/>
    <w:rsid w:val="00EF6B01"/>
    <w:rsid w:val="00F116CC"/>
    <w:rsid w:val="00F371C6"/>
    <w:rsid w:val="00F46A6C"/>
    <w:rsid w:val="00F710B6"/>
    <w:rsid w:val="00FC6BAE"/>
    <w:rsid w:val="00FF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6680431-ACF1-4E38-A6CC-D8CC1A0A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71"/>
    <w:lsdException w:name="Colorful List" w:uiPriority="72"/>
    <w:lsdException w:name="Colorful Grid" w:uiPriority="64"/>
    <w:lsdException w:name="Light Shading Accent 1" w:uiPriority="60"/>
    <w:lsdException w:name="Light List Accent 1" w:uiPriority="66"/>
    <w:lsdException w:name="Light Grid Accent 1" w:uiPriority="62"/>
    <w:lsdException w:name="Medium Shading 1 Accent 1" w:uiPriority="63"/>
    <w:lsdException w:name="Medium Shading 2 Accent 1" w:uiPriority="69"/>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98"/>
    <w:rPr>
      <w:rFonts w:eastAsiaTheme="minorEastAsia"/>
    </w:rPr>
  </w:style>
  <w:style w:type="paragraph" w:styleId="Heading1">
    <w:name w:val="heading 1"/>
    <w:basedOn w:val="Normal"/>
    <w:next w:val="Normal"/>
    <w:link w:val="Heading1Char"/>
    <w:uiPriority w:val="9"/>
    <w:qFormat/>
    <w:rsid w:val="00504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43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Bullets,Colorful List - Accent 11,Bullet paras"/>
    <w:basedOn w:val="Normal"/>
    <w:link w:val="ListParagraphChar"/>
    <w:uiPriority w:val="34"/>
    <w:qFormat/>
    <w:rsid w:val="00504398"/>
    <w:pPr>
      <w:ind w:left="720"/>
      <w:contextualSpacing/>
    </w:pPr>
    <w:rPr>
      <w:rFonts w:eastAsiaTheme="minorHAnsi"/>
    </w:rPr>
  </w:style>
  <w:style w:type="character" w:customStyle="1" w:styleId="ListParagraphChar">
    <w:name w:val="List Paragraph Char"/>
    <w:aliases w:val="Liste 1 Char,Bullets Char,Colorful List - Accent 11 Char,Bullet paras Char"/>
    <w:link w:val="ListParagraph"/>
    <w:uiPriority w:val="34"/>
    <w:rsid w:val="00504398"/>
  </w:style>
  <w:style w:type="paragraph" w:styleId="Caption">
    <w:name w:val="caption"/>
    <w:basedOn w:val="Normal"/>
    <w:next w:val="Normal"/>
    <w:uiPriority w:val="35"/>
    <w:unhideWhenUsed/>
    <w:qFormat/>
    <w:rsid w:val="00E57B35"/>
    <w:pPr>
      <w:keepNext/>
      <w:spacing w:before="120" w:after="120" w:line="240" w:lineRule="auto"/>
      <w:jc w:val="center"/>
    </w:pPr>
    <w:rPr>
      <w:rFonts w:ascii="Times New Roman" w:eastAsiaTheme="minorHAnsi" w:hAnsi="Times New Roman" w:cs="Times New Roman"/>
      <w:b/>
      <w:bCs/>
      <w:sz w:val="20"/>
      <w:szCs w:val="20"/>
    </w:rPr>
  </w:style>
  <w:style w:type="paragraph" w:customStyle="1" w:styleId="Head3">
    <w:name w:val="Head 3"/>
    <w:basedOn w:val="Normal"/>
    <w:link w:val="Head3Char"/>
    <w:qFormat/>
    <w:rsid w:val="00504398"/>
    <w:pPr>
      <w:spacing w:before="120" w:after="240" w:line="240" w:lineRule="auto"/>
      <w:ind w:right="-187"/>
    </w:pPr>
    <w:rPr>
      <w:rFonts w:ascii="Times New Roman" w:eastAsiaTheme="minorHAnsi" w:hAnsi="Times New Roman"/>
      <w:b/>
      <w:iCs/>
      <w:sz w:val="24"/>
    </w:rPr>
  </w:style>
  <w:style w:type="character" w:customStyle="1" w:styleId="Head3Char">
    <w:name w:val="Head 3 Char"/>
    <w:basedOn w:val="DefaultParagraphFont"/>
    <w:link w:val="Head3"/>
    <w:rsid w:val="00504398"/>
    <w:rPr>
      <w:rFonts w:ascii="Times New Roman" w:hAnsi="Times New Roman"/>
      <w:b/>
      <w:iCs/>
      <w:sz w:val="24"/>
    </w:rPr>
  </w:style>
  <w:style w:type="paragraph" w:styleId="FootnoteText">
    <w:name w:val="footnote text"/>
    <w:aliases w:val="FOOTNOTES,fn,single space,footnote text,ALTS FOOTNOTE Car,ALTS FOOTNOTE,Footnote Text Char1 Char,Footnote Text Char Char Char1,Footnote Text Char1 Char Char Char1,Footnote,ADB,single space1,footnote text1,FOOTNOTES1,WB-Fu€notentext,Fu€note"/>
    <w:basedOn w:val="Normal"/>
    <w:link w:val="FootnoteTextChar"/>
    <w:uiPriority w:val="99"/>
    <w:unhideWhenUsed/>
    <w:rsid w:val="00504398"/>
    <w:pPr>
      <w:spacing w:after="0" w:line="240" w:lineRule="auto"/>
    </w:pPr>
    <w:rPr>
      <w:rFonts w:eastAsiaTheme="minorHAnsi"/>
      <w:sz w:val="20"/>
      <w:szCs w:val="20"/>
    </w:rPr>
  </w:style>
  <w:style w:type="character" w:customStyle="1" w:styleId="FootnoteTextChar">
    <w:name w:val="Footnote Text Char"/>
    <w:aliases w:val="FOOTNOTES Char1,fn Char1,single space Char1,footnote text Char1,ALTS FOOTNOTE Car Char1,ALTS FOOTNOTE Char1,Footnote Text Char1 Char Char1,Footnote Text Char Char Char1 Char1,Footnote Text Char1 Char Char Char1 Char1,Footnote Char"/>
    <w:basedOn w:val="DefaultParagraphFont"/>
    <w:link w:val="FootnoteText"/>
    <w:uiPriority w:val="99"/>
    <w:rsid w:val="00504398"/>
    <w:rPr>
      <w:sz w:val="20"/>
      <w:szCs w:val="20"/>
    </w:rPr>
  </w:style>
  <w:style w:type="character" w:styleId="FootnoteReference">
    <w:name w:val="footnote reference"/>
    <w:aliases w:val="Error-Fuónotenzeichen5,Error-Fuónotenzeichen6,Error-Fuónotenzeichen3,16 Point,Superscript 6 Point,Ref,de nota al pie,Footnote Reference 2,BVI fnr,ftref,Char Char Char Char Car Char,SUPERS,Error-FuÛnotenzeichen5,Error-FuÛnotenzeichen6"/>
    <w:basedOn w:val="DefaultParagraphFont"/>
    <w:uiPriority w:val="99"/>
    <w:unhideWhenUsed/>
    <w:rsid w:val="00504398"/>
    <w:rPr>
      <w:vertAlign w:val="superscript"/>
    </w:rPr>
  </w:style>
  <w:style w:type="character" w:styleId="Hyperlink">
    <w:name w:val="Hyperlink"/>
    <w:basedOn w:val="DefaultParagraphFont"/>
    <w:uiPriority w:val="99"/>
    <w:unhideWhenUsed/>
    <w:rsid w:val="00504398"/>
    <w:rPr>
      <w:color w:val="0000FF"/>
      <w:u w:val="single"/>
    </w:rPr>
  </w:style>
  <w:style w:type="character" w:customStyle="1" w:styleId="Heading1Char">
    <w:name w:val="Heading 1 Char"/>
    <w:basedOn w:val="DefaultParagraphFont"/>
    <w:link w:val="Heading1"/>
    <w:uiPriority w:val="9"/>
    <w:rsid w:val="00504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43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398"/>
    <w:rPr>
      <w:rFonts w:asciiTheme="majorHAnsi" w:eastAsiaTheme="majorEastAsia" w:hAnsiTheme="majorHAnsi" w:cstheme="majorBidi"/>
      <w:b/>
      <w:bCs/>
      <w:color w:val="4F81BD" w:themeColor="accent1"/>
    </w:rPr>
  </w:style>
  <w:style w:type="paragraph" w:customStyle="1" w:styleId="Default">
    <w:name w:val="Default"/>
    <w:rsid w:val="005043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04398"/>
    <w:pPr>
      <w:spacing w:after="0" w:line="240" w:lineRule="auto"/>
    </w:pPr>
  </w:style>
  <w:style w:type="table" w:styleId="TableGrid">
    <w:name w:val="Table Grid"/>
    <w:basedOn w:val="TableNormal"/>
    <w:uiPriority w:val="59"/>
    <w:rsid w:val="00504398"/>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398"/>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504398"/>
  </w:style>
  <w:style w:type="paragraph" w:styleId="Footer">
    <w:name w:val="footer"/>
    <w:basedOn w:val="Normal"/>
    <w:link w:val="FooterChar"/>
    <w:uiPriority w:val="99"/>
    <w:unhideWhenUsed/>
    <w:rsid w:val="00504398"/>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504398"/>
  </w:style>
  <w:style w:type="paragraph" w:styleId="BalloonText">
    <w:name w:val="Balloon Text"/>
    <w:basedOn w:val="Normal"/>
    <w:link w:val="BalloonTextChar"/>
    <w:uiPriority w:val="99"/>
    <w:unhideWhenUsed/>
    <w:rsid w:val="0050439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04398"/>
    <w:rPr>
      <w:rFonts w:ascii="Tahoma" w:hAnsi="Tahoma" w:cs="Tahoma"/>
      <w:sz w:val="16"/>
      <w:szCs w:val="16"/>
    </w:rPr>
  </w:style>
  <w:style w:type="character" w:styleId="CommentReference">
    <w:name w:val="annotation reference"/>
    <w:basedOn w:val="DefaultParagraphFont"/>
    <w:uiPriority w:val="99"/>
    <w:unhideWhenUsed/>
    <w:rsid w:val="00504398"/>
    <w:rPr>
      <w:sz w:val="18"/>
      <w:szCs w:val="18"/>
    </w:rPr>
  </w:style>
  <w:style w:type="paragraph" w:styleId="CommentText">
    <w:name w:val="annotation text"/>
    <w:basedOn w:val="Normal"/>
    <w:link w:val="CommentTextChar"/>
    <w:uiPriority w:val="99"/>
    <w:unhideWhenUsed/>
    <w:rsid w:val="00504398"/>
    <w:pPr>
      <w:spacing w:after="80" w:line="240" w:lineRule="auto"/>
    </w:pPr>
    <w:rPr>
      <w:rFonts w:eastAsiaTheme="minorHAnsi"/>
      <w:sz w:val="24"/>
      <w:szCs w:val="24"/>
    </w:rPr>
  </w:style>
  <w:style w:type="character" w:customStyle="1" w:styleId="CommentTextChar">
    <w:name w:val="Comment Text Char"/>
    <w:basedOn w:val="DefaultParagraphFont"/>
    <w:link w:val="CommentText"/>
    <w:uiPriority w:val="99"/>
    <w:rsid w:val="00504398"/>
    <w:rPr>
      <w:sz w:val="24"/>
      <w:szCs w:val="24"/>
    </w:rPr>
  </w:style>
  <w:style w:type="paragraph" w:styleId="CommentSubject">
    <w:name w:val="annotation subject"/>
    <w:basedOn w:val="CommentText"/>
    <w:next w:val="CommentText"/>
    <w:link w:val="CommentSubjectChar"/>
    <w:uiPriority w:val="99"/>
    <w:unhideWhenUsed/>
    <w:rsid w:val="00504398"/>
    <w:rPr>
      <w:b/>
      <w:bCs/>
      <w:sz w:val="20"/>
      <w:szCs w:val="20"/>
    </w:rPr>
  </w:style>
  <w:style w:type="character" w:customStyle="1" w:styleId="CommentSubjectChar">
    <w:name w:val="Comment Subject Char"/>
    <w:basedOn w:val="CommentTextChar"/>
    <w:link w:val="CommentSubject"/>
    <w:uiPriority w:val="99"/>
    <w:rsid w:val="00504398"/>
    <w:rPr>
      <w:b/>
      <w:bCs/>
      <w:sz w:val="20"/>
      <w:szCs w:val="20"/>
    </w:rPr>
  </w:style>
  <w:style w:type="table" w:styleId="LightShading">
    <w:name w:val="Light Shading"/>
    <w:basedOn w:val="TableNormal"/>
    <w:uiPriority w:val="60"/>
    <w:rsid w:val="005043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504398"/>
  </w:style>
  <w:style w:type="character" w:customStyle="1" w:styleId="shorttext">
    <w:name w:val="short_text"/>
    <w:basedOn w:val="DefaultParagraphFont"/>
    <w:rsid w:val="00504398"/>
  </w:style>
  <w:style w:type="paragraph" w:styleId="Revision">
    <w:name w:val="Revision"/>
    <w:hidden/>
    <w:uiPriority w:val="99"/>
    <w:semiHidden/>
    <w:rsid w:val="00504398"/>
    <w:pPr>
      <w:spacing w:after="0" w:line="240" w:lineRule="auto"/>
    </w:pPr>
  </w:style>
  <w:style w:type="character" w:styleId="FollowedHyperlink">
    <w:name w:val="FollowedHyperlink"/>
    <w:basedOn w:val="DefaultParagraphFont"/>
    <w:uiPriority w:val="99"/>
    <w:unhideWhenUsed/>
    <w:rsid w:val="00504398"/>
    <w:rPr>
      <w:color w:val="800080"/>
      <w:u w:val="single"/>
    </w:rPr>
  </w:style>
  <w:style w:type="paragraph" w:customStyle="1" w:styleId="xl64">
    <w:name w:val="xl64"/>
    <w:basedOn w:val="Normal"/>
    <w:rsid w:val="0050439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5">
    <w:name w:val="xl65"/>
    <w:basedOn w:val="Normal"/>
    <w:rsid w:val="00504398"/>
    <w:pPr>
      <w:shd w:val="clear" w:color="000000" w:fill="FFFFFF"/>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66">
    <w:name w:val="xl66"/>
    <w:basedOn w:val="Normal"/>
    <w:rsid w:val="00504398"/>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en-IN" w:eastAsia="en-IN"/>
    </w:rPr>
  </w:style>
  <w:style w:type="paragraph" w:customStyle="1" w:styleId="xl67">
    <w:name w:val="xl67"/>
    <w:basedOn w:val="Normal"/>
    <w:rsid w:val="00504398"/>
    <w:pPr>
      <w:shd w:val="clear" w:color="000000" w:fill="FFFF00"/>
      <w:spacing w:before="100" w:beforeAutospacing="1" w:after="100" w:afterAutospacing="1" w:line="240" w:lineRule="auto"/>
    </w:pPr>
    <w:rPr>
      <w:rFonts w:ascii="Times New Roman" w:eastAsia="Times New Roman" w:hAnsi="Times New Roman" w:cs="Times New Roman"/>
      <w:b/>
      <w:bCs/>
      <w:sz w:val="18"/>
      <w:szCs w:val="18"/>
      <w:lang w:val="en-IN" w:eastAsia="en-IN"/>
    </w:rPr>
  </w:style>
  <w:style w:type="paragraph" w:customStyle="1" w:styleId="xl68">
    <w:name w:val="xl68"/>
    <w:basedOn w:val="Normal"/>
    <w:rsid w:val="005043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69">
    <w:name w:val="xl69"/>
    <w:basedOn w:val="Normal"/>
    <w:rsid w:val="00504398"/>
    <w:pPr>
      <w:shd w:val="clear" w:color="000000" w:fill="FFFF0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70">
    <w:name w:val="xl70"/>
    <w:basedOn w:val="Normal"/>
    <w:rsid w:val="005043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lang w:val="en-IN" w:eastAsia="en-IN"/>
    </w:rPr>
  </w:style>
  <w:style w:type="paragraph" w:customStyle="1" w:styleId="xl71">
    <w:name w:val="xl71"/>
    <w:basedOn w:val="Normal"/>
    <w:rsid w:val="00504398"/>
    <w:pPr>
      <w:shd w:val="clear" w:color="000000" w:fill="FFFF0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72">
    <w:name w:val="xl72"/>
    <w:basedOn w:val="Normal"/>
    <w:rsid w:val="00504398"/>
    <w:pPr>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73">
    <w:name w:val="xl73"/>
    <w:basedOn w:val="Normal"/>
    <w:rsid w:val="00504398"/>
    <w:pPr>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74">
    <w:name w:val="xl74"/>
    <w:basedOn w:val="Normal"/>
    <w:rsid w:val="00504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75">
    <w:name w:val="xl75"/>
    <w:basedOn w:val="Normal"/>
    <w:rsid w:val="00504398"/>
    <w:pPr>
      <w:shd w:val="clear" w:color="000000" w:fill="FFFF00"/>
      <w:spacing w:before="100" w:beforeAutospacing="1" w:after="100" w:afterAutospacing="1" w:line="240" w:lineRule="auto"/>
      <w:jc w:val="right"/>
    </w:pPr>
    <w:rPr>
      <w:rFonts w:ascii="Times New Roman" w:eastAsia="Times New Roman" w:hAnsi="Times New Roman" w:cs="Times New Roman"/>
      <w:sz w:val="18"/>
      <w:szCs w:val="18"/>
      <w:lang w:val="en-IN" w:eastAsia="en-IN"/>
    </w:rPr>
  </w:style>
  <w:style w:type="paragraph" w:customStyle="1" w:styleId="xl76">
    <w:name w:val="xl76"/>
    <w:basedOn w:val="Normal"/>
    <w:rsid w:val="00504398"/>
    <w:pPr>
      <w:shd w:val="clear" w:color="000000" w:fill="FFFF0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77">
    <w:name w:val="xl77"/>
    <w:basedOn w:val="Normal"/>
    <w:rsid w:val="00504398"/>
    <w:pPr>
      <w:shd w:val="clear" w:color="000000" w:fill="FFFF00"/>
      <w:spacing w:before="100" w:beforeAutospacing="1" w:after="100" w:afterAutospacing="1" w:line="240" w:lineRule="auto"/>
      <w:jc w:val="right"/>
    </w:pPr>
    <w:rPr>
      <w:rFonts w:ascii="Times New Roman" w:eastAsia="Times New Roman" w:hAnsi="Times New Roman" w:cs="Times New Roman"/>
      <w:sz w:val="18"/>
      <w:szCs w:val="18"/>
      <w:lang w:val="en-IN" w:eastAsia="en-IN"/>
    </w:rPr>
  </w:style>
  <w:style w:type="paragraph" w:customStyle="1" w:styleId="xl78">
    <w:name w:val="xl78"/>
    <w:basedOn w:val="Normal"/>
    <w:rsid w:val="00504398"/>
    <w:pPr>
      <w:shd w:val="clear" w:color="000000" w:fill="FFFF0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79">
    <w:name w:val="xl79"/>
    <w:basedOn w:val="Normal"/>
    <w:rsid w:val="00504398"/>
    <w:pPr>
      <w:shd w:val="clear" w:color="000000" w:fill="B7DEE8"/>
      <w:spacing w:before="100" w:beforeAutospacing="1" w:after="100" w:afterAutospacing="1" w:line="240" w:lineRule="auto"/>
    </w:pPr>
    <w:rPr>
      <w:rFonts w:ascii="Times New Roman" w:eastAsia="Times New Roman" w:hAnsi="Times New Roman" w:cs="Times New Roman"/>
      <w:b/>
      <w:bCs/>
      <w:sz w:val="18"/>
      <w:szCs w:val="18"/>
      <w:lang w:val="en-IN" w:eastAsia="en-IN"/>
    </w:rPr>
  </w:style>
  <w:style w:type="paragraph" w:customStyle="1" w:styleId="xl80">
    <w:name w:val="xl80"/>
    <w:basedOn w:val="Normal"/>
    <w:rsid w:val="00504398"/>
    <w:pP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81">
    <w:name w:val="xl81"/>
    <w:basedOn w:val="Normal"/>
    <w:rsid w:val="005043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82">
    <w:name w:val="xl82"/>
    <w:basedOn w:val="Normal"/>
    <w:rsid w:val="00504398"/>
    <w:pP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83">
    <w:name w:val="xl83"/>
    <w:basedOn w:val="Normal"/>
    <w:rsid w:val="00504398"/>
    <w:pPr>
      <w:pBdr>
        <w:top w:val="single" w:sz="4" w:space="0" w:color="auto"/>
        <w:left w:val="single" w:sz="4" w:space="0" w:color="auto"/>
        <w:bottom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84">
    <w:name w:val="xl84"/>
    <w:basedOn w:val="Normal"/>
    <w:rsid w:val="00504398"/>
    <w:pPr>
      <w:pBdr>
        <w:top w:val="single" w:sz="4" w:space="0" w:color="auto"/>
        <w:bottom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85">
    <w:name w:val="xl85"/>
    <w:basedOn w:val="Normal"/>
    <w:rsid w:val="00504398"/>
    <w:pPr>
      <w:pBdr>
        <w:top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86">
    <w:name w:val="xl86"/>
    <w:basedOn w:val="Normal"/>
    <w:rsid w:val="00504398"/>
    <w:pPr>
      <w:shd w:val="clear" w:color="000000" w:fill="B7DEE8"/>
      <w:spacing w:before="100" w:beforeAutospacing="1" w:after="100" w:afterAutospacing="1" w:line="240" w:lineRule="auto"/>
      <w:jc w:val="right"/>
    </w:pPr>
    <w:rPr>
      <w:rFonts w:ascii="Times New Roman" w:eastAsia="Times New Roman" w:hAnsi="Times New Roman" w:cs="Times New Roman"/>
      <w:sz w:val="18"/>
      <w:szCs w:val="18"/>
      <w:lang w:val="en-IN" w:eastAsia="en-IN"/>
    </w:rPr>
  </w:style>
  <w:style w:type="paragraph" w:customStyle="1" w:styleId="xl87">
    <w:name w:val="xl87"/>
    <w:basedOn w:val="Normal"/>
    <w:rsid w:val="00504398"/>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FF00"/>
      <w:sz w:val="18"/>
      <w:szCs w:val="18"/>
      <w:lang w:val="en-IN" w:eastAsia="en-IN"/>
    </w:rPr>
  </w:style>
  <w:style w:type="paragraph" w:customStyle="1" w:styleId="xl88">
    <w:name w:val="xl88"/>
    <w:basedOn w:val="Normal"/>
    <w:rsid w:val="00504398"/>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89">
    <w:name w:val="xl89"/>
    <w:basedOn w:val="Normal"/>
    <w:rsid w:val="00504398"/>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FF00"/>
      <w:sz w:val="18"/>
      <w:szCs w:val="18"/>
      <w:lang w:val="en-IN" w:eastAsia="en-IN"/>
    </w:rPr>
  </w:style>
  <w:style w:type="paragraph" w:customStyle="1" w:styleId="xl90">
    <w:name w:val="xl90"/>
    <w:basedOn w:val="Normal"/>
    <w:rsid w:val="005043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sz w:val="18"/>
      <w:szCs w:val="18"/>
      <w:lang w:val="en-IN" w:eastAsia="en-IN"/>
    </w:rPr>
  </w:style>
  <w:style w:type="paragraph" w:customStyle="1" w:styleId="xl91">
    <w:name w:val="xl91"/>
    <w:basedOn w:val="Normal"/>
    <w:rsid w:val="00504398"/>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sz w:val="18"/>
      <w:szCs w:val="18"/>
      <w:lang w:val="en-IN" w:eastAsia="en-IN"/>
    </w:rPr>
  </w:style>
  <w:style w:type="paragraph" w:customStyle="1" w:styleId="xl92">
    <w:name w:val="xl92"/>
    <w:basedOn w:val="Normal"/>
    <w:rsid w:val="00504398"/>
    <w:pPr>
      <w:pBdr>
        <w:top w:val="single" w:sz="4" w:space="0" w:color="auto"/>
        <w:bottom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sz w:val="18"/>
      <w:szCs w:val="18"/>
      <w:lang w:val="en-IN" w:eastAsia="en-IN"/>
    </w:rPr>
  </w:style>
  <w:style w:type="paragraph" w:customStyle="1" w:styleId="xl93">
    <w:name w:val="xl93"/>
    <w:basedOn w:val="Normal"/>
    <w:rsid w:val="00504398"/>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sz w:val="18"/>
      <w:szCs w:val="18"/>
      <w:lang w:val="en-IN" w:eastAsia="en-IN"/>
    </w:rPr>
  </w:style>
  <w:style w:type="paragraph" w:customStyle="1" w:styleId="xl94">
    <w:name w:val="xl94"/>
    <w:basedOn w:val="Normal"/>
    <w:rsid w:val="00504398"/>
    <w:pPr>
      <w:pBdr>
        <w:bottom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95">
    <w:name w:val="xl95"/>
    <w:basedOn w:val="Normal"/>
    <w:rsid w:val="00504398"/>
    <w:pPr>
      <w:pBdr>
        <w:bottom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96">
    <w:name w:val="xl96"/>
    <w:basedOn w:val="Normal"/>
    <w:rsid w:val="00504398"/>
    <w:pPr>
      <w:pBdr>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97">
    <w:name w:val="xl97"/>
    <w:basedOn w:val="Normal"/>
    <w:rsid w:val="00504398"/>
    <w:pPr>
      <w:shd w:val="clear" w:color="000000" w:fill="FF000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98">
    <w:name w:val="xl98"/>
    <w:basedOn w:val="Normal"/>
    <w:rsid w:val="00504398"/>
    <w:pPr>
      <w:shd w:val="clear" w:color="000000" w:fill="FF000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99">
    <w:name w:val="xl99"/>
    <w:basedOn w:val="Normal"/>
    <w:rsid w:val="00504398"/>
    <w:pPr>
      <w:shd w:val="clear" w:color="000000" w:fill="B7DEE8"/>
      <w:spacing w:before="100" w:beforeAutospacing="1" w:after="100" w:afterAutospacing="1" w:line="240" w:lineRule="auto"/>
      <w:jc w:val="right"/>
    </w:pPr>
    <w:rPr>
      <w:rFonts w:ascii="Times New Roman" w:eastAsia="Times New Roman" w:hAnsi="Times New Roman" w:cs="Times New Roman"/>
      <w:sz w:val="18"/>
      <w:szCs w:val="18"/>
      <w:lang w:val="en-IN" w:eastAsia="en-IN"/>
    </w:rPr>
  </w:style>
  <w:style w:type="paragraph" w:customStyle="1" w:styleId="xl100">
    <w:name w:val="xl100"/>
    <w:basedOn w:val="Normal"/>
    <w:rsid w:val="005043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color w:val="FF3300"/>
      <w:sz w:val="18"/>
      <w:szCs w:val="18"/>
      <w:lang w:val="en-IN" w:eastAsia="en-IN"/>
    </w:rPr>
  </w:style>
  <w:style w:type="paragraph" w:customStyle="1" w:styleId="xl101">
    <w:name w:val="xl101"/>
    <w:basedOn w:val="Normal"/>
    <w:rsid w:val="00504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3300"/>
      <w:sz w:val="18"/>
      <w:szCs w:val="18"/>
      <w:lang w:val="en-IN" w:eastAsia="en-IN"/>
    </w:rPr>
  </w:style>
  <w:style w:type="paragraph" w:customStyle="1" w:styleId="xl102">
    <w:name w:val="xl102"/>
    <w:basedOn w:val="Normal"/>
    <w:rsid w:val="00504398"/>
    <w:pPr>
      <w:pBdr>
        <w:bottom w:val="single" w:sz="4" w:space="0" w:color="auto"/>
      </w:pBdr>
      <w:shd w:val="clear" w:color="000000" w:fill="B7DEE8"/>
      <w:spacing w:before="100" w:beforeAutospacing="1" w:after="100" w:afterAutospacing="1" w:line="240" w:lineRule="auto"/>
      <w:jc w:val="right"/>
    </w:pPr>
    <w:rPr>
      <w:rFonts w:ascii="Times New Roman" w:eastAsia="Times New Roman" w:hAnsi="Times New Roman" w:cs="Times New Roman"/>
      <w:sz w:val="18"/>
      <w:szCs w:val="18"/>
      <w:lang w:val="en-IN" w:eastAsia="en-IN"/>
    </w:rPr>
  </w:style>
  <w:style w:type="paragraph" w:customStyle="1" w:styleId="xl103">
    <w:name w:val="xl103"/>
    <w:basedOn w:val="Normal"/>
    <w:rsid w:val="00504398"/>
    <w:pPr>
      <w:spacing w:before="100" w:beforeAutospacing="1" w:after="100" w:afterAutospacing="1" w:line="240" w:lineRule="auto"/>
    </w:pPr>
    <w:rPr>
      <w:rFonts w:ascii="Times New Roman" w:eastAsia="Times New Roman" w:hAnsi="Times New Roman" w:cs="Times New Roman"/>
      <w:color w:val="FF3300"/>
      <w:sz w:val="18"/>
      <w:szCs w:val="18"/>
      <w:lang w:val="en-IN" w:eastAsia="en-IN"/>
    </w:rPr>
  </w:style>
  <w:style w:type="paragraph" w:customStyle="1" w:styleId="xl104">
    <w:name w:val="xl104"/>
    <w:basedOn w:val="Normal"/>
    <w:rsid w:val="00504398"/>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b/>
      <w:bCs/>
      <w:sz w:val="18"/>
      <w:szCs w:val="18"/>
      <w:lang w:val="en-IN" w:eastAsia="en-IN"/>
    </w:rPr>
  </w:style>
  <w:style w:type="paragraph" w:customStyle="1" w:styleId="xl105">
    <w:name w:val="xl105"/>
    <w:basedOn w:val="Normal"/>
    <w:rsid w:val="00504398"/>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106">
    <w:name w:val="xl106"/>
    <w:basedOn w:val="Normal"/>
    <w:rsid w:val="005043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color w:val="FFFF00"/>
      <w:sz w:val="18"/>
      <w:szCs w:val="18"/>
      <w:lang w:val="en-IN" w:eastAsia="en-IN"/>
    </w:rPr>
  </w:style>
  <w:style w:type="paragraph" w:customStyle="1" w:styleId="xl107">
    <w:name w:val="xl107"/>
    <w:basedOn w:val="Normal"/>
    <w:rsid w:val="00504398"/>
    <w:pPr>
      <w:pBdr>
        <w:top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108">
    <w:name w:val="xl108"/>
    <w:basedOn w:val="Normal"/>
    <w:rsid w:val="00504398"/>
    <w:pPr>
      <w:pBdr>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109">
    <w:name w:val="xl109"/>
    <w:basedOn w:val="Normal"/>
    <w:rsid w:val="00504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110">
    <w:name w:val="xl110"/>
    <w:basedOn w:val="Normal"/>
    <w:rsid w:val="005043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lang w:val="en-IN" w:eastAsia="en-IN"/>
    </w:rPr>
  </w:style>
  <w:style w:type="paragraph" w:customStyle="1" w:styleId="xl111">
    <w:name w:val="xl111"/>
    <w:basedOn w:val="Normal"/>
    <w:rsid w:val="00504398"/>
    <w:pPr>
      <w:shd w:val="clear" w:color="000000" w:fill="FFFFFF"/>
      <w:spacing w:before="100" w:beforeAutospacing="1" w:after="100" w:afterAutospacing="1" w:line="240" w:lineRule="auto"/>
    </w:pPr>
    <w:rPr>
      <w:rFonts w:ascii="Times New Roman" w:eastAsia="Times New Roman" w:hAnsi="Times New Roman" w:cs="Times New Roman"/>
      <w:b/>
      <w:bCs/>
      <w:sz w:val="18"/>
      <w:szCs w:val="18"/>
      <w:u w:val="single"/>
      <w:lang w:val="en-IN" w:eastAsia="en-IN"/>
    </w:rPr>
  </w:style>
  <w:style w:type="paragraph" w:customStyle="1" w:styleId="xl112">
    <w:name w:val="xl112"/>
    <w:basedOn w:val="Normal"/>
    <w:rsid w:val="00504398"/>
    <w:pPr>
      <w:shd w:val="clear" w:color="000000" w:fill="00B0F0"/>
      <w:spacing w:before="100" w:beforeAutospacing="1" w:after="100" w:afterAutospacing="1" w:line="240" w:lineRule="auto"/>
    </w:pPr>
    <w:rPr>
      <w:rFonts w:ascii="Times New Roman" w:eastAsia="Times New Roman" w:hAnsi="Times New Roman" w:cs="Times New Roman"/>
      <w:sz w:val="18"/>
      <w:szCs w:val="18"/>
      <w:lang w:val="en-IN" w:eastAsia="en-IN"/>
    </w:rPr>
  </w:style>
  <w:style w:type="paragraph" w:customStyle="1" w:styleId="xl113">
    <w:name w:val="xl113"/>
    <w:basedOn w:val="Normal"/>
    <w:rsid w:val="00504398"/>
    <w:pPr>
      <w:shd w:val="clear" w:color="000000" w:fill="00B0F0"/>
      <w:spacing w:before="100" w:beforeAutospacing="1" w:after="100" w:afterAutospacing="1" w:line="240" w:lineRule="auto"/>
    </w:pPr>
    <w:rPr>
      <w:rFonts w:ascii="Times New Roman" w:eastAsia="Times New Roman" w:hAnsi="Times New Roman" w:cs="Times New Roman"/>
      <w:b/>
      <w:bCs/>
      <w:sz w:val="18"/>
      <w:szCs w:val="18"/>
      <w:lang w:val="en-IN" w:eastAsia="en-IN"/>
    </w:rPr>
  </w:style>
  <w:style w:type="paragraph" w:customStyle="1" w:styleId="Heading1a">
    <w:name w:val="Heading 1a"/>
    <w:basedOn w:val="Normal"/>
    <w:next w:val="Normal"/>
    <w:rsid w:val="00504398"/>
    <w:pPr>
      <w:keepNext/>
      <w:keepLines/>
      <w:numPr>
        <w:numId w:val="2"/>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504398"/>
    <w:pPr>
      <w:numPr>
        <w:ilvl w:val="1"/>
        <w:numId w:val="2"/>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504398"/>
    <w:pPr>
      <w:numPr>
        <w:ilvl w:val="2"/>
        <w:numId w:val="2"/>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504398"/>
    <w:pPr>
      <w:numPr>
        <w:ilvl w:val="3"/>
        <w:numId w:val="2"/>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504398"/>
    <w:pPr>
      <w:numPr>
        <w:ilvl w:val="4"/>
        <w:numId w:val="2"/>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504398"/>
    <w:pPr>
      <w:numPr>
        <w:ilvl w:val="5"/>
        <w:numId w:val="2"/>
      </w:numPr>
      <w:spacing w:after="240" w:line="240" w:lineRule="auto"/>
      <w:outlineLvl w:val="5"/>
    </w:pPr>
    <w:rPr>
      <w:rFonts w:ascii="Times New Roman" w:eastAsia="Times New Roman" w:hAnsi="Times New Roman" w:cs="Times New Roman"/>
      <w:sz w:val="24"/>
      <w:szCs w:val="24"/>
    </w:rPr>
  </w:style>
  <w:style w:type="paragraph" w:customStyle="1" w:styleId="BankNormal">
    <w:name w:val="BankNormal"/>
    <w:basedOn w:val="Normal"/>
    <w:rsid w:val="00504398"/>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504398"/>
    <w:pPr>
      <w:tabs>
        <w:tab w:val="num" w:pos="1875"/>
      </w:tabs>
      <w:spacing w:after="0" w:line="240" w:lineRule="auto"/>
      <w:jc w:val="both"/>
    </w:pPr>
    <w:rPr>
      <w:rFonts w:ascii="Times New Roman" w:eastAsia="Times New Roman" w:hAnsi="Times New Roman" w:cs="Times New Roman"/>
      <w:sz w:val="23"/>
      <w:szCs w:val="20"/>
      <w:lang w:val="fr-FR"/>
    </w:rPr>
  </w:style>
  <w:style w:type="character" w:customStyle="1" w:styleId="BodyText3Char">
    <w:name w:val="Body Text 3 Char"/>
    <w:basedOn w:val="DefaultParagraphFont"/>
    <w:link w:val="BodyText3"/>
    <w:rsid w:val="00504398"/>
    <w:rPr>
      <w:rFonts w:ascii="Times New Roman" w:eastAsia="Times New Roman" w:hAnsi="Times New Roman" w:cs="Times New Roman"/>
      <w:sz w:val="23"/>
      <w:szCs w:val="20"/>
      <w:lang w:val="fr-FR"/>
    </w:rPr>
  </w:style>
  <w:style w:type="character" w:customStyle="1" w:styleId="st1">
    <w:name w:val="st1"/>
    <w:basedOn w:val="DefaultParagraphFont"/>
    <w:rsid w:val="00504398"/>
  </w:style>
  <w:style w:type="paragraph" w:customStyle="1" w:styleId="Heading11">
    <w:name w:val="Heading 11"/>
    <w:next w:val="Normal"/>
    <w:rsid w:val="00504398"/>
    <w:pPr>
      <w:keepNext/>
      <w:keepLines/>
      <w:spacing w:before="480" w:after="0"/>
      <w:outlineLvl w:val="0"/>
    </w:pPr>
    <w:rPr>
      <w:rFonts w:ascii="Lucida Grande" w:eastAsia="ヒラギノ角ゴ Pro W3" w:hAnsi="Lucida Grande" w:cs="Times New Roman"/>
      <w:b/>
      <w:color w:val="264980"/>
      <w:sz w:val="28"/>
      <w:szCs w:val="20"/>
    </w:rPr>
  </w:style>
  <w:style w:type="numbering" w:customStyle="1" w:styleId="List1">
    <w:name w:val="List 1"/>
    <w:rsid w:val="00504398"/>
  </w:style>
  <w:style w:type="paragraph" w:customStyle="1" w:styleId="Heading31">
    <w:name w:val="Heading 31"/>
    <w:next w:val="Normal"/>
    <w:rsid w:val="00504398"/>
    <w:pPr>
      <w:keepNext/>
      <w:keepLines/>
      <w:spacing w:before="200" w:after="0"/>
      <w:outlineLvl w:val="2"/>
    </w:pPr>
    <w:rPr>
      <w:rFonts w:ascii="Lucida Grande" w:eastAsia="ヒラギノ角ゴ Pro W3" w:hAnsi="Lucida Grande" w:cs="Times New Roman"/>
      <w:b/>
      <w:color w:val="3B6AB1"/>
      <w:szCs w:val="20"/>
    </w:rPr>
  </w:style>
  <w:style w:type="paragraph" w:customStyle="1" w:styleId="TableGrid1">
    <w:name w:val="Table Grid1"/>
    <w:rsid w:val="00504398"/>
    <w:pPr>
      <w:spacing w:after="0" w:line="240" w:lineRule="auto"/>
    </w:pPr>
    <w:rPr>
      <w:rFonts w:ascii="Lucida Grande" w:eastAsia="ヒラギノ角ゴ Pro W3" w:hAnsi="Lucida Grande" w:cs="Times New Roman"/>
      <w:color w:val="000000"/>
      <w:szCs w:val="20"/>
    </w:rPr>
  </w:style>
  <w:style w:type="paragraph" w:customStyle="1" w:styleId="Heading21">
    <w:name w:val="Heading 21"/>
    <w:next w:val="Normal"/>
    <w:rsid w:val="00504398"/>
    <w:pPr>
      <w:keepNext/>
      <w:keepLines/>
      <w:spacing w:before="200" w:after="0"/>
      <w:outlineLvl w:val="1"/>
    </w:pPr>
    <w:rPr>
      <w:rFonts w:ascii="Lucida Grande" w:eastAsia="ヒラギノ角ゴ Pro W3" w:hAnsi="Lucida Grande" w:cs="Times New Roman"/>
      <w:b/>
      <w:color w:val="3B6AB1"/>
      <w:sz w:val="26"/>
      <w:szCs w:val="20"/>
    </w:rPr>
  </w:style>
  <w:style w:type="character" w:customStyle="1" w:styleId="Hyperlink1">
    <w:name w:val="Hyperlink1"/>
    <w:rsid w:val="00504398"/>
    <w:rPr>
      <w:color w:val="0000FF"/>
      <w:sz w:val="22"/>
      <w:u w:val="single"/>
    </w:rPr>
  </w:style>
  <w:style w:type="character" w:customStyle="1" w:styleId="FootnoteReference1">
    <w:name w:val="Footnote Reference1"/>
    <w:rsid w:val="00504398"/>
    <w:rPr>
      <w:color w:val="000000"/>
      <w:sz w:val="22"/>
      <w:vertAlign w:val="superscript"/>
    </w:rPr>
  </w:style>
  <w:style w:type="paragraph" w:customStyle="1" w:styleId="FootnoteText1">
    <w:name w:val="Footnote Text1"/>
    <w:rsid w:val="00504398"/>
    <w:pPr>
      <w:spacing w:after="0" w:line="240" w:lineRule="auto"/>
    </w:pPr>
    <w:rPr>
      <w:rFonts w:ascii="Lucida Grande" w:eastAsia="ヒラギノ角ゴ Pro W3" w:hAnsi="Lucida Grande" w:cs="Times New Roman"/>
      <w:color w:val="000000"/>
      <w:sz w:val="20"/>
      <w:szCs w:val="20"/>
    </w:rPr>
  </w:style>
  <w:style w:type="paragraph" w:customStyle="1" w:styleId="FreeForm">
    <w:name w:val="Free Form"/>
    <w:rsid w:val="00504398"/>
    <w:rPr>
      <w:rFonts w:ascii="Lucida Grande" w:eastAsia="ヒラギノ角ゴ Pro W3" w:hAnsi="Lucida Grande" w:cs="Times New Roman"/>
      <w:color w:val="000000"/>
      <w:szCs w:val="20"/>
    </w:rPr>
  </w:style>
  <w:style w:type="numbering" w:customStyle="1" w:styleId="NoList1">
    <w:name w:val="No List1"/>
    <w:next w:val="NoList"/>
    <w:uiPriority w:val="99"/>
    <w:semiHidden/>
    <w:unhideWhenUsed/>
    <w:rsid w:val="00504398"/>
  </w:style>
  <w:style w:type="numbering" w:customStyle="1" w:styleId="NoList2">
    <w:name w:val="No List2"/>
    <w:next w:val="NoList"/>
    <w:uiPriority w:val="99"/>
    <w:semiHidden/>
    <w:unhideWhenUsed/>
    <w:rsid w:val="00504398"/>
  </w:style>
  <w:style w:type="numbering" w:customStyle="1" w:styleId="NoList3">
    <w:name w:val="No List3"/>
    <w:next w:val="NoList"/>
    <w:uiPriority w:val="99"/>
    <w:semiHidden/>
    <w:unhideWhenUsed/>
    <w:rsid w:val="00504398"/>
  </w:style>
  <w:style w:type="table" w:customStyle="1" w:styleId="TableGrid2">
    <w:name w:val="Table Grid2"/>
    <w:basedOn w:val="TableNormal"/>
    <w:next w:val="TableGrid"/>
    <w:uiPriority w:val="59"/>
    <w:rsid w:val="0050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S Char,fn Char,single space Char,footnote text Char,ALTS FOOTNOTE Car Char,ALTS FOOTNOTE Char,Footnote Text Char1 Char Char,Footnote Text Char Char Char1 Char,Footnote Text Char1 Char Char Char1 Char,Footnote Text1 Char"/>
    <w:locked/>
    <w:rsid w:val="00504398"/>
    <w:rPr>
      <w:rFonts w:ascii="Calibri" w:eastAsia="Georgia" w:hAnsi="Calibri" w:cs="Times New Roman"/>
      <w:sz w:val="20"/>
      <w:szCs w:val="24"/>
    </w:rPr>
  </w:style>
  <w:style w:type="table" w:customStyle="1" w:styleId="TableGrid3">
    <w:name w:val="Table Grid3"/>
    <w:basedOn w:val="TableNormal"/>
    <w:next w:val="TableGrid"/>
    <w:uiPriority w:val="59"/>
    <w:rsid w:val="0050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04398"/>
    <w:pPr>
      <w:spacing w:after="0" w:line="240" w:lineRule="auto"/>
    </w:pPr>
    <w:rPr>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504398"/>
    <w:pPr>
      <w:spacing w:after="0" w:line="240" w:lineRule="auto"/>
    </w:pPr>
    <w:rPr>
      <w:lang w:val="en-I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NoList4">
    <w:name w:val="No List4"/>
    <w:next w:val="NoList"/>
    <w:uiPriority w:val="99"/>
    <w:semiHidden/>
    <w:rsid w:val="00504398"/>
  </w:style>
  <w:style w:type="paragraph" w:customStyle="1" w:styleId="Header1">
    <w:name w:val="Header1"/>
    <w:rsid w:val="00504398"/>
    <w:pPr>
      <w:tabs>
        <w:tab w:val="center" w:pos="4513"/>
        <w:tab w:val="right" w:pos="9026"/>
      </w:tabs>
      <w:spacing w:after="0" w:line="240" w:lineRule="auto"/>
    </w:pPr>
    <w:rPr>
      <w:rFonts w:ascii="Lucida Grande" w:eastAsia="ヒラギノ角ゴ Pro W3" w:hAnsi="Lucida Grande" w:cs="Times New Roman"/>
      <w:color w:val="000000"/>
      <w:szCs w:val="20"/>
      <w:lang w:eastAsia="fr-FR"/>
    </w:rPr>
  </w:style>
  <w:style w:type="paragraph" w:customStyle="1" w:styleId="Footer1">
    <w:name w:val="Footer1"/>
    <w:rsid w:val="00504398"/>
    <w:pPr>
      <w:tabs>
        <w:tab w:val="center" w:pos="4513"/>
        <w:tab w:val="right" w:pos="9026"/>
      </w:tabs>
      <w:spacing w:after="0" w:line="240" w:lineRule="auto"/>
    </w:pPr>
    <w:rPr>
      <w:rFonts w:ascii="Lucida Grande" w:eastAsia="ヒラギノ角ゴ Pro W3" w:hAnsi="Lucida Grande" w:cs="Times New Roman"/>
      <w:color w:val="000000"/>
      <w:szCs w:val="20"/>
      <w:lang w:eastAsia="fr-FR"/>
    </w:rPr>
  </w:style>
  <w:style w:type="character" w:customStyle="1" w:styleId="atn">
    <w:name w:val="atn"/>
    <w:rsid w:val="00504398"/>
    <w:rPr>
      <w:color w:val="000000"/>
      <w:sz w:val="22"/>
    </w:rPr>
  </w:style>
  <w:style w:type="paragraph" w:customStyle="1" w:styleId="FreeFormA">
    <w:name w:val="Free Form A"/>
    <w:rsid w:val="00504398"/>
    <w:pPr>
      <w:spacing w:after="80" w:line="240" w:lineRule="auto"/>
    </w:pPr>
    <w:rPr>
      <w:rFonts w:ascii="Lucida Grande" w:eastAsia="ヒラギノ角ゴ Pro W3" w:hAnsi="Lucida Grande" w:cs="Times New Roman"/>
      <w:color w:val="000000"/>
      <w:szCs w:val="20"/>
      <w:lang w:eastAsia="fr-FR"/>
    </w:rPr>
  </w:style>
  <w:style w:type="paragraph" w:customStyle="1" w:styleId="Caption1">
    <w:name w:val="Caption1"/>
    <w:next w:val="Normal"/>
    <w:rsid w:val="00504398"/>
    <w:pPr>
      <w:spacing w:line="240" w:lineRule="auto"/>
    </w:pPr>
    <w:rPr>
      <w:rFonts w:ascii="Lucida Grande" w:eastAsia="ヒラギノ角ゴ Pro W3" w:hAnsi="Lucida Grande" w:cs="Times New Roman"/>
      <w:b/>
      <w:color w:val="2952A3"/>
      <w:sz w:val="18"/>
      <w:szCs w:val="20"/>
      <w:lang w:eastAsia="fr-FR"/>
    </w:rPr>
  </w:style>
  <w:style w:type="paragraph" w:customStyle="1" w:styleId="LightList-Accent31">
    <w:name w:val="Light List - Accent 31"/>
    <w:rsid w:val="00504398"/>
    <w:pPr>
      <w:spacing w:after="0" w:line="240" w:lineRule="auto"/>
    </w:pPr>
    <w:rPr>
      <w:rFonts w:ascii="Lucida Grande" w:eastAsia="ヒラギノ角ゴ Pro W3" w:hAnsi="Lucida Grande" w:cs="Times New Roman"/>
      <w:color w:val="000000"/>
      <w:szCs w:val="20"/>
      <w:lang w:eastAsia="fr-FR"/>
    </w:rPr>
  </w:style>
  <w:style w:type="paragraph" w:customStyle="1" w:styleId="Body">
    <w:name w:val="Body"/>
    <w:rsid w:val="00504398"/>
    <w:pPr>
      <w:spacing w:after="0" w:line="240" w:lineRule="auto"/>
    </w:pPr>
    <w:rPr>
      <w:rFonts w:ascii="Helvetica" w:eastAsia="ヒラギノ角ゴ Pro W3" w:hAnsi="Helvetica" w:cs="Times New Roman"/>
      <w:color w:val="000000"/>
      <w:sz w:val="24"/>
      <w:szCs w:val="20"/>
      <w:lang w:eastAsia="fr-FR"/>
    </w:rPr>
  </w:style>
  <w:style w:type="paragraph" w:customStyle="1" w:styleId="BodyA">
    <w:name w:val="Body A"/>
    <w:rsid w:val="00504398"/>
    <w:pPr>
      <w:spacing w:after="0" w:line="240" w:lineRule="auto"/>
    </w:pPr>
    <w:rPr>
      <w:rFonts w:ascii="Helvetica" w:eastAsia="ヒラギノ角ゴ Pro W3" w:hAnsi="Helvetica" w:cs="Times New Roman"/>
      <w:color w:val="000000"/>
      <w:sz w:val="24"/>
      <w:szCs w:val="20"/>
      <w:lang w:eastAsia="fr-FR"/>
    </w:rPr>
  </w:style>
  <w:style w:type="paragraph" w:customStyle="1" w:styleId="Heading12">
    <w:name w:val="Heading 12"/>
    <w:next w:val="Normal"/>
    <w:rsid w:val="00504398"/>
    <w:pPr>
      <w:keepNext/>
      <w:keepLines/>
      <w:spacing w:before="480" w:after="0"/>
      <w:outlineLvl w:val="0"/>
    </w:pPr>
    <w:rPr>
      <w:rFonts w:ascii="Lucida Grande" w:eastAsia="ヒラギノ角ゴ Pro W3" w:hAnsi="Lucida Grande" w:cs="Times New Roman"/>
      <w:b/>
      <w:color w:val="19356E"/>
      <w:sz w:val="28"/>
      <w:szCs w:val="20"/>
      <w:lang w:eastAsia="fr-FR"/>
    </w:rPr>
  </w:style>
  <w:style w:type="table" w:customStyle="1" w:styleId="TableGrid4">
    <w:name w:val="Table Grid4"/>
    <w:basedOn w:val="TableNormal"/>
    <w:next w:val="TableGrid"/>
    <w:uiPriority w:val="59"/>
    <w:locked/>
    <w:rsid w:val="0050439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04398"/>
  </w:style>
  <w:style w:type="table" w:customStyle="1" w:styleId="TableGrid21">
    <w:name w:val="Table Grid21"/>
    <w:basedOn w:val="TableNormal"/>
    <w:next w:val="TableGrid"/>
    <w:uiPriority w:val="59"/>
    <w:rsid w:val="00504398"/>
    <w:pPr>
      <w:spacing w:after="0" w:line="240" w:lineRule="auto"/>
    </w:pPr>
    <w:rPr>
      <w:rFonts w:ascii="Calibri" w:eastAsia="Calibri" w:hAnsi="Calibri" w:cs="Arial"/>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504398"/>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11">
    <w:name w:val="List 11"/>
    <w:rsid w:val="00504398"/>
  </w:style>
  <w:style w:type="numbering" w:customStyle="1" w:styleId="NoList111">
    <w:name w:val="No List111"/>
    <w:next w:val="NoList"/>
    <w:uiPriority w:val="99"/>
    <w:semiHidden/>
    <w:unhideWhenUsed/>
    <w:rsid w:val="00504398"/>
  </w:style>
  <w:style w:type="numbering" w:customStyle="1" w:styleId="NoList21">
    <w:name w:val="No List21"/>
    <w:next w:val="NoList"/>
    <w:uiPriority w:val="99"/>
    <w:semiHidden/>
    <w:unhideWhenUsed/>
    <w:rsid w:val="00504398"/>
  </w:style>
  <w:style w:type="numbering" w:customStyle="1" w:styleId="NoList31">
    <w:name w:val="No List31"/>
    <w:next w:val="NoList"/>
    <w:uiPriority w:val="99"/>
    <w:semiHidden/>
    <w:unhideWhenUsed/>
    <w:rsid w:val="00504398"/>
  </w:style>
  <w:style w:type="table" w:customStyle="1" w:styleId="TableGrid31">
    <w:name w:val="Table Grid31"/>
    <w:basedOn w:val="TableNormal"/>
    <w:next w:val="TableGrid"/>
    <w:uiPriority w:val="59"/>
    <w:rsid w:val="0050439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04398"/>
    <w:rPr>
      <w:i/>
      <w:iCs/>
    </w:rPr>
  </w:style>
  <w:style w:type="character" w:customStyle="1" w:styleId="apple-converted-space">
    <w:name w:val="apple-converted-space"/>
    <w:rsid w:val="00504398"/>
  </w:style>
  <w:style w:type="table" w:styleId="DarkList">
    <w:name w:val="Dark List"/>
    <w:basedOn w:val="TableNormal"/>
    <w:uiPriority w:val="61"/>
    <w:rsid w:val="00504398"/>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Grid">
    <w:name w:val="Colorful Grid"/>
    <w:basedOn w:val="TableNormal"/>
    <w:uiPriority w:val="64"/>
    <w:rsid w:val="0050439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50439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50439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50439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504398"/>
    <w:pPr>
      <w:spacing w:after="0" w:line="240" w:lineRule="auto"/>
    </w:pPr>
    <w:rPr>
      <w:rFonts w:ascii="Cambria" w:eastAsia="MS Gothic"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9"/>
    <w:rsid w:val="0050439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1">
    <w:name w:val="Light Shading1"/>
    <w:basedOn w:val="TableNormal"/>
    <w:next w:val="LightShading"/>
    <w:uiPriority w:val="60"/>
    <w:rsid w:val="00504398"/>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rsid w:val="00504398"/>
    <w:pPr>
      <w:spacing w:after="0" w:line="240" w:lineRule="auto"/>
    </w:pPr>
    <w:rPr>
      <w:rFonts w:ascii="Calibri" w:eastAsia="Calibri" w:hAnsi="Calibri" w:cs="Arial"/>
      <w:lang w:val="en-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11">
    <w:name w:val="Light List - Accent 311"/>
    <w:basedOn w:val="TableNormal"/>
    <w:next w:val="LightList-Accent3"/>
    <w:uiPriority w:val="61"/>
    <w:rsid w:val="00504398"/>
    <w:pPr>
      <w:spacing w:after="0" w:line="240" w:lineRule="auto"/>
    </w:pPr>
    <w:rPr>
      <w:rFonts w:ascii="Calibri" w:eastAsia="Calibri" w:hAnsi="Calibri" w:cs="Arial"/>
      <w:lang w:val="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5">
    <w:name w:val="No List5"/>
    <w:next w:val="NoList"/>
    <w:uiPriority w:val="99"/>
    <w:semiHidden/>
    <w:rsid w:val="00504398"/>
  </w:style>
  <w:style w:type="paragraph" w:customStyle="1" w:styleId="Header2">
    <w:name w:val="Header2"/>
    <w:rsid w:val="00504398"/>
    <w:pPr>
      <w:tabs>
        <w:tab w:val="center" w:pos="4513"/>
        <w:tab w:val="right" w:pos="9026"/>
      </w:tabs>
      <w:spacing w:after="0" w:line="240" w:lineRule="auto"/>
    </w:pPr>
    <w:rPr>
      <w:rFonts w:ascii="Lucida Grande" w:eastAsia="ヒラギノ角ゴ Pro W3" w:hAnsi="Lucida Grande" w:cs="Times New Roman"/>
      <w:color w:val="000000"/>
      <w:szCs w:val="20"/>
      <w:lang w:eastAsia="fr-FR"/>
    </w:rPr>
  </w:style>
  <w:style w:type="paragraph" w:customStyle="1" w:styleId="Footer2">
    <w:name w:val="Footer2"/>
    <w:rsid w:val="00504398"/>
    <w:pPr>
      <w:tabs>
        <w:tab w:val="center" w:pos="4513"/>
        <w:tab w:val="right" w:pos="9026"/>
      </w:tabs>
      <w:spacing w:after="0" w:line="240" w:lineRule="auto"/>
    </w:pPr>
    <w:rPr>
      <w:rFonts w:ascii="Lucida Grande" w:eastAsia="ヒラギノ角ゴ Pro W3" w:hAnsi="Lucida Grande" w:cs="Times New Roman"/>
      <w:color w:val="000000"/>
      <w:szCs w:val="20"/>
      <w:lang w:eastAsia="fr-FR"/>
    </w:rPr>
  </w:style>
  <w:style w:type="paragraph" w:customStyle="1" w:styleId="Caption2">
    <w:name w:val="Caption2"/>
    <w:next w:val="Normal"/>
    <w:rsid w:val="00504398"/>
    <w:pPr>
      <w:spacing w:line="240" w:lineRule="auto"/>
    </w:pPr>
    <w:rPr>
      <w:rFonts w:ascii="Lucida Grande" w:eastAsia="ヒラギノ角ゴ Pro W3" w:hAnsi="Lucida Grande" w:cs="Times New Roman"/>
      <w:b/>
      <w:color w:val="2952A3"/>
      <w:sz w:val="18"/>
      <w:szCs w:val="20"/>
      <w:lang w:eastAsia="fr-FR"/>
    </w:rPr>
  </w:style>
  <w:style w:type="paragraph" w:customStyle="1" w:styleId="LightList-Accent32">
    <w:name w:val="Light List - Accent 32"/>
    <w:rsid w:val="00504398"/>
    <w:pPr>
      <w:spacing w:after="0" w:line="240" w:lineRule="auto"/>
    </w:pPr>
    <w:rPr>
      <w:rFonts w:ascii="Lucida Grande" w:eastAsia="ヒラギノ角ゴ Pro W3" w:hAnsi="Lucida Grande" w:cs="Times New Roman"/>
      <w:color w:val="000000"/>
      <w:szCs w:val="20"/>
      <w:lang w:eastAsia="fr-FR"/>
    </w:rPr>
  </w:style>
  <w:style w:type="paragraph" w:customStyle="1" w:styleId="Heading13">
    <w:name w:val="Heading 13"/>
    <w:next w:val="Normal"/>
    <w:rsid w:val="00504398"/>
    <w:pPr>
      <w:keepNext/>
      <w:keepLines/>
      <w:spacing w:before="480" w:after="0"/>
      <w:outlineLvl w:val="0"/>
    </w:pPr>
    <w:rPr>
      <w:rFonts w:ascii="Lucida Grande" w:eastAsia="ヒラギノ角ゴ Pro W3" w:hAnsi="Lucida Grande" w:cs="Times New Roman"/>
      <w:b/>
      <w:color w:val="19356E"/>
      <w:sz w:val="28"/>
      <w:szCs w:val="20"/>
      <w:lang w:eastAsia="fr-FR"/>
    </w:rPr>
  </w:style>
  <w:style w:type="table" w:customStyle="1" w:styleId="TableGrid5">
    <w:name w:val="Table Grid5"/>
    <w:basedOn w:val="TableNormal"/>
    <w:next w:val="TableGrid"/>
    <w:uiPriority w:val="59"/>
    <w:locked/>
    <w:rsid w:val="0050439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4398"/>
  </w:style>
  <w:style w:type="table" w:customStyle="1" w:styleId="TableGrid22">
    <w:name w:val="Table Grid22"/>
    <w:basedOn w:val="TableNormal"/>
    <w:next w:val="TableGrid"/>
    <w:uiPriority w:val="59"/>
    <w:rsid w:val="00504398"/>
    <w:pPr>
      <w:spacing w:after="0" w:line="240" w:lineRule="auto"/>
    </w:pPr>
    <w:rPr>
      <w:rFonts w:ascii="Calibri" w:eastAsia="Calibri" w:hAnsi="Calibri" w:cs="Arial"/>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next w:val="MediumGrid3"/>
    <w:uiPriority w:val="60"/>
    <w:rsid w:val="00504398"/>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12">
    <w:name w:val="List 12"/>
    <w:rsid w:val="00504398"/>
  </w:style>
  <w:style w:type="numbering" w:customStyle="1" w:styleId="NoList112">
    <w:name w:val="No List112"/>
    <w:next w:val="NoList"/>
    <w:uiPriority w:val="99"/>
    <w:semiHidden/>
    <w:unhideWhenUsed/>
    <w:rsid w:val="00504398"/>
  </w:style>
  <w:style w:type="numbering" w:customStyle="1" w:styleId="NoList22">
    <w:name w:val="No List22"/>
    <w:next w:val="NoList"/>
    <w:uiPriority w:val="99"/>
    <w:semiHidden/>
    <w:unhideWhenUsed/>
    <w:rsid w:val="00504398"/>
  </w:style>
  <w:style w:type="numbering" w:customStyle="1" w:styleId="NoList32">
    <w:name w:val="No List32"/>
    <w:next w:val="NoList"/>
    <w:uiPriority w:val="99"/>
    <w:semiHidden/>
    <w:unhideWhenUsed/>
    <w:rsid w:val="00504398"/>
  </w:style>
  <w:style w:type="table" w:customStyle="1" w:styleId="TableGrid32">
    <w:name w:val="Table Grid32"/>
    <w:basedOn w:val="TableNormal"/>
    <w:next w:val="TableGrid"/>
    <w:uiPriority w:val="59"/>
    <w:rsid w:val="0050439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1">
    <w:name w:val="Dark List1"/>
    <w:basedOn w:val="TableNormal"/>
    <w:next w:val="DarkList"/>
    <w:uiPriority w:val="61"/>
    <w:rsid w:val="00504398"/>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Grid1">
    <w:name w:val="Colorful Grid1"/>
    <w:basedOn w:val="TableNormal"/>
    <w:next w:val="ColorfulGrid"/>
    <w:uiPriority w:val="64"/>
    <w:rsid w:val="0050439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leNormal"/>
    <w:next w:val="MediumGrid3-Accent1"/>
    <w:uiPriority w:val="64"/>
    <w:rsid w:val="0050439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1">
    <w:name w:val="Colorful Grid - Accent 61"/>
    <w:basedOn w:val="TableNormal"/>
    <w:next w:val="ColorfulGrid-Accent6"/>
    <w:uiPriority w:val="64"/>
    <w:rsid w:val="0050439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51">
    <w:name w:val="Colorful Grid - Accent 51"/>
    <w:basedOn w:val="TableNormal"/>
    <w:next w:val="ColorfulGrid-Accent5"/>
    <w:uiPriority w:val="64"/>
    <w:rsid w:val="0050439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next w:val="LightList-Accent1"/>
    <w:uiPriority w:val="66"/>
    <w:rsid w:val="00504398"/>
    <w:pPr>
      <w:spacing w:after="0" w:line="240" w:lineRule="auto"/>
    </w:pPr>
    <w:rPr>
      <w:rFonts w:ascii="Cambria" w:eastAsia="MS Gothic"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TableNormal"/>
    <w:next w:val="MediumShading2-Accent1"/>
    <w:uiPriority w:val="69"/>
    <w:rsid w:val="0050439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2">
    <w:name w:val="Light Shading2"/>
    <w:basedOn w:val="TableNormal"/>
    <w:next w:val="LightShading"/>
    <w:uiPriority w:val="60"/>
    <w:rsid w:val="00504398"/>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
    <w:name w:val="Light List2"/>
    <w:basedOn w:val="TableNormal"/>
    <w:next w:val="LightList"/>
    <w:uiPriority w:val="61"/>
    <w:rsid w:val="00504398"/>
    <w:pPr>
      <w:spacing w:after="0" w:line="240" w:lineRule="auto"/>
    </w:pPr>
    <w:rPr>
      <w:rFonts w:ascii="Calibri" w:eastAsia="Calibri" w:hAnsi="Calibri" w:cs="Arial"/>
      <w:lang w:val="en-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21">
    <w:name w:val="Light List - Accent 321"/>
    <w:basedOn w:val="TableNormal"/>
    <w:next w:val="LightList-Accent3"/>
    <w:uiPriority w:val="61"/>
    <w:rsid w:val="00504398"/>
    <w:pPr>
      <w:spacing w:after="0" w:line="240" w:lineRule="auto"/>
    </w:pPr>
    <w:rPr>
      <w:rFonts w:ascii="Calibri" w:eastAsia="Calibri" w:hAnsi="Calibri" w:cs="Arial"/>
      <w:lang w:val="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1">
    <w:name w:val="Head 1"/>
    <w:basedOn w:val="Heading1"/>
    <w:qFormat/>
    <w:rsid w:val="00504398"/>
    <w:pPr>
      <w:spacing w:before="360" w:after="240" w:line="240" w:lineRule="auto"/>
      <w:ind w:left="634"/>
      <w:jc w:val="center"/>
    </w:pPr>
    <w:rPr>
      <w:rFonts w:ascii="Times New Roman" w:eastAsia="Times New Roman" w:hAnsi="Times New Roman"/>
      <w:color w:val="auto"/>
    </w:rPr>
  </w:style>
  <w:style w:type="paragraph" w:customStyle="1" w:styleId="Head2">
    <w:name w:val="Head 2"/>
    <w:basedOn w:val="Heading2"/>
    <w:qFormat/>
    <w:rsid w:val="00504398"/>
    <w:pPr>
      <w:spacing w:before="120" w:after="240" w:line="240" w:lineRule="auto"/>
      <w:jc w:val="center"/>
    </w:pPr>
    <w:rPr>
      <w:rFonts w:ascii="Times New Roman" w:eastAsia="Times New Roman" w:hAnsi="Times New Roman"/>
      <w:smallCaps/>
      <w:color w:val="auto"/>
      <w:sz w:val="24"/>
    </w:rPr>
  </w:style>
  <w:style w:type="table" w:customStyle="1" w:styleId="TableGridLight1">
    <w:name w:val="Table Grid Light1"/>
    <w:basedOn w:val="TableNormal"/>
    <w:uiPriority w:val="40"/>
    <w:rsid w:val="00504398"/>
    <w:pPr>
      <w:spacing w:after="0" w:line="240" w:lineRule="auto"/>
    </w:pPr>
    <w:rPr>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043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398"/>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504398"/>
    <w:pPr>
      <w:spacing w:after="100" w:line="240" w:lineRule="auto"/>
      <w:ind w:left="220"/>
    </w:pPr>
    <w:rPr>
      <w:rFonts w:eastAsiaTheme="minorHAnsi"/>
    </w:rPr>
  </w:style>
  <w:style w:type="paragraph" w:styleId="TOC1">
    <w:name w:val="toc 1"/>
    <w:basedOn w:val="Normal"/>
    <w:next w:val="Normal"/>
    <w:autoRedefine/>
    <w:uiPriority w:val="39"/>
    <w:unhideWhenUsed/>
    <w:rsid w:val="00504398"/>
    <w:pPr>
      <w:spacing w:after="100" w:line="240" w:lineRule="auto"/>
    </w:pPr>
    <w:rPr>
      <w:rFonts w:eastAsiaTheme="minorHAnsi"/>
    </w:rPr>
  </w:style>
  <w:style w:type="paragraph" w:styleId="TableofFigures">
    <w:name w:val="table of figures"/>
    <w:basedOn w:val="Normal"/>
    <w:next w:val="Normal"/>
    <w:uiPriority w:val="99"/>
    <w:unhideWhenUsed/>
    <w:rsid w:val="00504398"/>
    <w:pPr>
      <w:spacing w:after="0" w:line="240" w:lineRule="auto"/>
    </w:pPr>
    <w:rPr>
      <w:rFonts w:eastAsiaTheme="minorHAnsi"/>
    </w:rPr>
  </w:style>
  <w:style w:type="paragraph" w:styleId="TOCHeading">
    <w:name w:val="TOC Heading"/>
    <w:basedOn w:val="Heading1"/>
    <w:next w:val="Normal"/>
    <w:uiPriority w:val="39"/>
    <w:unhideWhenUsed/>
    <w:qFormat/>
    <w:rsid w:val="008D71E6"/>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21142">
      <w:bodyDiv w:val="1"/>
      <w:marLeft w:val="0"/>
      <w:marRight w:val="0"/>
      <w:marTop w:val="0"/>
      <w:marBottom w:val="0"/>
      <w:divBdr>
        <w:top w:val="none" w:sz="0" w:space="0" w:color="auto"/>
        <w:left w:val="none" w:sz="0" w:space="0" w:color="auto"/>
        <w:bottom w:val="none" w:sz="0" w:space="0" w:color="auto"/>
        <w:right w:val="none" w:sz="0" w:space="0" w:color="auto"/>
      </w:divBdr>
    </w:div>
    <w:div w:id="1318998979">
      <w:bodyDiv w:val="1"/>
      <w:marLeft w:val="0"/>
      <w:marRight w:val="0"/>
      <w:marTop w:val="0"/>
      <w:marBottom w:val="0"/>
      <w:divBdr>
        <w:top w:val="none" w:sz="0" w:space="0" w:color="auto"/>
        <w:left w:val="none" w:sz="0" w:space="0" w:color="auto"/>
        <w:bottom w:val="none" w:sz="0" w:space="0" w:color="auto"/>
        <w:right w:val="none" w:sz="0" w:space="0" w:color="auto"/>
      </w:divBdr>
      <w:divsChild>
        <w:div w:id="1660114965">
          <w:marLeft w:val="0"/>
          <w:marRight w:val="0"/>
          <w:marTop w:val="0"/>
          <w:marBottom w:val="0"/>
          <w:divBdr>
            <w:top w:val="none" w:sz="0" w:space="0" w:color="auto"/>
            <w:left w:val="none" w:sz="0" w:space="0" w:color="auto"/>
            <w:bottom w:val="none" w:sz="0" w:space="0" w:color="auto"/>
            <w:right w:val="none" w:sz="0" w:space="0" w:color="auto"/>
          </w:divBdr>
          <w:divsChild>
            <w:div w:id="847791401">
              <w:marLeft w:val="0"/>
              <w:marRight w:val="0"/>
              <w:marTop w:val="0"/>
              <w:marBottom w:val="0"/>
              <w:divBdr>
                <w:top w:val="none" w:sz="0" w:space="0" w:color="auto"/>
                <w:left w:val="none" w:sz="0" w:space="0" w:color="auto"/>
                <w:bottom w:val="none" w:sz="0" w:space="0" w:color="auto"/>
                <w:right w:val="none" w:sz="0" w:space="0" w:color="auto"/>
              </w:divBdr>
              <w:divsChild>
                <w:div w:id="588855318">
                  <w:marLeft w:val="0"/>
                  <w:marRight w:val="0"/>
                  <w:marTop w:val="0"/>
                  <w:marBottom w:val="0"/>
                  <w:divBdr>
                    <w:top w:val="none" w:sz="0" w:space="0" w:color="auto"/>
                    <w:left w:val="none" w:sz="0" w:space="0" w:color="auto"/>
                    <w:bottom w:val="none" w:sz="0" w:space="0" w:color="auto"/>
                    <w:right w:val="none" w:sz="0" w:space="0" w:color="auto"/>
                  </w:divBdr>
                  <w:divsChild>
                    <w:div w:id="918099377">
                      <w:marLeft w:val="0"/>
                      <w:marRight w:val="0"/>
                      <w:marTop w:val="0"/>
                      <w:marBottom w:val="0"/>
                      <w:divBdr>
                        <w:top w:val="none" w:sz="0" w:space="0" w:color="auto"/>
                        <w:left w:val="none" w:sz="0" w:space="0" w:color="auto"/>
                        <w:bottom w:val="none" w:sz="0" w:space="0" w:color="auto"/>
                        <w:right w:val="none" w:sz="0" w:space="0" w:color="auto"/>
                      </w:divBdr>
                      <w:divsChild>
                        <w:div w:id="1429278499">
                          <w:marLeft w:val="0"/>
                          <w:marRight w:val="0"/>
                          <w:marTop w:val="0"/>
                          <w:marBottom w:val="0"/>
                          <w:divBdr>
                            <w:top w:val="none" w:sz="0" w:space="0" w:color="auto"/>
                            <w:left w:val="none" w:sz="0" w:space="0" w:color="auto"/>
                            <w:bottom w:val="none" w:sz="0" w:space="0" w:color="auto"/>
                            <w:right w:val="none" w:sz="0" w:space="0" w:color="auto"/>
                          </w:divBdr>
                          <w:divsChild>
                            <w:div w:id="1144153371">
                              <w:marLeft w:val="0"/>
                              <w:marRight w:val="0"/>
                              <w:marTop w:val="0"/>
                              <w:marBottom w:val="0"/>
                              <w:divBdr>
                                <w:top w:val="none" w:sz="0" w:space="0" w:color="auto"/>
                                <w:left w:val="none" w:sz="0" w:space="0" w:color="auto"/>
                                <w:bottom w:val="none" w:sz="0" w:space="0" w:color="auto"/>
                                <w:right w:val="none" w:sz="0" w:space="0" w:color="auto"/>
                              </w:divBdr>
                              <w:divsChild>
                                <w:div w:id="922643475">
                                  <w:marLeft w:val="0"/>
                                  <w:marRight w:val="0"/>
                                  <w:marTop w:val="0"/>
                                  <w:marBottom w:val="0"/>
                                  <w:divBdr>
                                    <w:top w:val="none" w:sz="0" w:space="0" w:color="auto"/>
                                    <w:left w:val="none" w:sz="0" w:space="0" w:color="auto"/>
                                    <w:bottom w:val="none" w:sz="0" w:space="0" w:color="auto"/>
                                    <w:right w:val="none" w:sz="0" w:space="0" w:color="auto"/>
                                  </w:divBdr>
                                  <w:divsChild>
                                    <w:div w:id="562452524">
                                      <w:marLeft w:val="60"/>
                                      <w:marRight w:val="0"/>
                                      <w:marTop w:val="0"/>
                                      <w:marBottom w:val="0"/>
                                      <w:divBdr>
                                        <w:top w:val="none" w:sz="0" w:space="0" w:color="auto"/>
                                        <w:left w:val="none" w:sz="0" w:space="0" w:color="auto"/>
                                        <w:bottom w:val="none" w:sz="0" w:space="0" w:color="auto"/>
                                        <w:right w:val="none" w:sz="0" w:space="0" w:color="auto"/>
                                      </w:divBdr>
                                      <w:divsChild>
                                        <w:div w:id="1225722468">
                                          <w:marLeft w:val="0"/>
                                          <w:marRight w:val="0"/>
                                          <w:marTop w:val="0"/>
                                          <w:marBottom w:val="0"/>
                                          <w:divBdr>
                                            <w:top w:val="none" w:sz="0" w:space="0" w:color="auto"/>
                                            <w:left w:val="none" w:sz="0" w:space="0" w:color="auto"/>
                                            <w:bottom w:val="none" w:sz="0" w:space="0" w:color="auto"/>
                                            <w:right w:val="none" w:sz="0" w:space="0" w:color="auto"/>
                                          </w:divBdr>
                                          <w:divsChild>
                                            <w:div w:id="700663848">
                                              <w:marLeft w:val="0"/>
                                              <w:marRight w:val="0"/>
                                              <w:marTop w:val="0"/>
                                              <w:marBottom w:val="120"/>
                                              <w:divBdr>
                                                <w:top w:val="single" w:sz="6" w:space="0" w:color="F5F5F5"/>
                                                <w:left w:val="single" w:sz="6" w:space="0" w:color="F5F5F5"/>
                                                <w:bottom w:val="single" w:sz="6" w:space="0" w:color="F5F5F5"/>
                                                <w:right w:val="single" w:sz="6" w:space="0" w:color="F5F5F5"/>
                                              </w:divBdr>
                                              <w:divsChild>
                                                <w:div w:id="1205018812">
                                                  <w:marLeft w:val="0"/>
                                                  <w:marRight w:val="0"/>
                                                  <w:marTop w:val="0"/>
                                                  <w:marBottom w:val="0"/>
                                                  <w:divBdr>
                                                    <w:top w:val="none" w:sz="0" w:space="0" w:color="auto"/>
                                                    <w:left w:val="none" w:sz="0" w:space="0" w:color="auto"/>
                                                    <w:bottom w:val="none" w:sz="0" w:space="0" w:color="auto"/>
                                                    <w:right w:val="none" w:sz="0" w:space="0" w:color="auto"/>
                                                  </w:divBdr>
                                                  <w:divsChild>
                                                    <w:div w:id="1756440847">
                                                      <w:marLeft w:val="0"/>
                                                      <w:marRight w:val="0"/>
                                                      <w:marTop w:val="0"/>
                                                      <w:marBottom w:val="0"/>
                                                      <w:divBdr>
                                                        <w:top w:val="none" w:sz="0" w:space="0" w:color="auto"/>
                                                        <w:left w:val="none" w:sz="0" w:space="0" w:color="auto"/>
                                                        <w:bottom w:val="none" w:sz="0" w:space="0" w:color="auto"/>
                                                        <w:right w:val="none" w:sz="0" w:space="0" w:color="auto"/>
                                                      </w:divBdr>
                                                    </w:div>
                                                  </w:divsChild>
                                                </w:div>
                                                <w:div w:id="5445995">
                                                  <w:marLeft w:val="0"/>
                                                  <w:marRight w:val="0"/>
                                                  <w:marTop w:val="0"/>
                                                  <w:marBottom w:val="0"/>
                                                  <w:divBdr>
                                                    <w:top w:val="none" w:sz="0" w:space="0" w:color="auto"/>
                                                    <w:left w:val="none" w:sz="0" w:space="0" w:color="auto"/>
                                                    <w:bottom w:val="none" w:sz="0" w:space="0" w:color="auto"/>
                                                    <w:right w:val="none" w:sz="0" w:space="0" w:color="auto"/>
                                                  </w:divBdr>
                                                  <w:divsChild>
                                                    <w:div w:id="14962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'table 24 PSIA'!$B$11</c:f>
              <c:strCache>
                <c:ptCount val="1"/>
                <c:pt idx="0">
                  <c:v>Food </c:v>
                </c:pt>
              </c:strCache>
            </c:strRef>
          </c:tx>
          <c:invertIfNegative val="0"/>
          <c:cat>
            <c:strRef>
              <c:f>'table 24 PSIA'!$A$12:$A$17</c:f>
              <c:strCache>
                <c:ptCount val="6"/>
                <c:pt idx="0">
                  <c:v>Poorest</c:v>
                </c:pt>
                <c:pt idx="1">
                  <c:v>Second</c:v>
                </c:pt>
                <c:pt idx="2">
                  <c:v>Third</c:v>
                </c:pt>
                <c:pt idx="3">
                  <c:v>Fourth</c:v>
                </c:pt>
                <c:pt idx="4">
                  <c:v>Richest</c:v>
                </c:pt>
                <c:pt idx="5">
                  <c:v>Total</c:v>
                </c:pt>
              </c:strCache>
            </c:strRef>
          </c:cat>
          <c:val>
            <c:numRef>
              <c:f>'table 24 PSIA'!$B$12:$B$17</c:f>
              <c:numCache>
                <c:formatCode>#,##0.00"";\-#,##0.00""</c:formatCode>
                <c:ptCount val="6"/>
                <c:pt idx="0">
                  <c:v>-1.0626619048416619</c:v>
                </c:pt>
                <c:pt idx="1">
                  <c:v>-0.74546101689338695</c:v>
                </c:pt>
                <c:pt idx="2">
                  <c:v>-0.582138992846012</c:v>
                </c:pt>
                <c:pt idx="3">
                  <c:v>-0.49257430434227001</c:v>
                </c:pt>
                <c:pt idx="4">
                  <c:v>-0.33158294856548298</c:v>
                </c:pt>
                <c:pt idx="5">
                  <c:v>-0.47369860857725099</c:v>
                </c:pt>
              </c:numCache>
            </c:numRef>
          </c:val>
        </c:ser>
        <c:ser>
          <c:idx val="1"/>
          <c:order val="1"/>
          <c:tx>
            <c:strRef>
              <c:f>'table 24 PSIA'!$C$11</c:f>
              <c:strCache>
                <c:ptCount val="1"/>
                <c:pt idx="0">
                  <c:v>Energy </c:v>
                </c:pt>
              </c:strCache>
            </c:strRef>
          </c:tx>
          <c:invertIfNegative val="0"/>
          <c:cat>
            <c:strRef>
              <c:f>'table 24 PSIA'!$A$12:$A$17</c:f>
              <c:strCache>
                <c:ptCount val="6"/>
                <c:pt idx="0">
                  <c:v>Poorest</c:v>
                </c:pt>
                <c:pt idx="1">
                  <c:v>Second</c:v>
                </c:pt>
                <c:pt idx="2">
                  <c:v>Third</c:v>
                </c:pt>
                <c:pt idx="3">
                  <c:v>Fourth</c:v>
                </c:pt>
                <c:pt idx="4">
                  <c:v>Richest</c:v>
                </c:pt>
                <c:pt idx="5">
                  <c:v>Total</c:v>
                </c:pt>
              </c:strCache>
            </c:strRef>
          </c:cat>
          <c:val>
            <c:numRef>
              <c:f>'table 24 PSIA'!$C$12:$C$17</c:f>
              <c:numCache>
                <c:formatCode>#,##0.00"";\-#,##0.00""</c:formatCode>
                <c:ptCount val="6"/>
                <c:pt idx="0">
                  <c:v>-6.2298165634274497E-2</c:v>
                </c:pt>
                <c:pt idx="1">
                  <c:v>-0.149979681707919</c:v>
                </c:pt>
                <c:pt idx="2">
                  <c:v>-0.223109511658549</c:v>
                </c:pt>
                <c:pt idx="3">
                  <c:v>-0.27724567055702198</c:v>
                </c:pt>
                <c:pt idx="4">
                  <c:v>-0.64586029201745998</c:v>
                </c:pt>
                <c:pt idx="5">
                  <c:v>-0.43305057287216198</c:v>
                </c:pt>
              </c:numCache>
            </c:numRef>
          </c:val>
        </c:ser>
        <c:ser>
          <c:idx val="2"/>
          <c:order val="2"/>
          <c:tx>
            <c:strRef>
              <c:f>'table 24 PSIA'!$D$11</c:f>
              <c:strCache>
                <c:ptCount val="1"/>
                <c:pt idx="0">
                  <c:v>Total</c:v>
                </c:pt>
              </c:strCache>
            </c:strRef>
          </c:tx>
          <c:invertIfNegative val="0"/>
          <c:cat>
            <c:strRef>
              <c:f>'table 24 PSIA'!$A$12:$A$17</c:f>
              <c:strCache>
                <c:ptCount val="6"/>
                <c:pt idx="0">
                  <c:v>Poorest</c:v>
                </c:pt>
                <c:pt idx="1">
                  <c:v>Second</c:v>
                </c:pt>
                <c:pt idx="2">
                  <c:v>Third</c:v>
                </c:pt>
                <c:pt idx="3">
                  <c:v>Fourth</c:v>
                </c:pt>
                <c:pt idx="4">
                  <c:v>Richest</c:v>
                </c:pt>
                <c:pt idx="5">
                  <c:v>Total</c:v>
                </c:pt>
              </c:strCache>
            </c:strRef>
          </c:cat>
          <c:val>
            <c:numRef>
              <c:f>'table 24 PSIA'!$D$12:$D$17</c:f>
              <c:numCache>
                <c:formatCode>#,##0.00"";\-#,##0.00""</c:formatCode>
                <c:ptCount val="6"/>
                <c:pt idx="0">
                  <c:v>-1.1249600704759359</c:v>
                </c:pt>
                <c:pt idx="1">
                  <c:v>-0.89544069860130604</c:v>
                </c:pt>
                <c:pt idx="2">
                  <c:v>-0.80524850450456098</c:v>
                </c:pt>
                <c:pt idx="3">
                  <c:v>-0.76981997489929199</c:v>
                </c:pt>
                <c:pt idx="4">
                  <c:v>-0.97744324058294296</c:v>
                </c:pt>
                <c:pt idx="5">
                  <c:v>-0.90674918144941297</c:v>
                </c:pt>
              </c:numCache>
            </c:numRef>
          </c:val>
        </c:ser>
        <c:dLbls>
          <c:showLegendKey val="0"/>
          <c:showVal val="0"/>
          <c:showCatName val="0"/>
          <c:showSerName val="0"/>
          <c:showPercent val="0"/>
          <c:showBubbleSize val="0"/>
        </c:dLbls>
        <c:gapWidth val="150"/>
        <c:axId val="479586400"/>
        <c:axId val="481536536"/>
      </c:barChart>
      <c:catAx>
        <c:axId val="479586400"/>
        <c:scaling>
          <c:orientation val="minMax"/>
        </c:scaling>
        <c:delete val="0"/>
        <c:axPos val="b"/>
        <c:numFmt formatCode="General" sourceLinked="0"/>
        <c:majorTickMark val="out"/>
        <c:minorTickMark val="none"/>
        <c:tickLblPos val="high"/>
        <c:txPr>
          <a:bodyPr/>
          <a:lstStyle/>
          <a:p>
            <a:pPr>
              <a:defRPr>
                <a:latin typeface="Times New Roman" panose="02020603050405020304" pitchFamily="18" charset="0"/>
                <a:cs typeface="Times New Roman" panose="02020603050405020304" pitchFamily="18" charset="0"/>
              </a:defRPr>
            </a:pPr>
            <a:endParaRPr lang="en-US"/>
          </a:p>
        </c:txPr>
        <c:crossAx val="481536536"/>
        <c:crosses val="autoZero"/>
        <c:auto val="1"/>
        <c:lblAlgn val="ctr"/>
        <c:lblOffset val="100"/>
        <c:noMultiLvlLbl val="0"/>
      </c:catAx>
      <c:valAx>
        <c:axId val="481536536"/>
        <c:scaling>
          <c:orientation val="minMax"/>
        </c:scaling>
        <c:delete val="0"/>
        <c:axPos val="l"/>
        <c:majorGridlines/>
        <c:numFmt formatCode="#,##0.00&quot;&quot;;\-#,##0.00&quot;&quot;"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79586400"/>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461067366579181E-2"/>
          <c:y val="5.4827901309777639E-2"/>
          <c:w val="0.90887226596675419"/>
          <c:h val="0.7198470739102818"/>
        </c:manualLayout>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table_46_S1!$B$10:$I$10</c:f>
              <c:strCache>
                <c:ptCount val="8"/>
                <c:pt idx="0">
                  <c:v>Powder Milk</c:v>
                </c:pt>
                <c:pt idx="1">
                  <c:v>Flour</c:v>
                </c:pt>
                <c:pt idx="2">
                  <c:v>Cooking Oil</c:v>
                </c:pt>
                <c:pt idx="3">
                  <c:v>Sugar</c:v>
                </c:pt>
                <c:pt idx="4">
                  <c:v>Fuel</c:v>
                </c:pt>
                <c:pt idx="5">
                  <c:v>Public Transport</c:v>
                </c:pt>
                <c:pt idx="6">
                  <c:v>School Transport</c:v>
                </c:pt>
                <c:pt idx="7">
                  <c:v>Total</c:v>
                </c:pt>
              </c:strCache>
            </c:strRef>
          </c:cat>
          <c:val>
            <c:numRef>
              <c:f>table_46_S1!$B$11:$I$11</c:f>
              <c:numCache>
                <c:formatCode>#,##0"";\-#,##0""</c:formatCode>
                <c:ptCount val="8"/>
                <c:pt idx="0">
                  <c:v>88.978575445199994</c:v>
                </c:pt>
                <c:pt idx="1">
                  <c:v>152.82987188279998</c:v>
                </c:pt>
                <c:pt idx="2">
                  <c:v>77.476664315399987</c:v>
                </c:pt>
                <c:pt idx="3">
                  <c:v>127.69371630959999</c:v>
                </c:pt>
                <c:pt idx="4">
                  <c:v>243.80375076959999</c:v>
                </c:pt>
                <c:pt idx="5">
                  <c:v>77.805772266600002</c:v>
                </c:pt>
                <c:pt idx="6">
                  <c:v>87.014069973600002</c:v>
                </c:pt>
                <c:pt idx="7">
                  <c:v>855.60243783839985</c:v>
                </c:pt>
              </c:numCache>
            </c:numRef>
          </c:val>
        </c:ser>
        <c:dLbls>
          <c:showLegendKey val="0"/>
          <c:showVal val="0"/>
          <c:showCatName val="0"/>
          <c:showSerName val="0"/>
          <c:showPercent val="0"/>
          <c:showBubbleSize val="0"/>
        </c:dLbls>
        <c:gapWidth val="150"/>
        <c:axId val="481536928"/>
        <c:axId val="481537320"/>
      </c:barChart>
      <c:catAx>
        <c:axId val="48153692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81537320"/>
        <c:crosses val="autoZero"/>
        <c:auto val="1"/>
        <c:lblAlgn val="ctr"/>
        <c:lblOffset val="100"/>
        <c:noMultiLvlLbl val="0"/>
      </c:catAx>
      <c:valAx>
        <c:axId val="481537320"/>
        <c:scaling>
          <c:orientation val="minMax"/>
        </c:scaling>
        <c:delete val="0"/>
        <c:axPos val="l"/>
        <c:majorGridlines/>
        <c:numFmt formatCode="#,##0&quot;&quot;;\-#,##0&quot;&quot;"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81536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FFF1-E8B1-45DC-9E16-B0D9DBCC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7413</Words>
  <Characters>42259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Brodmann</dc:creator>
  <cp:lastModifiedBy>Bobbie Sauer</cp:lastModifiedBy>
  <cp:revision>5</cp:revision>
  <dcterms:created xsi:type="dcterms:W3CDTF">2015-02-19T09:27:00Z</dcterms:created>
  <dcterms:modified xsi:type="dcterms:W3CDTF">2015-04-17T15:18:00Z</dcterms:modified>
</cp:coreProperties>
</file>