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057" w:rsidRPr="00CB58E7" w:rsidRDefault="0068566E" w:rsidP="00320855">
      <w:pPr>
        <w:pStyle w:val="Title"/>
        <w:rPr>
          <w:sz w:val="32"/>
          <w:szCs w:val="32"/>
        </w:rPr>
      </w:pPr>
      <w:r w:rsidRPr="0068566E">
        <w:rPr>
          <w:noProof/>
          <w:sz w:val="32"/>
          <w:szCs w:val="32"/>
        </w:rPr>
        <mc:AlternateContent>
          <mc:Choice Requires="wps">
            <w:drawing>
              <wp:anchor distT="0" distB="0" distL="114300" distR="114300" simplePos="0" relativeHeight="251661312" behindDoc="0" locked="0" layoutInCell="1" allowOverlap="1" wp14:editId="36B11C9B">
                <wp:simplePos x="0" y="0"/>
                <wp:positionH relativeFrom="column">
                  <wp:posOffset>5869305</wp:posOffset>
                </wp:positionH>
                <wp:positionV relativeFrom="paragraph">
                  <wp:posOffset>-733425</wp:posOffset>
                </wp:positionV>
                <wp:extent cx="10668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3985"/>
                        </a:xfrm>
                        <a:prstGeom prst="rect">
                          <a:avLst/>
                        </a:prstGeom>
                        <a:noFill/>
                        <a:ln w="9525">
                          <a:noFill/>
                          <a:miter lim="800000"/>
                          <a:headEnd/>
                          <a:tailEnd/>
                        </a:ln>
                      </wps:spPr>
                      <wps:txbx>
                        <w:txbxContent>
                          <w:p w:rsidR="0068566E" w:rsidRPr="0068566E" w:rsidRDefault="0068566E">
                            <w:pPr>
                              <w:rPr>
                                <w:color w:val="FFFFFF" w:themeColor="background1"/>
                                <w:sz w:val="44"/>
                                <w:szCs w:val="44"/>
                              </w:rPr>
                            </w:pPr>
                            <w:bookmarkStart w:id="0" w:name="_GoBack"/>
                            <w:r w:rsidRPr="0068566E">
                              <w:rPr>
                                <w:color w:val="FFFFFF" w:themeColor="background1"/>
                                <w:sz w:val="44"/>
                                <w:szCs w:val="44"/>
                              </w:rPr>
                              <w:t>89994</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2.15pt;margin-top:-57.75pt;width:8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" filled="f" stroked="f">
                <v:textbox style="mso-fit-shape-to-text:t">
                  <w:txbxContent>
                    <w:p w:rsidR="0068566E" w:rsidRPr="0068566E" w:rsidRDefault="0068566E">
                      <w:pPr>
                        <w:rPr>
                          <w:color w:val="FFFFFF" w:themeColor="background1"/>
                          <w:sz w:val="44"/>
                          <w:szCs w:val="44"/>
                        </w:rPr>
                      </w:pPr>
                      <w:bookmarkStart w:id="1" w:name="_GoBack"/>
                      <w:r w:rsidRPr="0068566E">
                        <w:rPr>
                          <w:color w:val="FFFFFF" w:themeColor="background1"/>
                          <w:sz w:val="44"/>
                          <w:szCs w:val="44"/>
                        </w:rPr>
                        <w:t>89994</w:t>
                      </w:r>
                      <w:bookmarkEnd w:id="1"/>
                    </w:p>
                  </w:txbxContent>
                </v:textbox>
              </v:shape>
            </w:pict>
          </mc:Fallback>
        </mc:AlternateContent>
      </w:r>
      <w:r w:rsidR="00726CE5">
        <w:rPr>
          <w:noProof/>
        </w:rPr>
        <w:drawing>
          <wp:anchor distT="0" distB="0" distL="114300" distR="114300" simplePos="0" relativeHeight="251659264" behindDoc="1" locked="0" layoutInCell="1" allowOverlap="1" wp14:anchorId="0F2A288B" wp14:editId="3A60115B">
            <wp:simplePos x="0" y="0"/>
            <wp:positionH relativeFrom="page">
              <wp:posOffset>142111</wp:posOffset>
            </wp:positionH>
            <wp:positionV relativeFrom="page">
              <wp:posOffset>149860</wp:posOffset>
            </wp:positionV>
            <wp:extent cx="7485888" cy="182880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102_Policy_Briefs_Header.jpg"/>
                    <pic:cNvPicPr/>
                  </pic:nvPicPr>
                  <pic:blipFill>
                    <a:blip r:embed="rId9">
                      <a:extLst>
                        <a:ext uri="{28A0092B-C50C-407E-A947-70E740481C1C}">
                          <a14:useLocalDpi xmlns:a14="http://schemas.microsoft.com/office/drawing/2010/main" val="0"/>
                        </a:ext>
                      </a:extLst>
                    </a:blip>
                    <a:stretch>
                      <a:fillRect/>
                    </a:stretch>
                  </pic:blipFill>
                  <pic:spPr>
                    <a:xfrm>
                      <a:off x="0" y="0"/>
                      <a:ext cx="7485888" cy="182880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B58E7">
        <w:rPr>
          <w:sz w:val="32"/>
          <w:szCs w:val="32"/>
        </w:rPr>
        <w:t>Leveling the Playing Field</w:t>
      </w:r>
      <w:r w:rsidR="00120057" w:rsidRPr="00BA1B5B">
        <w:rPr>
          <w:sz w:val="32"/>
          <w:szCs w:val="32"/>
        </w:rPr>
        <w:t xml:space="preserve">: </w:t>
      </w:r>
      <w:r w:rsidR="00402AB1">
        <w:br/>
      </w:r>
      <w:r w:rsidR="00120057" w:rsidRPr="00BA1B5B">
        <w:rPr>
          <w:sz w:val="32"/>
          <w:szCs w:val="32"/>
        </w:rPr>
        <w:t xml:space="preserve">Lessons from World Bank </w:t>
      </w:r>
      <w:r w:rsidR="00BA1B5B" w:rsidRPr="00BA1B5B">
        <w:rPr>
          <w:sz w:val="32"/>
          <w:szCs w:val="32"/>
        </w:rPr>
        <w:t xml:space="preserve">Group </w:t>
      </w:r>
      <w:r w:rsidR="00CB58E7">
        <w:rPr>
          <w:sz w:val="32"/>
          <w:szCs w:val="32"/>
        </w:rPr>
        <w:br/>
      </w:r>
      <w:r w:rsidR="00BA1B5B" w:rsidRPr="00BA1B5B">
        <w:rPr>
          <w:sz w:val="32"/>
          <w:szCs w:val="32"/>
        </w:rPr>
        <w:t xml:space="preserve">Gender </w:t>
      </w:r>
      <w:r w:rsidR="00120057" w:rsidRPr="00BA1B5B">
        <w:rPr>
          <w:sz w:val="32"/>
          <w:szCs w:val="32"/>
        </w:rPr>
        <w:t>Impact Evaluations</w:t>
      </w:r>
      <w:r w:rsidR="00CB58E7">
        <w:rPr>
          <w:sz w:val="32"/>
          <w:szCs w:val="32"/>
        </w:rPr>
        <w:t xml:space="preserve"> on Education</w:t>
      </w:r>
    </w:p>
    <w:p w:rsidR="00991B37" w:rsidRPr="005A35B0" w:rsidRDefault="00874FA6" w:rsidP="00320855">
      <w:pPr>
        <w:rPr>
          <w:sz w:val="28"/>
          <w:szCs w:val="28"/>
          <w:u w:val="single"/>
        </w:rPr>
      </w:pPr>
      <w:r>
        <w:rPr>
          <w:noProof/>
        </w:rPr>
        <mc:AlternateContent>
          <mc:Choice Requires="wps">
            <w:drawing>
              <wp:inline distT="0" distB="0" distL="0" distR="0" wp14:anchorId="369F131B" wp14:editId="2ED061FD">
                <wp:extent cx="6309360" cy="91440"/>
                <wp:effectExtent l="0" t="0" r="0" b="10160"/>
                <wp:docPr id="1" name="Rectangle 1"/>
                <wp:cNvGraphicFramePr/>
                <a:graphic xmlns:a="http://schemas.openxmlformats.org/drawingml/2006/main">
                  <a:graphicData uri="http://schemas.microsoft.com/office/word/2010/wordprocessingShape">
                    <wps:wsp>
                      <wps:cNvSpPr/>
                      <wps:spPr>
                        <a:xfrm>
                          <a:off x="0" y="0"/>
                          <a:ext cx="6309360" cy="91440"/>
                        </a:xfrm>
                        <a:prstGeom prst="rect">
                          <a:avLst/>
                        </a:prstGeom>
                        <a:solidFill>
                          <a:srgbClr val="B1CD29"/>
                        </a:solidFill>
                        <a:ln>
                          <a:noFill/>
                        </a:ln>
                        <a:effectLst/>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rect id="Rectangle 1" o:spid="_x0000_s1026" style="width:496.8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" fillcolor="#b1cd29" stroked="f">
                <w10:anchorlock/>
              </v:rect>
            </w:pict>
          </mc:Fallback>
        </mc:AlternateContent>
      </w:r>
    </w:p>
    <w:p w:rsidR="000E4AB7" w:rsidRPr="005A35B0" w:rsidRDefault="00BA1B5B" w:rsidP="003E3611">
      <w:pPr>
        <w:pStyle w:val="Author"/>
      </w:pPr>
      <w:r>
        <w:t>Jennifer Parsons and Jennifer McCleary-Sills</w:t>
      </w:r>
    </w:p>
    <w:p w:rsidR="00CD1224" w:rsidRPr="003E3611" w:rsidRDefault="00CD1224" w:rsidP="003E3611">
      <w:pPr>
        <w:pStyle w:val="Author"/>
      </w:pPr>
      <w:r w:rsidRPr="003E3611">
        <w:t>Gen</w:t>
      </w:r>
      <w:r w:rsidR="008E3A9B">
        <w:t xml:space="preserve">der </w:t>
      </w:r>
      <w:r w:rsidR="00923E11">
        <w:t>Group</w:t>
      </w:r>
      <w:r w:rsidR="008E3A9B">
        <w:t xml:space="preserve">, </w:t>
      </w:r>
      <w:r w:rsidR="009D6A2A">
        <w:t>World Bank Group</w:t>
      </w:r>
    </w:p>
    <w:p w:rsidR="00352BEE" w:rsidRPr="005A35B0" w:rsidRDefault="00352BEE" w:rsidP="00320855">
      <w:pPr>
        <w:sectPr w:rsidR="00352BEE" w:rsidRPr="005A35B0" w:rsidSect="00862F1C">
          <w:headerReference w:type="default" r:id="rId10"/>
          <w:footerReference w:type="default" r:id="rId11"/>
          <w:pgSz w:w="12240" w:h="15840"/>
          <w:pgMar w:top="1440" w:right="1152" w:bottom="1354" w:left="1152" w:header="720" w:footer="720" w:gutter="0"/>
          <w:cols w:space="720"/>
          <w:docGrid w:linePitch="360"/>
        </w:sectPr>
      </w:pPr>
    </w:p>
    <w:p w:rsidR="006E23D2" w:rsidRDefault="006E23D2" w:rsidP="006E23D2">
      <w:pPr>
        <w:pStyle w:val="Heading2"/>
        <w:spacing w:before="0" w:after="0"/>
        <w:jc w:val="center"/>
        <w:rPr>
          <w:rFonts w:ascii="Arial" w:hAnsi="Arial"/>
          <w:i/>
          <w:color w:val="1F497D" w:themeColor="text2"/>
          <w:sz w:val="22"/>
          <w:szCs w:val="22"/>
        </w:rPr>
      </w:pPr>
    </w:p>
    <w:p w:rsidR="006E23D2" w:rsidRDefault="0030247E" w:rsidP="006E23D2">
      <w:pPr>
        <w:pStyle w:val="Heading2"/>
        <w:spacing w:before="0" w:after="0"/>
        <w:jc w:val="center"/>
        <w:rPr>
          <w:rFonts w:ascii="Arial" w:hAnsi="Arial"/>
          <w:color w:val="1F497D" w:themeColor="text2"/>
          <w:sz w:val="22"/>
          <w:szCs w:val="22"/>
        </w:rPr>
      </w:pPr>
      <w:r w:rsidRPr="0030247E">
        <w:rPr>
          <w:rFonts w:ascii="Arial" w:hAnsi="Arial"/>
          <w:i/>
          <w:color w:val="1F497D" w:themeColor="text2"/>
          <w:sz w:val="22"/>
          <w:szCs w:val="22"/>
        </w:rPr>
        <w:t>I know education is what separates a girl who is trapped in a cycle of poverty, fear</w:t>
      </w:r>
      <w:r w:rsidR="00DA3DCB">
        <w:rPr>
          <w:rFonts w:ascii="Arial" w:hAnsi="Arial"/>
          <w:i/>
          <w:color w:val="1F497D" w:themeColor="text2"/>
          <w:sz w:val="22"/>
          <w:szCs w:val="22"/>
        </w:rPr>
        <w:t>,</w:t>
      </w:r>
      <w:r w:rsidRPr="0030247E">
        <w:rPr>
          <w:rFonts w:ascii="Arial" w:hAnsi="Arial"/>
          <w:i/>
          <w:color w:val="1F497D" w:themeColor="text2"/>
          <w:sz w:val="22"/>
          <w:szCs w:val="22"/>
        </w:rPr>
        <w:t xml:space="preserve"> and violence from one with a chance at a better future</w:t>
      </w:r>
      <w:r>
        <w:rPr>
          <w:rFonts w:ascii="Arial" w:hAnsi="Arial"/>
          <w:color w:val="1F497D" w:themeColor="text2"/>
          <w:sz w:val="22"/>
          <w:szCs w:val="22"/>
        </w:rPr>
        <w:t>.</w:t>
      </w:r>
      <w:r w:rsidRPr="0030247E">
        <w:rPr>
          <w:rFonts w:ascii="Arial" w:hAnsi="Arial"/>
          <w:color w:val="1F497D" w:themeColor="text2"/>
          <w:sz w:val="22"/>
          <w:szCs w:val="22"/>
        </w:rPr>
        <w:t xml:space="preserve"> </w:t>
      </w:r>
      <w:r w:rsidR="006E23D2">
        <w:rPr>
          <w:rFonts w:ascii="Arial" w:hAnsi="Arial"/>
          <w:color w:val="1F497D" w:themeColor="text2"/>
          <w:sz w:val="22"/>
          <w:szCs w:val="22"/>
        </w:rPr>
        <w:t xml:space="preserve">       </w:t>
      </w:r>
    </w:p>
    <w:p w:rsidR="0030247E" w:rsidRPr="0030247E" w:rsidRDefault="006E23D2" w:rsidP="006E23D2">
      <w:pPr>
        <w:pStyle w:val="Heading2"/>
        <w:spacing w:before="0" w:after="0"/>
        <w:jc w:val="center"/>
        <w:rPr>
          <w:rFonts w:ascii="Arial" w:hAnsi="Arial"/>
          <w:color w:val="1F497D" w:themeColor="text2"/>
          <w:sz w:val="22"/>
          <w:szCs w:val="22"/>
        </w:rPr>
      </w:pPr>
      <w:r>
        <w:rPr>
          <w:rFonts w:ascii="Arial" w:hAnsi="Arial"/>
          <w:color w:val="1F497D" w:themeColor="text2"/>
          <w:sz w:val="22"/>
          <w:szCs w:val="22"/>
        </w:rPr>
        <w:t xml:space="preserve"> </w:t>
      </w:r>
      <w:r w:rsidR="0030247E" w:rsidRPr="0030247E">
        <w:rPr>
          <w:rFonts w:ascii="Arial" w:hAnsi="Arial"/>
          <w:color w:val="1F497D" w:themeColor="text2"/>
          <w:sz w:val="22"/>
          <w:szCs w:val="22"/>
        </w:rPr>
        <w:t>–</w:t>
      </w:r>
      <w:r w:rsidR="00DA3DCB">
        <w:rPr>
          <w:rFonts w:ascii="Arial" w:hAnsi="Arial"/>
          <w:color w:val="1F497D" w:themeColor="text2"/>
          <w:sz w:val="22"/>
          <w:szCs w:val="22"/>
        </w:rPr>
        <w:t>-</w:t>
      </w:r>
      <w:r w:rsidR="0030247E" w:rsidRPr="0030247E">
        <w:rPr>
          <w:rFonts w:ascii="Arial" w:hAnsi="Arial"/>
          <w:color w:val="1F497D" w:themeColor="text2"/>
          <w:sz w:val="22"/>
          <w:szCs w:val="22"/>
        </w:rPr>
        <w:t xml:space="preserve">Malala Yousafzai (July 13, 2014, </w:t>
      </w:r>
      <w:r w:rsidR="00DA3DCB" w:rsidRPr="00DA3DCB">
        <w:rPr>
          <w:rFonts w:ascii="Arial" w:hAnsi="Arial"/>
          <w:i/>
          <w:color w:val="1F497D" w:themeColor="text2"/>
          <w:sz w:val="22"/>
          <w:szCs w:val="22"/>
        </w:rPr>
        <w:t xml:space="preserve">The </w:t>
      </w:r>
      <w:r w:rsidR="0030247E" w:rsidRPr="00DA3DCB">
        <w:rPr>
          <w:rFonts w:ascii="Arial" w:hAnsi="Arial"/>
          <w:i/>
          <w:color w:val="1F497D" w:themeColor="text2"/>
          <w:sz w:val="22"/>
          <w:szCs w:val="22"/>
        </w:rPr>
        <w:t>New York Times</w:t>
      </w:r>
      <w:r w:rsidR="0030247E" w:rsidRPr="0030247E">
        <w:rPr>
          <w:rFonts w:ascii="Arial" w:hAnsi="Arial"/>
          <w:color w:val="1F497D" w:themeColor="text2"/>
          <w:sz w:val="22"/>
          <w:szCs w:val="22"/>
        </w:rPr>
        <w:t>)</w:t>
      </w:r>
    </w:p>
    <w:p w:rsidR="002F197C" w:rsidRPr="009A7028" w:rsidRDefault="002F197C" w:rsidP="009A7028">
      <w:pPr>
        <w:pStyle w:val="Heading2"/>
      </w:pPr>
      <w:r w:rsidRPr="009A7028">
        <w:t>Synopsis</w:t>
      </w:r>
    </w:p>
    <w:p w:rsidR="00A5473C" w:rsidRPr="00247276" w:rsidRDefault="00A5473C" w:rsidP="00A5473C">
      <w:pPr>
        <w:autoSpaceDE w:val="0"/>
        <w:autoSpaceDN w:val="0"/>
        <w:adjustRightInd w:val="0"/>
        <w:rPr>
          <w:rFonts w:cs="Cambria"/>
        </w:rPr>
      </w:pPr>
      <w:r>
        <w:rPr>
          <w:rFonts w:cs="Cambria"/>
        </w:rPr>
        <w:t>Progress toward</w:t>
      </w:r>
      <w:r w:rsidRPr="00682F42">
        <w:rPr>
          <w:rFonts w:cs="Cambria"/>
        </w:rPr>
        <w:t xml:space="preserve"> gender equality over the past two decades </w:t>
      </w:r>
      <w:r>
        <w:rPr>
          <w:rFonts w:cs="Cambria"/>
        </w:rPr>
        <w:t>is</w:t>
      </w:r>
      <w:r w:rsidRPr="00682F42">
        <w:rPr>
          <w:rFonts w:cs="Cambria"/>
        </w:rPr>
        <w:t xml:space="preserve"> most </w:t>
      </w:r>
      <w:r>
        <w:rPr>
          <w:rFonts w:cs="Cambria"/>
        </w:rPr>
        <w:t>evident</w:t>
      </w:r>
      <w:r w:rsidRPr="00682F42">
        <w:rPr>
          <w:rFonts w:cs="Cambria"/>
        </w:rPr>
        <w:t xml:space="preserve"> in education</w:t>
      </w:r>
      <w:r>
        <w:rPr>
          <w:rFonts w:cs="Cambria"/>
        </w:rPr>
        <w:t xml:space="preserve"> goals</w:t>
      </w:r>
      <w:r w:rsidRPr="00682F42">
        <w:rPr>
          <w:rFonts w:cs="Cambria"/>
        </w:rPr>
        <w:t xml:space="preserve">, as </w:t>
      </w:r>
      <w:r w:rsidRPr="00682F42">
        <w:t>primary and secondary school enrollment rates are now the same for boys and girls in many countries</w:t>
      </w:r>
      <w:r>
        <w:t>.</w:t>
      </w:r>
      <w:r w:rsidRPr="00682F42">
        <w:rPr>
          <w:rFonts w:cs="Cambria"/>
        </w:rPr>
        <w:t xml:space="preserve"> </w:t>
      </w:r>
      <w:r>
        <w:rPr>
          <w:rFonts w:cs="Cambria"/>
        </w:rPr>
        <w:t>Yet structural, social, and financial barriers continue to prevent enrollment, attendance, and school completion for millions of young people around the globe</w:t>
      </w:r>
      <w:r w:rsidRPr="00ED33B4">
        <w:rPr>
          <w:rFonts w:cs="Cambria"/>
        </w:rPr>
        <w:t xml:space="preserve">. </w:t>
      </w:r>
      <w:r>
        <w:rPr>
          <w:rFonts w:cs="Cambria"/>
        </w:rPr>
        <w:t xml:space="preserve">And gender imbalances persist.  </w:t>
      </w:r>
      <w:r w:rsidRPr="00682F42">
        <w:rPr>
          <w:rFonts w:cs="Cambria"/>
        </w:rPr>
        <w:t>I</w:t>
      </w:r>
      <w:r w:rsidR="00EA38AB">
        <w:rPr>
          <w:rFonts w:cs="Cambria"/>
        </w:rPr>
        <w:t xml:space="preserve">mproving access to </w:t>
      </w:r>
      <w:r>
        <w:rPr>
          <w:rFonts w:cs="Cambria"/>
        </w:rPr>
        <w:t xml:space="preserve">and retention in primary and secondary education is a critical element in achieving development objectives, including targets for gender equality. </w:t>
      </w:r>
      <w:r w:rsidR="00EA38AB">
        <w:rPr>
          <w:rFonts w:cs="Cambria"/>
        </w:rPr>
        <w:t xml:space="preserve">Addressing education quality for all students is also critical. </w:t>
      </w:r>
      <w:r w:rsidRPr="006F795B">
        <w:rPr>
          <w:iCs/>
        </w:rPr>
        <w:t xml:space="preserve">Drawing on lessons from </w:t>
      </w:r>
      <w:r>
        <w:rPr>
          <w:iCs/>
        </w:rPr>
        <w:t>27</w:t>
      </w:r>
      <w:r w:rsidRPr="006F795B">
        <w:rPr>
          <w:iCs/>
        </w:rPr>
        <w:t xml:space="preserve"> impact evaluations </w:t>
      </w:r>
      <w:r w:rsidR="002F3FC3">
        <w:rPr>
          <w:iCs/>
        </w:rPr>
        <w:t xml:space="preserve">(IEs) </w:t>
      </w:r>
      <w:r w:rsidRPr="006F795B">
        <w:rPr>
          <w:iCs/>
        </w:rPr>
        <w:t>supported by the World Bank</w:t>
      </w:r>
      <w:r>
        <w:rPr>
          <w:iCs/>
        </w:rPr>
        <w:t xml:space="preserve"> Group</w:t>
      </w:r>
      <w:r w:rsidR="002F3FC3">
        <w:rPr>
          <w:iCs/>
        </w:rPr>
        <w:t xml:space="preserve"> (WBG)</w:t>
      </w:r>
      <w:r w:rsidRPr="006F795B">
        <w:rPr>
          <w:iCs/>
        </w:rPr>
        <w:t xml:space="preserve">, this brief highlights </w:t>
      </w:r>
      <w:r>
        <w:rPr>
          <w:iCs/>
        </w:rPr>
        <w:t>oppo</w:t>
      </w:r>
      <w:r w:rsidR="002F3FC3">
        <w:rPr>
          <w:iCs/>
        </w:rPr>
        <w:t>rtunities to improve education</w:t>
      </w:r>
      <w:r>
        <w:rPr>
          <w:iCs/>
        </w:rPr>
        <w:t xml:space="preserve"> outcomes and suggests strategies to reduce gender disparities in </w:t>
      </w:r>
      <w:r w:rsidR="002C5B7F">
        <w:rPr>
          <w:iCs/>
        </w:rPr>
        <w:t>this area</w:t>
      </w:r>
      <w:r>
        <w:rPr>
          <w:iCs/>
        </w:rPr>
        <w:t xml:space="preserve">. </w:t>
      </w:r>
      <w:r w:rsidR="00BC4FE4">
        <w:t>The findings indicate that</w:t>
      </w:r>
      <w:r w:rsidR="00BC4FE4" w:rsidRPr="00310F02">
        <w:t xml:space="preserve"> </w:t>
      </w:r>
      <w:r w:rsidR="00BC4FE4">
        <w:t>strategies</w:t>
      </w:r>
      <w:r w:rsidR="00BC4FE4" w:rsidRPr="00310F02">
        <w:t xml:space="preserve"> that </w:t>
      </w:r>
      <w:r w:rsidR="007E1786">
        <w:t>combin</w:t>
      </w:r>
      <w:r w:rsidR="00B41F36">
        <w:t>e</w:t>
      </w:r>
      <w:r w:rsidR="007E1786">
        <w:t xml:space="preserve"> </w:t>
      </w:r>
      <w:r w:rsidR="00BC4FE4">
        <w:t>structural interventions</w:t>
      </w:r>
      <w:r w:rsidR="00BC4FE4" w:rsidRPr="00310F02">
        <w:t xml:space="preserve"> with </w:t>
      </w:r>
      <w:r w:rsidR="00BC4FE4">
        <w:t>individual and family level financial incentives</w:t>
      </w:r>
      <w:r w:rsidR="00BC4FE4" w:rsidRPr="00310F02">
        <w:t xml:space="preserve"> </w:t>
      </w:r>
      <w:r w:rsidR="00BC4FE4">
        <w:t>show th</w:t>
      </w:r>
      <w:r w:rsidR="007E1786">
        <w:t>e</w:t>
      </w:r>
      <w:r w:rsidR="00BC4FE4">
        <w:t xml:space="preserve"> greatest promise for </w:t>
      </w:r>
      <w:r w:rsidR="00BC4FE4" w:rsidRPr="00310F02">
        <w:t xml:space="preserve">improving </w:t>
      </w:r>
      <w:r w:rsidR="00BC4FE4">
        <w:t xml:space="preserve">education </w:t>
      </w:r>
      <w:r w:rsidR="00BC4FE4" w:rsidRPr="00310F02">
        <w:t>outcomes</w:t>
      </w:r>
      <w:r w:rsidR="00BC4FE4">
        <w:t xml:space="preserve"> and leveling the playing field for girls.</w:t>
      </w:r>
    </w:p>
    <w:p w:rsidR="000E4AB7" w:rsidRPr="005A35B0" w:rsidRDefault="000E4AB7" w:rsidP="00320855"/>
    <w:p w:rsidR="00507579" w:rsidRDefault="00507579" w:rsidP="00320855">
      <w:pPr>
        <w:sectPr w:rsidR="00507579" w:rsidSect="00862F1C">
          <w:type w:val="continuous"/>
          <w:pgSz w:w="12240" w:h="15840"/>
          <w:pgMar w:top="1440" w:right="1152" w:bottom="1354" w:left="1152" w:header="720" w:footer="720" w:gutter="0"/>
          <w:cols w:space="720"/>
          <w:docGrid w:linePitch="360"/>
        </w:sectPr>
      </w:pPr>
    </w:p>
    <w:p w:rsidR="00120057" w:rsidRPr="00BC169A" w:rsidRDefault="00120057" w:rsidP="009A7028">
      <w:pPr>
        <w:pStyle w:val="Heading2"/>
      </w:pPr>
      <w:r w:rsidRPr="00BC169A">
        <w:lastRenderedPageBreak/>
        <w:t>Background</w:t>
      </w:r>
    </w:p>
    <w:p w:rsidR="002C5B7F" w:rsidRDefault="00A5473C" w:rsidP="00A5473C">
      <w:pPr>
        <w:autoSpaceDE w:val="0"/>
        <w:autoSpaceDN w:val="0"/>
        <w:adjustRightInd w:val="0"/>
        <w:rPr>
          <w:rFonts w:cs="Cambria"/>
        </w:rPr>
      </w:pPr>
      <w:r>
        <w:rPr>
          <w:rFonts w:cs="Cambria"/>
        </w:rPr>
        <w:t xml:space="preserve">The value of education is both intrinsic and instrumental. </w:t>
      </w:r>
      <w:r>
        <w:rPr>
          <w:iCs/>
        </w:rPr>
        <w:t>Educational achievement leads to improved health outcomes and improves economic earning potential in the short and long term</w:t>
      </w:r>
      <w:r w:rsidRPr="006F795B">
        <w:t>.</w:t>
      </w:r>
      <w:r>
        <w:t xml:space="preserve"> </w:t>
      </w:r>
      <w:r>
        <w:rPr>
          <w:rFonts w:cs="Cambria"/>
        </w:rPr>
        <w:t xml:space="preserve">Recent research highlighted girls’ education </w:t>
      </w:r>
      <w:r w:rsidR="00FE0451">
        <w:rPr>
          <w:rFonts w:cs="Cambria"/>
        </w:rPr>
        <w:t xml:space="preserve">as </w:t>
      </w:r>
      <w:r>
        <w:rPr>
          <w:rFonts w:cs="Cambria"/>
        </w:rPr>
        <w:t xml:space="preserve">a linchpin to promoting greater gender equality </w:t>
      </w:r>
      <w:r w:rsidRPr="00ED33B4">
        <w:rPr>
          <w:rFonts w:cs="Cambria"/>
        </w:rPr>
        <w:t>(World Bank</w:t>
      </w:r>
      <w:r w:rsidR="00AB1C38">
        <w:rPr>
          <w:rFonts w:cs="Cambria"/>
        </w:rPr>
        <w:t xml:space="preserve"> Group</w:t>
      </w:r>
      <w:r w:rsidRPr="00ED33B4">
        <w:rPr>
          <w:rFonts w:cs="Cambria"/>
        </w:rPr>
        <w:t>, 2014)</w:t>
      </w:r>
      <w:r>
        <w:rPr>
          <w:rFonts w:cs="Cambria"/>
        </w:rPr>
        <w:t xml:space="preserve">. </w:t>
      </w:r>
      <w:r w:rsidRPr="00ED33B4">
        <w:rPr>
          <w:rFonts w:cs="Cambria"/>
        </w:rPr>
        <w:t xml:space="preserve">Around the world, better educated women </w:t>
      </w:r>
      <w:r>
        <w:rPr>
          <w:rFonts w:cs="Cambria"/>
        </w:rPr>
        <w:t>are more able</w:t>
      </w:r>
      <w:r w:rsidRPr="00ED33B4">
        <w:rPr>
          <w:rFonts w:cs="Cambria"/>
        </w:rPr>
        <w:t xml:space="preserve"> to make and implement decisions, even where gender norms are restrictive. </w:t>
      </w:r>
      <w:r>
        <w:rPr>
          <w:rFonts w:cs="Cambria"/>
        </w:rPr>
        <w:t>W</w:t>
      </w:r>
      <w:r w:rsidRPr="00ED33B4">
        <w:rPr>
          <w:rFonts w:cs="Cambria"/>
        </w:rPr>
        <w:t>omen with more education also tend to marry later and have fewer children</w:t>
      </w:r>
      <w:r>
        <w:rPr>
          <w:rFonts w:cs="Cambria"/>
        </w:rPr>
        <w:t xml:space="preserve"> (Raj, 2010</w:t>
      </w:r>
      <w:r w:rsidR="00FE0451">
        <w:rPr>
          <w:rFonts w:cs="Cambria"/>
        </w:rPr>
        <w:t>;</w:t>
      </w:r>
      <w:r>
        <w:rPr>
          <w:rFonts w:cs="Cambria"/>
        </w:rPr>
        <w:t xml:space="preserve"> </w:t>
      </w:r>
      <w:r w:rsidR="00D10036">
        <w:rPr>
          <w:rFonts w:cs="Cambria"/>
        </w:rPr>
        <w:t>WBG</w:t>
      </w:r>
      <w:r>
        <w:rPr>
          <w:rFonts w:cs="Cambria"/>
        </w:rPr>
        <w:t>, 2014)</w:t>
      </w:r>
      <w:r w:rsidR="006E23D2">
        <w:rPr>
          <w:rFonts w:cs="Cambria"/>
        </w:rPr>
        <w:t xml:space="preserve">. Lower </w:t>
      </w:r>
      <w:r w:rsidRPr="00ED33B4">
        <w:rPr>
          <w:rFonts w:cs="Cambria"/>
        </w:rPr>
        <w:t xml:space="preserve">fertility can increase women’s life expectancy and has </w:t>
      </w:r>
    </w:p>
    <w:p w:rsidR="002C5B7F" w:rsidRDefault="002C5B7F" w:rsidP="00A5473C">
      <w:pPr>
        <w:autoSpaceDE w:val="0"/>
        <w:autoSpaceDN w:val="0"/>
        <w:adjustRightInd w:val="0"/>
        <w:rPr>
          <w:rFonts w:cs="Cambria"/>
        </w:rPr>
      </w:pPr>
    </w:p>
    <w:p w:rsidR="006E23D2" w:rsidRDefault="00FE0451" w:rsidP="00A5473C">
      <w:pPr>
        <w:autoSpaceDE w:val="0"/>
        <w:autoSpaceDN w:val="0"/>
        <w:adjustRightInd w:val="0"/>
        <w:rPr>
          <w:rFonts w:cs="Cambria"/>
        </w:rPr>
      </w:pPr>
      <w:r>
        <w:rPr>
          <w:rFonts w:cs="Cambria"/>
        </w:rPr>
        <w:t>intergenerational</w:t>
      </w:r>
      <w:r w:rsidR="00A5473C">
        <w:rPr>
          <w:rFonts w:cs="Cambria"/>
        </w:rPr>
        <w:t xml:space="preserve"> </w:t>
      </w:r>
      <w:r w:rsidR="00A5473C" w:rsidRPr="00ED33B4">
        <w:rPr>
          <w:rFonts w:cs="Cambria"/>
        </w:rPr>
        <w:t>benefits</w:t>
      </w:r>
      <w:r w:rsidR="00DA3DCB">
        <w:rPr>
          <w:rFonts w:cs="Cambria"/>
        </w:rPr>
        <w:t xml:space="preserve">: </w:t>
      </w:r>
      <w:r w:rsidR="00A5473C">
        <w:rPr>
          <w:rFonts w:cs="Cambria"/>
        </w:rPr>
        <w:t>c</w:t>
      </w:r>
      <w:r w:rsidR="00A5473C" w:rsidRPr="00ED33B4">
        <w:rPr>
          <w:rFonts w:cs="Cambria"/>
        </w:rPr>
        <w:t xml:space="preserve">hildren of better educated women are </w:t>
      </w:r>
      <w:r w:rsidR="00A5473C">
        <w:rPr>
          <w:rFonts w:cs="Cambria"/>
        </w:rPr>
        <w:t xml:space="preserve">more likely to receive an education and </w:t>
      </w:r>
      <w:r w:rsidR="00A5473C" w:rsidRPr="00ED33B4">
        <w:rPr>
          <w:rFonts w:cs="Cambria"/>
        </w:rPr>
        <w:t xml:space="preserve">less likely to be </w:t>
      </w:r>
      <w:r w:rsidR="001A5FE9">
        <w:rPr>
          <w:rFonts w:cs="Cambria"/>
        </w:rPr>
        <w:t xml:space="preserve">stunted, as </w:t>
      </w:r>
    </w:p>
    <w:p w:rsidR="006E23D2" w:rsidRDefault="006E23D2" w:rsidP="00A5473C">
      <w:pPr>
        <w:autoSpaceDE w:val="0"/>
        <w:autoSpaceDN w:val="0"/>
        <w:adjustRightInd w:val="0"/>
        <w:rPr>
          <w:rFonts w:cs="Cambria"/>
        </w:rPr>
      </w:pPr>
    </w:p>
    <w:p w:rsidR="006E23D2" w:rsidRDefault="006E23D2" w:rsidP="00A5473C">
      <w:pPr>
        <w:autoSpaceDE w:val="0"/>
        <w:autoSpaceDN w:val="0"/>
        <w:adjustRightInd w:val="0"/>
        <w:rPr>
          <w:rFonts w:cs="Cambria"/>
        </w:rPr>
      </w:pPr>
      <w:r>
        <w:rPr>
          <w:rFonts w:cs="Cambria"/>
          <w:noProof/>
        </w:rPr>
        <w:drawing>
          <wp:inline distT="0" distB="0" distL="0" distR="0" wp14:anchorId="51FE4361" wp14:editId="27C9051F">
            <wp:extent cx="2865120" cy="1821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120" cy="1821180"/>
                    </a:xfrm>
                    <a:prstGeom prst="rect">
                      <a:avLst/>
                    </a:prstGeom>
                    <a:noFill/>
                  </pic:spPr>
                </pic:pic>
              </a:graphicData>
            </a:graphic>
          </wp:inline>
        </w:drawing>
      </w:r>
    </w:p>
    <w:p w:rsidR="00035330" w:rsidRDefault="00A5473C" w:rsidP="00A5473C">
      <w:pPr>
        <w:autoSpaceDE w:val="0"/>
        <w:autoSpaceDN w:val="0"/>
        <w:adjustRightInd w:val="0"/>
        <w:rPr>
          <w:rFonts w:cs="Cambria"/>
        </w:rPr>
      </w:pPr>
      <w:r w:rsidRPr="00ED33B4">
        <w:rPr>
          <w:rFonts w:cs="Cambria"/>
        </w:rPr>
        <w:lastRenderedPageBreak/>
        <w:t>educated mothers have greater autonomy in making decisions and more power to act for their children’s benefit (</w:t>
      </w:r>
      <w:r w:rsidR="00D10036">
        <w:rPr>
          <w:rFonts w:cs="Cambria"/>
        </w:rPr>
        <w:t>WBG</w:t>
      </w:r>
      <w:r w:rsidRPr="00ED33B4">
        <w:rPr>
          <w:rFonts w:cs="Cambria"/>
        </w:rPr>
        <w:t>, 2014).</w:t>
      </w:r>
      <w:r>
        <w:rPr>
          <w:rFonts w:cs="Cambria"/>
        </w:rPr>
        <w:t xml:space="preserve"> </w:t>
      </w:r>
    </w:p>
    <w:p w:rsidR="00035330" w:rsidRDefault="00035330" w:rsidP="00D10036">
      <w:pPr>
        <w:autoSpaceDE w:val="0"/>
        <w:autoSpaceDN w:val="0"/>
        <w:adjustRightInd w:val="0"/>
        <w:jc w:val="center"/>
        <w:rPr>
          <w:rFonts w:cs="Cambria"/>
        </w:rPr>
      </w:pPr>
    </w:p>
    <w:p w:rsidR="00A5473C" w:rsidRDefault="00A5473C" w:rsidP="00A5473C">
      <w:pPr>
        <w:autoSpaceDE w:val="0"/>
        <w:autoSpaceDN w:val="0"/>
        <w:adjustRightInd w:val="0"/>
        <w:rPr>
          <w:rFonts w:cs="Cambria"/>
        </w:rPr>
      </w:pPr>
      <w:r>
        <w:t>Yet</w:t>
      </w:r>
      <w:r w:rsidR="00FE0451">
        <w:t>, as recent World Bank Group research underscores,</w:t>
      </w:r>
      <w:r>
        <w:t xml:space="preserve"> s</w:t>
      </w:r>
      <w:r w:rsidRPr="00ED33B4">
        <w:rPr>
          <w:rFonts w:cs="Cambria"/>
        </w:rPr>
        <w:t>tructural and systematic disadvantage</w:t>
      </w:r>
      <w:r>
        <w:rPr>
          <w:rFonts w:cs="Cambria"/>
        </w:rPr>
        <w:t xml:space="preserve">s, </w:t>
      </w:r>
      <w:r w:rsidRPr="00ED33B4">
        <w:rPr>
          <w:rFonts w:cs="Cambria"/>
        </w:rPr>
        <w:t>particularly access to education</w:t>
      </w:r>
      <w:r>
        <w:rPr>
          <w:rFonts w:cs="Cambria"/>
        </w:rPr>
        <w:t>, are linked to d</w:t>
      </w:r>
      <w:r w:rsidRPr="00ED33B4">
        <w:rPr>
          <w:rFonts w:cs="Cambria"/>
        </w:rPr>
        <w:t>eprivation of agency and constraints for women and girls</w:t>
      </w:r>
      <w:r w:rsidR="00FE0451">
        <w:rPr>
          <w:rFonts w:cs="Cambria"/>
        </w:rPr>
        <w:t xml:space="preserve"> </w:t>
      </w:r>
      <w:r w:rsidR="00FE0451" w:rsidRPr="00ED33B4">
        <w:rPr>
          <w:rFonts w:cs="Cambria"/>
        </w:rPr>
        <w:t>(</w:t>
      </w:r>
      <w:r w:rsidR="00D10036">
        <w:rPr>
          <w:rFonts w:cs="Cambria"/>
        </w:rPr>
        <w:t>WBG, 2014</w:t>
      </w:r>
      <w:r w:rsidR="00FE0451" w:rsidRPr="00ED33B4">
        <w:rPr>
          <w:rFonts w:cs="Cambria"/>
        </w:rPr>
        <w:t>)</w:t>
      </w:r>
      <w:r>
        <w:rPr>
          <w:rFonts w:cs="Cambria"/>
        </w:rPr>
        <w:t>.</w:t>
      </w:r>
      <w:r w:rsidRPr="00ED33B4">
        <w:rPr>
          <w:rFonts w:cs="Cambria"/>
        </w:rPr>
        <w:t xml:space="preserve"> Three major </w:t>
      </w:r>
      <w:r>
        <w:rPr>
          <w:rFonts w:cs="Cambria"/>
        </w:rPr>
        <w:t>domains</w:t>
      </w:r>
      <w:r w:rsidRPr="00ED33B4">
        <w:rPr>
          <w:rFonts w:cs="Cambria"/>
        </w:rPr>
        <w:t xml:space="preserve"> of agency where this depr</w:t>
      </w:r>
      <w:r>
        <w:rPr>
          <w:rFonts w:cs="Cambria"/>
        </w:rPr>
        <w:t>i</w:t>
      </w:r>
      <w:r w:rsidRPr="00ED33B4">
        <w:rPr>
          <w:rFonts w:cs="Cambria"/>
        </w:rPr>
        <w:t xml:space="preserve">vation </w:t>
      </w:r>
      <w:r>
        <w:rPr>
          <w:rFonts w:cs="Cambria"/>
        </w:rPr>
        <w:t>is connected to a woman’s education level are</w:t>
      </w:r>
      <w:r w:rsidRPr="00ED33B4">
        <w:rPr>
          <w:rFonts w:cs="Cambria"/>
        </w:rPr>
        <w:t xml:space="preserve">: </w:t>
      </w:r>
      <w:r>
        <w:rPr>
          <w:rFonts w:cs="Cambria"/>
        </w:rPr>
        <w:t xml:space="preserve">limited </w:t>
      </w:r>
      <w:r w:rsidRPr="00ED33B4">
        <w:rPr>
          <w:rFonts w:cs="Cambria"/>
        </w:rPr>
        <w:t xml:space="preserve">control over household resources, child marriage, and </w:t>
      </w:r>
      <w:r>
        <w:rPr>
          <w:rFonts w:cs="Cambria"/>
        </w:rPr>
        <w:t>intimate partner violence</w:t>
      </w:r>
      <w:r w:rsidRPr="00ED33B4">
        <w:rPr>
          <w:rFonts w:cs="Cambria"/>
        </w:rPr>
        <w:t xml:space="preserve">. In addition, there is a clear divide among women’s experiences based on the level of education they have attained. About </w:t>
      </w:r>
      <w:r w:rsidR="00BC570D">
        <w:rPr>
          <w:rFonts w:cs="Cambria"/>
        </w:rPr>
        <w:t>nine in ten</w:t>
      </w:r>
      <w:r w:rsidRPr="00ED33B4">
        <w:rPr>
          <w:rFonts w:cs="Cambria"/>
        </w:rPr>
        <w:t xml:space="preserve"> women with a primary education or less experience at least one of these </w:t>
      </w:r>
      <w:r w:rsidR="00AA4881" w:rsidRPr="00ED33B4">
        <w:rPr>
          <w:rFonts w:cs="Cambria"/>
        </w:rPr>
        <w:t>deprivations</w:t>
      </w:r>
      <w:r w:rsidRPr="00ED33B4">
        <w:rPr>
          <w:rFonts w:cs="Cambria"/>
        </w:rPr>
        <w:t xml:space="preserve"> and almost </w:t>
      </w:r>
      <w:r w:rsidR="00BC570D">
        <w:rPr>
          <w:rFonts w:cs="Cambria"/>
        </w:rPr>
        <w:t>one in five</w:t>
      </w:r>
      <w:r w:rsidRPr="00ED33B4">
        <w:rPr>
          <w:rFonts w:cs="Cambria"/>
        </w:rPr>
        <w:t xml:space="preserve"> experience</w:t>
      </w:r>
      <w:r w:rsidR="0056134E">
        <w:rPr>
          <w:rFonts w:cs="Cambria"/>
        </w:rPr>
        <w:t>s</w:t>
      </w:r>
      <w:r w:rsidRPr="00ED33B4">
        <w:rPr>
          <w:rFonts w:cs="Cambria"/>
        </w:rPr>
        <w:t xml:space="preserve"> all three. This finding contrasts with </w:t>
      </w:r>
      <w:r w:rsidR="0056134E">
        <w:rPr>
          <w:rFonts w:cs="Cambria"/>
        </w:rPr>
        <w:t xml:space="preserve">almost </w:t>
      </w:r>
      <w:r w:rsidR="00BC570D">
        <w:rPr>
          <w:rFonts w:cs="Cambria"/>
        </w:rPr>
        <w:t>seven in ten</w:t>
      </w:r>
      <w:r w:rsidR="0056134E">
        <w:rPr>
          <w:rFonts w:cs="Cambria"/>
        </w:rPr>
        <w:t xml:space="preserve"> and</w:t>
      </w:r>
      <w:r w:rsidRPr="00ED33B4">
        <w:rPr>
          <w:rFonts w:cs="Cambria"/>
        </w:rPr>
        <w:t xml:space="preserve"> </w:t>
      </w:r>
      <w:r w:rsidR="00BC570D">
        <w:rPr>
          <w:rFonts w:cs="Cambria"/>
        </w:rPr>
        <w:t>one</w:t>
      </w:r>
      <w:r w:rsidRPr="00ED33B4">
        <w:rPr>
          <w:rFonts w:cs="Cambria"/>
        </w:rPr>
        <w:t xml:space="preserve"> in </w:t>
      </w:r>
      <w:r w:rsidR="00BC570D">
        <w:rPr>
          <w:rFonts w:cs="Cambria"/>
        </w:rPr>
        <w:t>twenty</w:t>
      </w:r>
      <w:r w:rsidRPr="00ED33B4">
        <w:rPr>
          <w:rFonts w:cs="Cambria"/>
        </w:rPr>
        <w:t>, respectively, of women with a secondary education or higher. Almost 1 in 5 rural women with a primary education experience all three deprivations compared with 1 in 100 urban women with a higher education</w:t>
      </w:r>
      <w:r>
        <w:rPr>
          <w:rFonts w:cs="Cambria"/>
        </w:rPr>
        <w:t xml:space="preserve"> </w:t>
      </w:r>
      <w:r w:rsidRPr="00ED33B4">
        <w:rPr>
          <w:rFonts w:cs="Cambria"/>
        </w:rPr>
        <w:t>(</w:t>
      </w:r>
      <w:r w:rsidR="00D10036">
        <w:rPr>
          <w:rFonts w:cs="Cambria"/>
        </w:rPr>
        <w:t>WBG, 2014</w:t>
      </w:r>
      <w:r w:rsidRPr="00ED33B4">
        <w:rPr>
          <w:rFonts w:cs="Cambria"/>
        </w:rPr>
        <w:t>).</w:t>
      </w:r>
    </w:p>
    <w:p w:rsidR="00A5473C" w:rsidRDefault="00A5473C" w:rsidP="00A5473C">
      <w:pPr>
        <w:autoSpaceDE w:val="0"/>
        <w:autoSpaceDN w:val="0"/>
        <w:adjustRightInd w:val="0"/>
        <w:rPr>
          <w:rFonts w:cs="Cambria"/>
        </w:rPr>
      </w:pPr>
    </w:p>
    <w:p w:rsidR="00CB6716" w:rsidRDefault="00A5473C" w:rsidP="00A5473C">
      <w:pPr>
        <w:rPr>
          <w:rFonts w:cs="Cambria"/>
        </w:rPr>
      </w:pPr>
      <w:r>
        <w:rPr>
          <w:rFonts w:cs="Cambria"/>
        </w:rPr>
        <w:t xml:space="preserve">Given the impact education has on health and economic outcomes for girls and women, evaluation of strategies </w:t>
      </w:r>
      <w:r w:rsidR="00DA3DCB">
        <w:rPr>
          <w:rFonts w:cs="Cambria"/>
        </w:rPr>
        <w:t xml:space="preserve">aimed at increasing </w:t>
      </w:r>
      <w:r>
        <w:rPr>
          <w:rFonts w:cs="Cambria"/>
        </w:rPr>
        <w:t>school enrollment, attendance, and retention is critical to promoting evidence-based investments in education.</w:t>
      </w:r>
    </w:p>
    <w:p w:rsidR="00035330" w:rsidRDefault="00035330" w:rsidP="00A5473C">
      <w:pPr>
        <w:rPr>
          <w:rFonts w:cs="Cambria"/>
        </w:rPr>
      </w:pPr>
    </w:p>
    <w:p w:rsidR="00035330" w:rsidRDefault="00035330" w:rsidP="00A5473C">
      <w:pPr>
        <w:rPr>
          <w:rFonts w:cs="Cambria"/>
        </w:rPr>
      </w:pPr>
      <w:r>
        <w:rPr>
          <w:rFonts w:cs="Cambria"/>
          <w:noProof/>
        </w:rPr>
        <w:drawing>
          <wp:inline distT="0" distB="0" distL="0" distR="0" wp14:anchorId="2A70BD0E" wp14:editId="3E528911">
            <wp:extent cx="2971800" cy="19851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ing students.jpg"/>
                    <pic:cNvPicPr/>
                  </pic:nvPicPr>
                  <pic:blipFill>
                    <a:blip r:embed="rId13">
                      <a:extLst>
                        <a:ext uri="{28A0092B-C50C-407E-A947-70E740481C1C}">
                          <a14:useLocalDpi xmlns:a14="http://schemas.microsoft.com/office/drawing/2010/main" val="0"/>
                        </a:ext>
                      </a:extLst>
                    </a:blip>
                    <a:stretch>
                      <a:fillRect/>
                    </a:stretch>
                  </pic:blipFill>
                  <pic:spPr>
                    <a:xfrm>
                      <a:off x="0" y="0"/>
                      <a:ext cx="2977744" cy="1989133"/>
                    </a:xfrm>
                    <a:prstGeom prst="rect">
                      <a:avLst/>
                    </a:prstGeom>
                  </pic:spPr>
                </pic:pic>
              </a:graphicData>
            </a:graphic>
          </wp:inline>
        </w:drawing>
      </w:r>
    </w:p>
    <w:p w:rsidR="00035330" w:rsidRDefault="00035330" w:rsidP="00A5473C"/>
    <w:p w:rsidR="00120057" w:rsidRPr="005A35B0" w:rsidRDefault="00120057" w:rsidP="009A7028">
      <w:pPr>
        <w:pStyle w:val="Heading2"/>
      </w:pPr>
      <w:r w:rsidRPr="005A35B0">
        <w:lastRenderedPageBreak/>
        <w:t xml:space="preserve">Evidence </w:t>
      </w:r>
      <w:r w:rsidR="00980EA8">
        <w:t>from the</w:t>
      </w:r>
      <w:r w:rsidRPr="005A35B0">
        <w:t xml:space="preserve"> W</w:t>
      </w:r>
      <w:r w:rsidR="008E3A9B">
        <w:t>orld Bank</w:t>
      </w:r>
      <w:r w:rsidR="00BA1B5B">
        <w:t xml:space="preserve"> Group</w:t>
      </w:r>
    </w:p>
    <w:p w:rsidR="00A5473C" w:rsidRDefault="00A5473C" w:rsidP="00A5473C">
      <w:pPr>
        <w:textAlignment w:val="baseline"/>
        <w:rPr>
          <w:color w:val="000000" w:themeColor="text1"/>
        </w:rPr>
      </w:pPr>
      <w:r w:rsidRPr="00310F02">
        <w:rPr>
          <w:rFonts w:eastAsia="Times New Roman" w:cs="Times New Roman"/>
        </w:rPr>
        <w:t xml:space="preserve">In recent years, </w:t>
      </w:r>
      <w:r>
        <w:rPr>
          <w:rFonts w:eastAsia="Times New Roman" w:cs="Times New Roman"/>
        </w:rPr>
        <w:t>t</w:t>
      </w:r>
      <w:r w:rsidRPr="00310F02">
        <w:rPr>
          <w:rFonts w:eastAsia="Times New Roman" w:cs="Times New Roman"/>
        </w:rPr>
        <w:t>he</w:t>
      </w:r>
      <w:r w:rsidRPr="00310F02">
        <w:rPr>
          <w:rStyle w:val="apple-converted-space"/>
          <w:spacing w:val="3"/>
          <w:shd w:val="clear" w:color="auto" w:fill="FFFFFF"/>
        </w:rPr>
        <w:t> </w:t>
      </w:r>
      <w:r w:rsidRPr="00310F02">
        <w:rPr>
          <w:spacing w:val="3"/>
          <w:shd w:val="clear" w:color="auto" w:fill="FFFFFF"/>
        </w:rPr>
        <w:t xml:space="preserve">World Bank </w:t>
      </w:r>
      <w:r w:rsidR="00AB1C38">
        <w:rPr>
          <w:spacing w:val="3"/>
          <w:shd w:val="clear" w:color="auto" w:fill="FFFFFF"/>
        </w:rPr>
        <w:t xml:space="preserve">Group </w:t>
      </w:r>
      <w:r w:rsidRPr="00310F02">
        <w:rPr>
          <w:spacing w:val="3"/>
          <w:shd w:val="clear" w:color="auto" w:fill="FFFFFF"/>
        </w:rPr>
        <w:t>has increased investments in gender-informed programs, research</w:t>
      </w:r>
      <w:r w:rsidR="00DA3DCB">
        <w:rPr>
          <w:spacing w:val="3"/>
          <w:shd w:val="clear" w:color="auto" w:fill="FFFFFF"/>
        </w:rPr>
        <w:t>,</w:t>
      </w:r>
      <w:r w:rsidRPr="00310F02">
        <w:rPr>
          <w:spacing w:val="3"/>
          <w:shd w:val="clear" w:color="auto" w:fill="FFFFFF"/>
        </w:rPr>
        <w:t xml:space="preserve"> and impact evaluation. </w:t>
      </w:r>
      <w:r>
        <w:rPr>
          <w:spacing w:val="3"/>
          <w:shd w:val="clear" w:color="auto" w:fill="FFFFFF"/>
        </w:rPr>
        <w:t>Given the large investment and attention to education programing globally, numerous</w:t>
      </w:r>
      <w:r w:rsidRPr="00310F02">
        <w:rPr>
          <w:color w:val="000000" w:themeColor="text1"/>
        </w:rPr>
        <w:t xml:space="preserve"> World Bank IEs measure </w:t>
      </w:r>
      <w:r>
        <w:rPr>
          <w:color w:val="000000" w:themeColor="text1"/>
        </w:rPr>
        <w:t xml:space="preserve">progress in formal education. </w:t>
      </w:r>
      <w:r w:rsidRPr="00310F02">
        <w:rPr>
          <w:spacing w:val="3"/>
          <w:shd w:val="clear" w:color="auto" w:fill="FFFFFF"/>
        </w:rPr>
        <w:t xml:space="preserve">This brief explores the most commonly measured </w:t>
      </w:r>
      <w:r w:rsidR="00BC570D">
        <w:rPr>
          <w:spacing w:val="3"/>
          <w:shd w:val="clear" w:color="auto" w:fill="FFFFFF"/>
        </w:rPr>
        <w:t>education</w:t>
      </w:r>
      <w:r>
        <w:rPr>
          <w:spacing w:val="3"/>
          <w:shd w:val="clear" w:color="auto" w:fill="FFFFFF"/>
        </w:rPr>
        <w:t xml:space="preserve"> </w:t>
      </w:r>
      <w:r w:rsidRPr="00310F02">
        <w:rPr>
          <w:spacing w:val="3"/>
          <w:shd w:val="clear" w:color="auto" w:fill="FFFFFF"/>
        </w:rPr>
        <w:t>outcomes</w:t>
      </w:r>
      <w:r>
        <w:rPr>
          <w:spacing w:val="3"/>
          <w:shd w:val="clear" w:color="auto" w:fill="FFFFFF"/>
        </w:rPr>
        <w:t xml:space="preserve"> across a large number of education initiatives: </w:t>
      </w:r>
      <w:r>
        <w:rPr>
          <w:color w:val="000000" w:themeColor="text1"/>
        </w:rPr>
        <w:t>school enrollment, school attendance, and school retention rates (of</w:t>
      </w:r>
      <w:r w:rsidR="00E63FEB">
        <w:rPr>
          <w:color w:val="000000" w:themeColor="text1"/>
        </w:rPr>
        <w:t>ten measured by drop</w:t>
      </w:r>
      <w:r>
        <w:rPr>
          <w:color w:val="000000" w:themeColor="text1"/>
        </w:rPr>
        <w:t>out rates</w:t>
      </w:r>
      <w:r>
        <w:t xml:space="preserve">). </w:t>
      </w:r>
      <w:r>
        <w:rPr>
          <w:spacing w:val="3"/>
          <w:shd w:val="clear" w:color="auto" w:fill="FFFFFF"/>
        </w:rPr>
        <w:t>E</w:t>
      </w:r>
      <w:r>
        <w:t xml:space="preserve">ight of these programs targeted girls specifically, while the other </w:t>
      </w:r>
      <w:r w:rsidR="00DA3DCB">
        <w:t xml:space="preserve">15 </w:t>
      </w:r>
      <w:r>
        <w:t>were provided for girls and boys</w:t>
      </w:r>
      <w:r>
        <w:rPr>
          <w:spacing w:val="3"/>
          <w:shd w:val="clear" w:color="auto" w:fill="FFFFFF"/>
        </w:rPr>
        <w:t>. Programs that measured impact among girls and boys separately or included different programming components for girls and boys met our criteria for inclusion as gender IEs.</w:t>
      </w:r>
      <w:r w:rsidRPr="00310F02">
        <w:rPr>
          <w:color w:val="000000" w:themeColor="text1"/>
        </w:rPr>
        <w:t xml:space="preserve"> </w:t>
      </w:r>
    </w:p>
    <w:p w:rsidR="00A5473C" w:rsidRPr="00310F02" w:rsidRDefault="00A5473C" w:rsidP="00A5473C">
      <w:pPr>
        <w:textAlignment w:val="baseline"/>
        <w:rPr>
          <w:color w:val="000000" w:themeColor="text1"/>
        </w:rPr>
      </w:pPr>
    </w:p>
    <w:p w:rsidR="001A5FE9" w:rsidRDefault="00A5473C" w:rsidP="00A5473C">
      <w:r w:rsidRPr="00310F02">
        <w:rPr>
          <w:shd w:val="clear" w:color="auto" w:fill="FFFFFF"/>
        </w:rPr>
        <w:t>Based on these outcomes of interest, from the 161 IE</w:t>
      </w:r>
      <w:r w:rsidR="00976579">
        <w:rPr>
          <w:shd w:val="clear" w:color="auto" w:fill="FFFFFF"/>
        </w:rPr>
        <w:t xml:space="preserve"> paper</w:t>
      </w:r>
      <w:r w:rsidRPr="00310F02">
        <w:rPr>
          <w:shd w:val="clear" w:color="auto" w:fill="FFFFFF"/>
        </w:rPr>
        <w:t xml:space="preserve">s within the enGENDER IMPACT </w:t>
      </w:r>
      <w:r w:rsidR="004B31CC">
        <w:rPr>
          <w:shd w:val="clear" w:color="auto" w:fill="FFFFFF"/>
        </w:rPr>
        <w:t xml:space="preserve">(eGI) </w:t>
      </w:r>
      <w:r w:rsidRPr="00310F02">
        <w:rPr>
          <w:shd w:val="clear" w:color="auto" w:fill="FFFFFF"/>
        </w:rPr>
        <w:t>database</w:t>
      </w:r>
      <w:r w:rsidR="00DA3DCB">
        <w:rPr>
          <w:shd w:val="clear" w:color="auto" w:fill="FFFFFF"/>
        </w:rPr>
        <w:t>,</w:t>
      </w:r>
      <w:r w:rsidRPr="00310F02">
        <w:rPr>
          <w:shd w:val="clear" w:color="auto" w:fill="FFFFFF"/>
        </w:rPr>
        <w:t xml:space="preserve"> </w:t>
      </w:r>
      <w:r w:rsidR="007E1786">
        <w:rPr>
          <w:shd w:val="clear" w:color="auto" w:fill="FFFFFF"/>
        </w:rPr>
        <w:t>we</w:t>
      </w:r>
      <w:r w:rsidRPr="00310F02">
        <w:rPr>
          <w:shd w:val="clear" w:color="auto" w:fill="FFFFFF"/>
        </w:rPr>
        <w:t xml:space="preserve"> identif</w:t>
      </w:r>
      <w:r w:rsidR="007E1786">
        <w:rPr>
          <w:shd w:val="clear" w:color="auto" w:fill="FFFFFF"/>
        </w:rPr>
        <w:t>ied</w:t>
      </w:r>
      <w:r w:rsidRPr="00310F02">
        <w:rPr>
          <w:shd w:val="clear" w:color="auto" w:fill="FFFFFF"/>
        </w:rPr>
        <w:t xml:space="preserve"> </w:t>
      </w:r>
      <w:r>
        <w:rPr>
          <w:shd w:val="clear" w:color="auto" w:fill="FFFFFF"/>
        </w:rPr>
        <w:t xml:space="preserve">27 </w:t>
      </w:r>
      <w:r w:rsidRPr="00310F02">
        <w:rPr>
          <w:shd w:val="clear" w:color="auto" w:fill="FFFFFF"/>
        </w:rPr>
        <w:t xml:space="preserve">that </w:t>
      </w:r>
      <w:r>
        <w:t xml:space="preserve">met the inclusion criteria. </w:t>
      </w:r>
      <w:r w:rsidR="00935D24">
        <w:t>These represent research in 16 countries across the six WBG regions—</w:t>
      </w:r>
      <w:r w:rsidR="003429B5">
        <w:t>four</w:t>
      </w:r>
      <w:r w:rsidR="00935D24">
        <w:t xml:space="preserve"> in Latin America and the Caribbean (LAC), </w:t>
      </w:r>
      <w:r w:rsidR="003429B5">
        <w:t>two</w:t>
      </w:r>
      <w:r w:rsidR="00935D24">
        <w:t xml:space="preserve"> in East Asia and the Pacific (EAP), </w:t>
      </w:r>
      <w:r w:rsidR="003429B5">
        <w:t>three</w:t>
      </w:r>
      <w:r w:rsidR="00935D24">
        <w:t xml:space="preserve"> in South Asia (SAR), </w:t>
      </w:r>
      <w:r w:rsidR="003429B5">
        <w:t>five</w:t>
      </w:r>
      <w:r w:rsidR="00935D24">
        <w:t xml:space="preserve"> in Africa (AFR), </w:t>
      </w:r>
      <w:r w:rsidR="003429B5">
        <w:t>one</w:t>
      </w:r>
      <w:r w:rsidR="00935D24">
        <w:t xml:space="preserve"> in Europe and Central Asia (ECA), and </w:t>
      </w:r>
      <w:r w:rsidR="003429B5">
        <w:t>one</w:t>
      </w:r>
      <w:r w:rsidR="00935D24">
        <w:t xml:space="preserve"> in the Middle East/North Africa (MENA)</w:t>
      </w:r>
      <w:r w:rsidR="00D602D1">
        <w:rPr>
          <w:spacing w:val="3"/>
          <w:shd w:val="clear" w:color="auto" w:fill="FFFFFF"/>
        </w:rPr>
        <w:t xml:space="preserve">. </w:t>
      </w:r>
      <w:r w:rsidR="00DA3DCB">
        <w:rPr>
          <w:spacing w:val="3"/>
          <w:shd w:val="clear" w:color="auto" w:fill="FFFFFF"/>
        </w:rPr>
        <w:t>D</w:t>
      </w:r>
      <w:r w:rsidR="00D602D1">
        <w:rPr>
          <w:spacing w:val="3"/>
          <w:shd w:val="clear" w:color="auto" w:fill="FFFFFF"/>
        </w:rPr>
        <w:t>etails of each IE</w:t>
      </w:r>
      <w:r>
        <w:t xml:space="preserve"> </w:t>
      </w:r>
      <w:r w:rsidRPr="00310F02">
        <w:rPr>
          <w:color w:val="000000" w:themeColor="text1"/>
        </w:rPr>
        <w:t xml:space="preserve">are discussed further below (see </w:t>
      </w:r>
      <w:r>
        <w:rPr>
          <w:color w:val="000000" w:themeColor="text1"/>
        </w:rPr>
        <w:t>Table 1 for summary</w:t>
      </w:r>
      <w:r w:rsidRPr="00310F02">
        <w:rPr>
          <w:color w:val="000000" w:themeColor="text1"/>
        </w:rPr>
        <w:t xml:space="preserve">). </w:t>
      </w:r>
      <w:r>
        <w:rPr>
          <w:color w:val="000000" w:themeColor="text1"/>
        </w:rPr>
        <w:t>Five of the identified</w:t>
      </w:r>
      <w:r w:rsidRPr="00310F02">
        <w:t xml:space="preserve"> </w:t>
      </w:r>
      <w:r>
        <w:t>IEs</w:t>
      </w:r>
      <w:r w:rsidRPr="00310F02">
        <w:t xml:space="preserve"> </w:t>
      </w:r>
      <w:r>
        <w:t xml:space="preserve">also </w:t>
      </w:r>
      <w:r w:rsidRPr="00310F02">
        <w:t xml:space="preserve">measured </w:t>
      </w:r>
      <w:r>
        <w:t xml:space="preserve">test scores as a component of the evaluation. Given the </w:t>
      </w:r>
      <w:r w:rsidR="00E02729">
        <w:t xml:space="preserve">mixed </w:t>
      </w:r>
      <w:r>
        <w:t xml:space="preserve">nature of the evidence regarding </w:t>
      </w:r>
      <w:r w:rsidR="00E02729">
        <w:t xml:space="preserve">standardized tests </w:t>
      </w:r>
      <w:r>
        <w:t>as valid measure</w:t>
      </w:r>
      <w:r w:rsidR="00E02729">
        <w:t>s</w:t>
      </w:r>
      <w:r>
        <w:t xml:space="preserve"> of </w:t>
      </w:r>
      <w:r w:rsidR="00E02729">
        <w:t>education quality and student performance (Moon et al., 2003)</w:t>
      </w:r>
      <w:r>
        <w:t xml:space="preserve">, that outcome is not discussed here. Two </w:t>
      </w:r>
      <w:r w:rsidR="007E1070">
        <w:t xml:space="preserve">IEs </w:t>
      </w:r>
      <w:r>
        <w:t xml:space="preserve">identified </w:t>
      </w:r>
      <w:r w:rsidR="007E1070">
        <w:t xml:space="preserve">in this search </w:t>
      </w:r>
      <w:r>
        <w:t xml:space="preserve">measured labor force participation as an outcome. However, as </w:t>
      </w:r>
      <w:r w:rsidR="00786723">
        <w:t>this outcome</w:t>
      </w:r>
      <w:r>
        <w:t xml:space="preserve"> can be influenced by many individual</w:t>
      </w:r>
      <w:r w:rsidR="003429B5">
        <w:t>-</w:t>
      </w:r>
      <w:r>
        <w:t xml:space="preserve"> and community</w:t>
      </w:r>
      <w:r w:rsidR="003429B5">
        <w:t>-</w:t>
      </w:r>
      <w:r>
        <w:t xml:space="preserve"> level factors not directly linked to education attainment</w:t>
      </w:r>
      <w:r w:rsidR="00786723">
        <w:t xml:space="preserve"> or accounted for in the evaluation</w:t>
      </w:r>
      <w:r>
        <w:t xml:space="preserve">, it </w:t>
      </w:r>
      <w:r w:rsidR="00786723">
        <w:t xml:space="preserve">is </w:t>
      </w:r>
      <w:r>
        <w:t xml:space="preserve">not included in this brief. There is growing evidence that education completion is protective against child marriage and early pregnancy, and a few IEs also looked at these outcomes. However, these topics are explored </w:t>
      </w:r>
    </w:p>
    <w:p w:rsidR="00A5473C" w:rsidRDefault="00A5473C" w:rsidP="00A5473C">
      <w:pPr>
        <w:rPr>
          <w:bCs/>
          <w:color w:val="000000" w:themeColor="text1"/>
        </w:rPr>
      </w:pPr>
      <w:r>
        <w:t xml:space="preserve">in a separate brief in this series: </w:t>
      </w:r>
      <w:r w:rsidR="00786723" w:rsidRPr="00581582">
        <w:rPr>
          <w:b/>
          <w:i/>
        </w:rPr>
        <w:t xml:space="preserve">Preventing </w:t>
      </w:r>
      <w:r w:rsidRPr="00581582">
        <w:rPr>
          <w:b/>
          <w:i/>
        </w:rPr>
        <w:t xml:space="preserve">Child Marriage: </w:t>
      </w:r>
      <w:r w:rsidRPr="00581582">
        <w:rPr>
          <w:b/>
          <w:bCs/>
          <w:i/>
          <w:color w:val="000000" w:themeColor="text1"/>
        </w:rPr>
        <w:t>Lessons from World Bank Group Gender Impact Evaluations</w:t>
      </w:r>
      <w:r w:rsidRPr="0056134E">
        <w:rPr>
          <w:b/>
          <w:bCs/>
          <w:color w:val="000000" w:themeColor="text1"/>
        </w:rPr>
        <w:t>.</w:t>
      </w:r>
    </w:p>
    <w:p w:rsidR="00120057" w:rsidRPr="005A35B0" w:rsidRDefault="00A5473C" w:rsidP="00BA1B5B">
      <w:r>
        <w:lastRenderedPageBreak/>
        <w:t>The IEs discussed in this brief include 23 programs using nine different strategies aimed at improving education outcomes. Eighteen of the programs used individual or family-level strategies including cash transfers, school fee reduction, school vouchers, and nutrition and school feeding initiatives. Five of the programs were large</w:t>
      </w:r>
      <w:r w:rsidR="00E237F2">
        <w:t>-</w:t>
      </w:r>
      <w:r>
        <w:t>scale community</w:t>
      </w:r>
      <w:r w:rsidR="00E237F2">
        <w:t>-</w:t>
      </w:r>
      <w:r>
        <w:t xml:space="preserve"> or country-level initiatives, such as public</w:t>
      </w:r>
      <w:r w:rsidR="00E237F2">
        <w:t>-</w:t>
      </w:r>
      <w:r>
        <w:t xml:space="preserve">private partnerships, </w:t>
      </w:r>
      <w:r w:rsidRPr="0056134E">
        <w:t xml:space="preserve">school management </w:t>
      </w:r>
      <w:r w:rsidR="004B31CC" w:rsidRPr="0056134E">
        <w:t>reform</w:t>
      </w:r>
      <w:r w:rsidRPr="0056134E">
        <w:t xml:space="preserve">, </w:t>
      </w:r>
      <w:r w:rsidR="00E237F2" w:rsidRPr="0056134E">
        <w:t xml:space="preserve">or </w:t>
      </w:r>
      <w:r w:rsidRPr="0056134E">
        <w:t xml:space="preserve">infrastructure assessment, and analyzing labor demands </w:t>
      </w:r>
      <w:r w:rsidR="004B31CC" w:rsidRPr="0056134E">
        <w:t>determine</w:t>
      </w:r>
      <w:r w:rsidR="0056134E" w:rsidRPr="0056134E">
        <w:t>d</w:t>
      </w:r>
      <w:r w:rsidR="004B31CC" w:rsidRPr="0056134E">
        <w:t xml:space="preserve"> their</w:t>
      </w:r>
      <w:r w:rsidRPr="0056134E">
        <w:t xml:space="preserve"> impact </w:t>
      </w:r>
      <w:r w:rsidR="003429B5">
        <w:t>on</w:t>
      </w:r>
      <w:r w:rsidR="0056134E" w:rsidRPr="0056134E">
        <w:t xml:space="preserve"> </w:t>
      </w:r>
      <w:r w:rsidRPr="0056134E">
        <w:t xml:space="preserve">school attendance rates. Three additional IEs focused on increasing </w:t>
      </w:r>
      <w:r w:rsidRPr="0056134E">
        <w:rPr>
          <w:color w:val="000000" w:themeColor="text1"/>
        </w:rPr>
        <w:t xml:space="preserve">vocational training </w:t>
      </w:r>
      <w:r w:rsidRPr="0056134E">
        <w:t>and technical</w:t>
      </w:r>
      <w:r>
        <w:t xml:space="preserve"> skills, but those are outside of the scope of this brief, which explores outcomes related to</w:t>
      </w:r>
      <w:r w:rsidR="003429B5">
        <w:t xml:space="preserve"> only</w:t>
      </w:r>
      <w:r>
        <w:t xml:space="preserve"> formal education. </w:t>
      </w:r>
      <w:r w:rsidR="00120057" w:rsidRPr="005A35B0">
        <w:t xml:space="preserve"> </w:t>
      </w:r>
    </w:p>
    <w:p w:rsidR="00120057" w:rsidRPr="005A35B0" w:rsidRDefault="00104CA4" w:rsidP="0027637B">
      <w:pPr>
        <w:pStyle w:val="Heading2"/>
      </w:pPr>
      <w:r w:rsidRPr="005A35B0">
        <w:t>Summar</w:t>
      </w:r>
      <w:r w:rsidR="00BA1B5B">
        <w:t xml:space="preserve">y of </w:t>
      </w:r>
      <w:r w:rsidR="00B67B41">
        <w:t>Education</w:t>
      </w:r>
      <w:r w:rsidR="00BA1B5B">
        <w:t xml:space="preserve"> Outcomes Measured by WBG Gender IEs</w:t>
      </w:r>
    </w:p>
    <w:p w:rsidR="00BA1B5B" w:rsidRDefault="00A5473C" w:rsidP="00320855">
      <w:pPr>
        <w:rPr>
          <w:b/>
        </w:rPr>
      </w:pPr>
      <w:r>
        <w:rPr>
          <w:b/>
        </w:rPr>
        <w:t>School Enrollment</w:t>
      </w:r>
    </w:p>
    <w:p w:rsidR="00A5473C" w:rsidRDefault="00A5473C" w:rsidP="00A5473C">
      <w:r w:rsidRPr="00A26A1E">
        <w:t xml:space="preserve">One of the </w:t>
      </w:r>
      <w:r>
        <w:t xml:space="preserve">most common outcomes for education programs is school enrollment, measured by 17 </w:t>
      </w:r>
      <w:r w:rsidR="004B31CC">
        <w:t>of the eGI evaluations</w:t>
      </w:r>
      <w:r>
        <w:t xml:space="preserve">. Measures of enrollment were drawn from a variety of sources, including </w:t>
      </w:r>
      <w:r w:rsidRPr="00B93E85">
        <w:t>household survey</w:t>
      </w:r>
      <w:r>
        <w:t xml:space="preserve">s and school census data, with school-based surveys often used to corroborate self-reported data from household surveys. </w:t>
      </w:r>
    </w:p>
    <w:p w:rsidR="0027637B" w:rsidRDefault="0027637B" w:rsidP="00A5473C"/>
    <w:p w:rsidR="00A5473C" w:rsidRPr="00A26A1E" w:rsidRDefault="00A5473C" w:rsidP="00A5473C">
      <w:r>
        <w:t>Among the eight IEs of programs targeting girls only, all were cash transfer programs</w:t>
      </w:r>
      <w:r w:rsidRPr="00D646B2">
        <w:t xml:space="preserve"> </w:t>
      </w:r>
      <w:r>
        <w:t>contingent upon school attendance rates of between 80</w:t>
      </w:r>
      <w:r w:rsidR="0056134E">
        <w:t>–</w:t>
      </w:r>
      <w:r>
        <w:t xml:space="preserve">90%.  Programs in Bangladesh (7, 8), Cambodia (13), and Malawi (26, 27) targeted girls in secondary schools while the program in Pakistan (5, 6, 16) </w:t>
      </w:r>
      <w:r w:rsidR="00E237F2">
        <w:t xml:space="preserve">targeted </w:t>
      </w:r>
      <w:r>
        <w:t>primary as well as secondary education.</w:t>
      </w:r>
    </w:p>
    <w:p w:rsidR="00504E0C" w:rsidRDefault="00504E0C" w:rsidP="00BA1B5B">
      <w:pPr>
        <w:rPr>
          <w:b/>
        </w:rPr>
      </w:pPr>
    </w:p>
    <w:p w:rsidR="00BA1B5B" w:rsidRDefault="00A5473C" w:rsidP="00BA1B5B">
      <w:pPr>
        <w:rPr>
          <w:b/>
        </w:rPr>
      </w:pPr>
      <w:r>
        <w:rPr>
          <w:b/>
        </w:rPr>
        <w:t>School Attendance</w:t>
      </w:r>
    </w:p>
    <w:p w:rsidR="00A5473C" w:rsidRDefault="00A5473C" w:rsidP="00A5473C">
      <w:r>
        <w:t>School attendance is perhaps of more impor</w:t>
      </w:r>
      <w:r w:rsidRPr="00FA6EF2">
        <w:t>t</w:t>
      </w:r>
      <w:r>
        <w:t>ance to education outcomes because it reflects the level of exposure to instruction rather than mere enrollment.</w:t>
      </w:r>
      <w:r w:rsidR="00E237F2">
        <w:t xml:space="preserve"> </w:t>
      </w:r>
      <w:r>
        <w:t xml:space="preserve">However, measurement of school attendance </w:t>
      </w:r>
      <w:r w:rsidR="00AA4881">
        <w:t>faces methodological</w:t>
      </w:r>
      <w:r>
        <w:t xml:space="preserve"> limitations</w:t>
      </w:r>
      <w:r w:rsidRPr="005C158E">
        <w:rPr>
          <w:color w:val="000000" w:themeColor="text1"/>
        </w:rPr>
        <w:t xml:space="preserve">. For example, in </w:t>
      </w:r>
      <w:r w:rsidR="0027637B">
        <w:rPr>
          <w:color w:val="000000" w:themeColor="text1"/>
        </w:rPr>
        <w:t>six</w:t>
      </w:r>
      <w:r w:rsidRPr="005C158E">
        <w:rPr>
          <w:color w:val="000000" w:themeColor="text1"/>
        </w:rPr>
        <w:t xml:space="preserve"> of the included IEs</w:t>
      </w:r>
      <w:r w:rsidR="00E35282">
        <w:rPr>
          <w:color w:val="000000" w:themeColor="text1"/>
        </w:rPr>
        <w:t xml:space="preserve"> (</w:t>
      </w:r>
      <w:r w:rsidR="0048253B">
        <w:rPr>
          <w:color w:val="000000" w:themeColor="text1"/>
        </w:rPr>
        <w:t xml:space="preserve">12, 13, 19, 20, </w:t>
      </w:r>
      <w:r w:rsidR="00E35282">
        <w:rPr>
          <w:color w:val="000000" w:themeColor="text1"/>
        </w:rPr>
        <w:t xml:space="preserve">24, </w:t>
      </w:r>
      <w:r w:rsidR="0048253B">
        <w:rPr>
          <w:color w:val="000000" w:themeColor="text1"/>
        </w:rPr>
        <w:t>27)</w:t>
      </w:r>
      <w:r w:rsidRPr="005C158E">
        <w:rPr>
          <w:color w:val="000000" w:themeColor="text1"/>
        </w:rPr>
        <w:t xml:space="preserve">, evaluators performed </w:t>
      </w:r>
      <w:r w:rsidR="001A5FE9">
        <w:rPr>
          <w:color w:val="000000" w:themeColor="text1"/>
        </w:rPr>
        <w:t xml:space="preserve">random </w:t>
      </w:r>
      <w:r w:rsidRPr="005C158E">
        <w:rPr>
          <w:color w:val="000000" w:themeColor="text1"/>
        </w:rPr>
        <w:t xml:space="preserve">on-site checks to determine whether currently enrolled children were in attendance on a given observation </w:t>
      </w:r>
      <w:r w:rsidRPr="005C158E">
        <w:rPr>
          <w:color w:val="000000" w:themeColor="text1"/>
        </w:rPr>
        <w:lastRenderedPageBreak/>
        <w:t xml:space="preserve">day. This </w:t>
      </w:r>
      <w:r>
        <w:t xml:space="preserve">method does not account for students who may have high attendance rates but happen to be out of school on the day of the observation. In addition, self-reported data </w:t>
      </w:r>
      <w:r w:rsidR="00A61472">
        <w:t xml:space="preserve">were </w:t>
      </w:r>
      <w:r>
        <w:t xml:space="preserve">used </w:t>
      </w:r>
      <w:r w:rsidR="00A61472">
        <w:t xml:space="preserve">in some IEs </w:t>
      </w:r>
      <w:r w:rsidR="00437606">
        <w:t>(</w:t>
      </w:r>
      <w:r w:rsidR="000C54DB">
        <w:t xml:space="preserve">1, 4, 17, 19, </w:t>
      </w:r>
      <w:r w:rsidR="00B517DB">
        <w:t xml:space="preserve">22, </w:t>
      </w:r>
      <w:r w:rsidR="00437606">
        <w:t>27</w:t>
      </w:r>
      <w:r w:rsidR="00AA4881">
        <w:t>) to</w:t>
      </w:r>
      <w:r>
        <w:t xml:space="preserve"> </w:t>
      </w:r>
      <w:r w:rsidR="00A61472">
        <w:t xml:space="preserve">assess </w:t>
      </w:r>
      <w:r>
        <w:t xml:space="preserve">attendance, </w:t>
      </w:r>
      <w:r w:rsidR="00A61472">
        <w:t xml:space="preserve">a measure that </w:t>
      </w:r>
      <w:r>
        <w:t>is subject to social desirability bias.</w:t>
      </w:r>
    </w:p>
    <w:p w:rsidR="00EF15C0" w:rsidRDefault="00EF15C0" w:rsidP="00A5473C"/>
    <w:p w:rsidR="00BA1B5B" w:rsidRDefault="00A5473C" w:rsidP="00320855">
      <w:r>
        <w:t>Twelve of the IEs</w:t>
      </w:r>
      <w:r w:rsidR="0048253B">
        <w:t xml:space="preserve"> (1, 4, 12, 13, 17, 19, 20, 22, 24, 25, 26, 27)</w:t>
      </w:r>
      <w:r>
        <w:t xml:space="preserve"> measured attendance, defined as the percentage</w:t>
      </w:r>
      <w:r w:rsidRPr="009D1DC8">
        <w:t xml:space="preserve"> of days the </w:t>
      </w:r>
      <w:r>
        <w:t>student</w:t>
      </w:r>
      <w:r w:rsidRPr="009D1DC8">
        <w:t xml:space="preserve"> was recorded </w:t>
      </w:r>
      <w:r w:rsidR="003429B5">
        <w:t xml:space="preserve">as </w:t>
      </w:r>
      <w:r w:rsidRPr="009D1DC8">
        <w:t xml:space="preserve">present during </w:t>
      </w:r>
      <w:r>
        <w:t>days the school was in session, or if a student</w:t>
      </w:r>
      <w:r w:rsidRPr="009D1DC8">
        <w:t xml:space="preserve"> was present in an eighth-grade class at the time of the visit by enumerators. </w:t>
      </w:r>
      <w:r>
        <w:t xml:space="preserve">Multiple methods were used and cross-referenced, including household surveys, </w:t>
      </w:r>
      <w:r w:rsidRPr="009D1DC8">
        <w:t xml:space="preserve">school </w:t>
      </w:r>
      <w:r>
        <w:t xml:space="preserve">records and </w:t>
      </w:r>
      <w:r w:rsidRPr="009D1DC8">
        <w:t>ledgers</w:t>
      </w:r>
      <w:r>
        <w:t>, and site</w:t>
      </w:r>
      <w:r w:rsidRPr="009D1DC8">
        <w:t xml:space="preserve"> visits to schools</w:t>
      </w:r>
      <w:r>
        <w:t xml:space="preserve">. It is </w:t>
      </w:r>
      <w:r w:rsidR="00E237F2">
        <w:t>un</w:t>
      </w:r>
      <w:r>
        <w:t>clear if the same validation was done for non-attendance.</w:t>
      </w:r>
      <w:r w:rsidRPr="00987359">
        <w:t xml:space="preserve"> </w:t>
      </w:r>
      <w:r>
        <w:t xml:space="preserve">The </w:t>
      </w:r>
      <w:r w:rsidR="00E237F2">
        <w:t xml:space="preserve">single </w:t>
      </w:r>
      <w:r>
        <w:t xml:space="preserve">IE that </w:t>
      </w:r>
      <w:r w:rsidR="00FC0ABD">
        <w:t xml:space="preserve">assessed </w:t>
      </w:r>
      <w:r>
        <w:t>a program for girls and boys was in Kenya</w:t>
      </w:r>
      <w:r w:rsidR="00FC0ABD">
        <w:t xml:space="preserve">, where </w:t>
      </w:r>
      <w:r w:rsidR="00AA32D8">
        <w:t>an</w:t>
      </w:r>
      <w:r w:rsidR="00FC0ABD">
        <w:t xml:space="preserve"> intervention</w:t>
      </w:r>
      <w:r>
        <w:t xml:space="preserve"> </w:t>
      </w:r>
      <w:r w:rsidR="00AA32D8">
        <w:t xml:space="preserve">aiming to promote attendance and retention </w:t>
      </w:r>
      <w:r>
        <w:t xml:space="preserve">provided school uniforms to students free of charge (12). In addition, </w:t>
      </w:r>
      <w:r w:rsidR="00FC0ABD">
        <w:t xml:space="preserve">treatment </w:t>
      </w:r>
      <w:r>
        <w:t>school</w:t>
      </w:r>
      <w:r w:rsidR="00FC0ABD">
        <w:t>s</w:t>
      </w:r>
      <w:r>
        <w:t xml:space="preserve"> received support in a variety of ways: a </w:t>
      </w:r>
      <w:r w:rsidRPr="00CC1B2A">
        <w:t>pair of nurses visited the school several times a year</w:t>
      </w:r>
      <w:r>
        <w:t xml:space="preserve">, </w:t>
      </w:r>
      <w:r w:rsidRPr="00CC1B2A">
        <w:t>agricultural representative</w:t>
      </w:r>
      <w:r>
        <w:t>s</w:t>
      </w:r>
      <w:r w:rsidRPr="00CC1B2A">
        <w:t xml:space="preserve"> organize</w:t>
      </w:r>
      <w:r>
        <w:t>d student clubs to grow crops, and e</w:t>
      </w:r>
      <w:r w:rsidRPr="00CC1B2A">
        <w:t>ach school received a grant for classroom construction.</w:t>
      </w:r>
    </w:p>
    <w:p w:rsidR="002C34B6" w:rsidRDefault="002C34B6" w:rsidP="00320855">
      <w:pPr>
        <w:rPr>
          <w:noProof/>
        </w:rPr>
      </w:pPr>
    </w:p>
    <w:p w:rsidR="002C34B6" w:rsidRDefault="002C34B6" w:rsidP="00320855">
      <w:pPr>
        <w:rPr>
          <w:b/>
        </w:rPr>
      </w:pPr>
      <w:r>
        <w:rPr>
          <w:noProof/>
        </w:rPr>
        <w:drawing>
          <wp:inline distT="0" distB="0" distL="0" distR="0" wp14:anchorId="0A0C48D4" wp14:editId="1452A91C">
            <wp:extent cx="2926080" cy="19431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time.jpg"/>
                    <pic:cNvPicPr/>
                  </pic:nvPicPr>
                  <pic:blipFill>
                    <a:blip r:embed="rId14">
                      <a:extLst>
                        <a:ext uri="{28A0092B-C50C-407E-A947-70E740481C1C}">
                          <a14:useLocalDpi xmlns:a14="http://schemas.microsoft.com/office/drawing/2010/main" val="0"/>
                        </a:ext>
                      </a:extLst>
                    </a:blip>
                    <a:stretch>
                      <a:fillRect/>
                    </a:stretch>
                  </pic:blipFill>
                  <pic:spPr>
                    <a:xfrm>
                      <a:off x="0" y="0"/>
                      <a:ext cx="2926080" cy="1943100"/>
                    </a:xfrm>
                    <a:prstGeom prst="rect">
                      <a:avLst/>
                    </a:prstGeom>
                  </pic:spPr>
                </pic:pic>
              </a:graphicData>
            </a:graphic>
          </wp:inline>
        </w:drawing>
      </w:r>
    </w:p>
    <w:p w:rsidR="002C34B6" w:rsidRDefault="002C34B6" w:rsidP="00320855">
      <w:pPr>
        <w:rPr>
          <w:b/>
        </w:rPr>
      </w:pPr>
    </w:p>
    <w:p w:rsidR="00BA1B5B" w:rsidRPr="00BA1B5B" w:rsidRDefault="00A5473C" w:rsidP="00320855">
      <w:pPr>
        <w:rPr>
          <w:b/>
        </w:rPr>
      </w:pPr>
      <w:r>
        <w:rPr>
          <w:b/>
        </w:rPr>
        <w:t xml:space="preserve">School Retention and </w:t>
      </w:r>
      <w:r w:rsidR="007E1786">
        <w:rPr>
          <w:b/>
        </w:rPr>
        <w:t>D</w:t>
      </w:r>
      <w:r>
        <w:rPr>
          <w:b/>
        </w:rPr>
        <w:t>ropout</w:t>
      </w:r>
    </w:p>
    <w:p w:rsidR="00EF15C0" w:rsidRDefault="00A5473C" w:rsidP="00EF15C0">
      <w:r>
        <w:t xml:space="preserve">School retention is a third common measure of the impact of education programs, and it is frequently measured by its inverse, </w:t>
      </w:r>
      <w:r w:rsidR="00A24B6E">
        <w:t xml:space="preserve">i.e., </w:t>
      </w:r>
      <w:r>
        <w:t xml:space="preserve">the rate of school dropout. In the included IEs, a variety of measures </w:t>
      </w:r>
      <w:r w:rsidR="00E237F2">
        <w:t xml:space="preserve">was </w:t>
      </w:r>
      <w:r>
        <w:t xml:space="preserve">used to assess retention and dropout rates, including household surveys, Multiple Indicator Cluster </w:t>
      </w:r>
      <w:r>
        <w:lastRenderedPageBreak/>
        <w:t>Survey (MICS) data, and teacher reports. For five</w:t>
      </w:r>
      <w:r w:rsidRPr="00CE3993">
        <w:t xml:space="preserve"> of the IEs (5, 21, 23, 26, 27</w:t>
      </w:r>
      <w:r>
        <w:t xml:space="preserve">), household surveys recorded whether children were </w:t>
      </w:r>
      <w:r w:rsidRPr="008726A4">
        <w:t>still enrol</w:t>
      </w:r>
      <w:r>
        <w:t xml:space="preserve">led at the end of the school year after a program was implemented. In one evaluation (5), middle school completion, </w:t>
      </w:r>
      <w:r w:rsidRPr="00B952B4">
        <w:t>middle to high school transition</w:t>
      </w:r>
      <w:r>
        <w:t>, and</w:t>
      </w:r>
      <w:r w:rsidRPr="00B952B4">
        <w:t xml:space="preserve"> high school completion</w:t>
      </w:r>
      <w:r>
        <w:t xml:space="preserve"> were measured using</w:t>
      </w:r>
      <w:r w:rsidRPr="00B952B4">
        <w:t xml:space="preserve"> </w:t>
      </w:r>
      <w:r>
        <w:t>pre</w:t>
      </w:r>
      <w:r w:rsidR="00E237F2">
        <w:t>-</w:t>
      </w:r>
      <w:r>
        <w:t xml:space="preserve"> and post</w:t>
      </w:r>
      <w:r w:rsidR="00E237F2">
        <w:t>-</w:t>
      </w:r>
      <w:r>
        <w:t>intervention</w:t>
      </w:r>
      <w:r w:rsidRPr="00B952B4">
        <w:t xml:space="preserve"> MICS </w:t>
      </w:r>
      <w:r w:rsidR="00AA32D8">
        <w:t>data. Drop</w:t>
      </w:r>
      <w:r>
        <w:t xml:space="preserve">out was also </w:t>
      </w:r>
      <w:r w:rsidRPr="002D6203">
        <w:t xml:space="preserve">measured by </w:t>
      </w:r>
      <w:r w:rsidRPr="00A5473C">
        <w:t>teacher-reported enrollment at the end of the program’s</w:t>
      </w:r>
      <w:r w:rsidR="00212721">
        <w:t xml:space="preserve"> </w:t>
      </w:r>
      <w:r w:rsidR="00696450">
        <w:t>two-</w:t>
      </w:r>
      <w:r w:rsidR="00212721">
        <w:t>year</w:t>
      </w:r>
      <w:r w:rsidRPr="00A5473C">
        <w:t xml:space="preserve"> duration. </w:t>
      </w:r>
    </w:p>
    <w:p w:rsidR="00EF15C0" w:rsidRDefault="00EF15C0" w:rsidP="00EF15C0"/>
    <w:p w:rsidR="00A5473C" w:rsidRPr="00A5473C" w:rsidRDefault="00A5473C" w:rsidP="00EF15C0">
      <w:pPr>
        <w:rPr>
          <w:color w:val="000000" w:themeColor="text1"/>
        </w:rPr>
      </w:pPr>
      <w:r w:rsidRPr="00A5473C">
        <w:rPr>
          <w:color w:val="000000" w:themeColor="text1"/>
        </w:rPr>
        <w:t xml:space="preserve">Eight IEs measured outcomes of retention, (5, 11, 14, 20, 21, 23, 26, 27). Three of these evaluated programs </w:t>
      </w:r>
      <w:r w:rsidR="008A0459" w:rsidRPr="00A5473C">
        <w:rPr>
          <w:color w:val="000000" w:themeColor="text1"/>
        </w:rPr>
        <w:t>target</w:t>
      </w:r>
      <w:r w:rsidR="008A0459">
        <w:rPr>
          <w:color w:val="000000" w:themeColor="text1"/>
        </w:rPr>
        <w:t>ing</w:t>
      </w:r>
      <w:r w:rsidR="008A0459" w:rsidRPr="00A5473C">
        <w:rPr>
          <w:color w:val="000000" w:themeColor="text1"/>
        </w:rPr>
        <w:t xml:space="preserve"> </w:t>
      </w:r>
      <w:r w:rsidRPr="00A5473C">
        <w:rPr>
          <w:color w:val="000000" w:themeColor="text1"/>
        </w:rPr>
        <w:t>girls only, all of which were cash transfer programs (5, 26, 27).</w:t>
      </w:r>
    </w:p>
    <w:p w:rsidR="009C216F" w:rsidRPr="009C216F" w:rsidRDefault="009C216F" w:rsidP="00A5473C">
      <w:pPr>
        <w:pStyle w:val="Heading2"/>
        <w:rPr>
          <w:color w:val="548DD4" w:themeColor="text2" w:themeTint="99"/>
        </w:rPr>
      </w:pPr>
      <w:r>
        <w:t xml:space="preserve">So </w:t>
      </w:r>
      <w:r w:rsidR="00E237F2">
        <w:t>What Works</w:t>
      </w:r>
      <w:r>
        <w:t xml:space="preserve">? Implications for </w:t>
      </w:r>
      <w:r w:rsidR="00E237F2">
        <w:t>Future Programming</w:t>
      </w:r>
    </w:p>
    <w:p w:rsidR="00120057" w:rsidRPr="00035330" w:rsidRDefault="009E4A9A" w:rsidP="00320855">
      <w:pPr>
        <w:rPr>
          <w:color w:val="auto"/>
        </w:rPr>
      </w:pPr>
      <w:r w:rsidRPr="00035330">
        <w:rPr>
          <w:color w:val="auto"/>
        </w:rPr>
        <w:t xml:space="preserve">Multiple approaches and strategies were used </w:t>
      </w:r>
      <w:r w:rsidR="00035330">
        <w:rPr>
          <w:color w:val="auto"/>
        </w:rPr>
        <w:t>across</w:t>
      </w:r>
      <w:r w:rsidRPr="00035330">
        <w:rPr>
          <w:color w:val="auto"/>
        </w:rPr>
        <w:t xml:space="preserve"> the </w:t>
      </w:r>
      <w:r w:rsidR="00035330" w:rsidRPr="00035330">
        <w:rPr>
          <w:color w:val="auto"/>
        </w:rPr>
        <w:t>23</w:t>
      </w:r>
      <w:r w:rsidRPr="00035330">
        <w:rPr>
          <w:color w:val="auto"/>
        </w:rPr>
        <w:t xml:space="preserve"> programs evaluated within the scope of this analysis</w:t>
      </w:r>
      <w:r w:rsidR="00035330" w:rsidRPr="00035330">
        <w:rPr>
          <w:color w:val="auto"/>
        </w:rPr>
        <w:t xml:space="preserve"> to improve </w:t>
      </w:r>
      <w:r w:rsidR="00035330" w:rsidRPr="00035330">
        <w:rPr>
          <w:rFonts w:cs="Cambria"/>
          <w:color w:val="auto"/>
        </w:rPr>
        <w:t>enrollment, attendance, and school completion</w:t>
      </w:r>
      <w:r w:rsidR="00035330" w:rsidRPr="00035330">
        <w:rPr>
          <w:color w:val="auto"/>
        </w:rPr>
        <w:t xml:space="preserve">. </w:t>
      </w:r>
      <w:r w:rsidRPr="00035330">
        <w:rPr>
          <w:color w:val="auto"/>
        </w:rPr>
        <w:t>The</w:t>
      </w:r>
      <w:r w:rsidR="00035330" w:rsidRPr="00035330">
        <w:rPr>
          <w:color w:val="auto"/>
        </w:rPr>
        <w:t xml:space="preserve"> </w:t>
      </w:r>
      <w:r w:rsidRPr="00035330">
        <w:rPr>
          <w:color w:val="auto"/>
        </w:rPr>
        <w:t xml:space="preserve">following highlights programmatic components of interventions </w:t>
      </w:r>
      <w:r w:rsidR="00035330">
        <w:rPr>
          <w:color w:val="auto"/>
        </w:rPr>
        <w:t>and their</w:t>
      </w:r>
      <w:r w:rsidRPr="00035330">
        <w:rPr>
          <w:color w:val="auto"/>
        </w:rPr>
        <w:t xml:space="preserve"> effect on </w:t>
      </w:r>
      <w:r w:rsidR="00035330" w:rsidRPr="00035330">
        <w:rPr>
          <w:color w:val="auto"/>
        </w:rPr>
        <w:t xml:space="preserve">education </w:t>
      </w:r>
      <w:r w:rsidRPr="00035330">
        <w:rPr>
          <w:color w:val="auto"/>
        </w:rPr>
        <w:t>outcomes measured by the</w:t>
      </w:r>
      <w:r w:rsidR="00035330" w:rsidRPr="00035330">
        <w:rPr>
          <w:color w:val="auto"/>
        </w:rPr>
        <w:t xml:space="preserve"> 27</w:t>
      </w:r>
      <w:r w:rsidRPr="00035330">
        <w:rPr>
          <w:color w:val="auto"/>
        </w:rPr>
        <w:t xml:space="preserve"> IEs.</w:t>
      </w:r>
    </w:p>
    <w:p w:rsidR="009E4A9A" w:rsidRDefault="009E4A9A" w:rsidP="00320855"/>
    <w:p w:rsidR="009E4A9A" w:rsidRPr="009E4A9A" w:rsidRDefault="00EF15C0" w:rsidP="009E4A9A">
      <w:pPr>
        <w:rPr>
          <w:b/>
        </w:rPr>
      </w:pPr>
      <w:r>
        <w:rPr>
          <w:b/>
        </w:rPr>
        <w:t xml:space="preserve">School Enrollment </w:t>
      </w:r>
    </w:p>
    <w:p w:rsidR="00EF15C0" w:rsidRDefault="00EF15C0" w:rsidP="00EF15C0">
      <w:r>
        <w:t xml:space="preserve">All 17 of the IEs measuring school enrollment </w:t>
      </w:r>
      <w:r w:rsidR="006416A4">
        <w:t>had</w:t>
      </w:r>
      <w:r>
        <w:t xml:space="preserve"> a stati</w:t>
      </w:r>
      <w:r w:rsidR="00A07247">
        <w:t>stically</w:t>
      </w:r>
      <w:r>
        <w:t xml:space="preserve"> significant positive impact for boys and girls at both the primary and secondary level</w:t>
      </w:r>
      <w:r w:rsidR="00513A33">
        <w:t xml:space="preserve">, with increases ranging from </w:t>
      </w:r>
      <w:r w:rsidR="00AB645F">
        <w:t>2</w:t>
      </w:r>
      <w:r w:rsidR="00513A33">
        <w:t xml:space="preserve">% to 51% across </w:t>
      </w:r>
      <w:r w:rsidR="003429B5">
        <w:t>the studies</w:t>
      </w:r>
      <w:r>
        <w:t>. Five IEs measured primary school attendance only (9, 15, 18, 20, 24)</w:t>
      </w:r>
      <w:r w:rsidR="006416A4">
        <w:t>,</w:t>
      </w:r>
      <w:r>
        <w:t xml:space="preserve"> five measured secondary school attendance only (3, 7, 8, 13, 16)</w:t>
      </w:r>
      <w:r w:rsidR="006416A4">
        <w:t>,</w:t>
      </w:r>
      <w:r>
        <w:t xml:space="preserve"> and seven measured both primary and secondary school attendance (2, 6, 10, 17, 25, 26, 27). Eight of these assessed programs that were for girls only (5, 6, 7, 8, 13, 16, 26, 27), and of the nine remaining IEs, two showed a stronger impact among girls than boys (10, 25). </w:t>
      </w:r>
    </w:p>
    <w:p w:rsidR="00EF15C0" w:rsidRDefault="00EF15C0" w:rsidP="00EF15C0"/>
    <w:p w:rsidR="00EF15C0" w:rsidRDefault="00207AE6" w:rsidP="00EF15C0">
      <w:r>
        <w:t>T</w:t>
      </w:r>
      <w:r w:rsidR="00EF15C0">
        <w:t>wo IEs had greater programmatic impact among girls</w:t>
      </w:r>
      <w:r>
        <w:t>. The first was</w:t>
      </w:r>
      <w:r w:rsidR="00EF15C0">
        <w:t xml:space="preserve"> a public-private partnership program in Pakistan</w:t>
      </w:r>
      <w:r>
        <w:t>,</w:t>
      </w:r>
      <w:r w:rsidR="00EF15C0">
        <w:t xml:space="preserve"> where private entrepreneurs were paid by the government per student enrolled, and </w:t>
      </w:r>
      <w:r w:rsidR="00EF15C0" w:rsidRPr="005727CA">
        <w:t xml:space="preserve">given the </w:t>
      </w:r>
      <w:r w:rsidR="00EF15C0">
        <w:t>task</w:t>
      </w:r>
      <w:r w:rsidR="00EF15C0" w:rsidRPr="005727CA">
        <w:t xml:space="preserve"> of establishing and running primary schools</w:t>
      </w:r>
      <w:r w:rsidR="00EF15C0">
        <w:t xml:space="preserve"> offering free enrollment for</w:t>
      </w:r>
      <w:r w:rsidR="00EF15C0" w:rsidRPr="005727CA">
        <w:t xml:space="preserve"> children </w:t>
      </w:r>
      <w:r w:rsidR="00E237F2">
        <w:t>age</w:t>
      </w:r>
      <w:r w:rsidR="00696450">
        <w:t>s 5 to 9</w:t>
      </w:r>
      <w:r w:rsidR="00E237F2">
        <w:t xml:space="preserve"> </w:t>
      </w:r>
      <w:r w:rsidR="00EF15C0">
        <w:lastRenderedPageBreak/>
        <w:t>(10</w:t>
      </w:r>
      <w:r>
        <w:t xml:space="preserve">). The second was </w:t>
      </w:r>
      <w:r w:rsidR="00EF15C0">
        <w:t xml:space="preserve">a nutritional program in Burkina Faso that provided free lunch to all primary school children and nutritional subsidies to girls who had 90% attendance rates (25). </w:t>
      </w:r>
    </w:p>
    <w:p w:rsidR="00294C96" w:rsidRDefault="00294C96" w:rsidP="0061480E">
      <w:pPr>
        <w:rPr>
          <w:b/>
        </w:rPr>
      </w:pPr>
    </w:p>
    <w:p w:rsidR="009E4A9A" w:rsidRDefault="00EF15C0" w:rsidP="0061480E">
      <w:pPr>
        <w:rPr>
          <w:b/>
        </w:rPr>
      </w:pPr>
      <w:r>
        <w:rPr>
          <w:b/>
        </w:rPr>
        <w:t>School Attendance</w:t>
      </w:r>
    </w:p>
    <w:p w:rsidR="00EF15C0" w:rsidRDefault="00EF15C0" w:rsidP="00EF15C0">
      <w:r w:rsidRPr="00987359">
        <w:t>Eleven of the 1</w:t>
      </w:r>
      <w:r>
        <w:t>2</w:t>
      </w:r>
      <w:r w:rsidRPr="00987359">
        <w:t xml:space="preserve"> IEs that measure</w:t>
      </w:r>
      <w:r w:rsidR="00AA32D8">
        <w:t>d</w:t>
      </w:r>
      <w:r w:rsidRPr="00987359">
        <w:t xml:space="preserve"> attendance were shown to have increased attendance rates</w:t>
      </w:r>
      <w:r>
        <w:t xml:space="preserve"> overall</w:t>
      </w:r>
      <w:r w:rsidRPr="00987359">
        <w:t>.</w:t>
      </w:r>
      <w:r w:rsidRPr="00987359">
        <w:rPr>
          <w:b/>
        </w:rPr>
        <w:t xml:space="preserve"> </w:t>
      </w:r>
      <w:r w:rsidRPr="00987359">
        <w:t>Three of those IEs were connected to programs for girls only</w:t>
      </w:r>
      <w:r>
        <w:t xml:space="preserve"> (13, 26, 27)</w:t>
      </w:r>
      <w:r w:rsidRPr="00987359">
        <w:t>, and of the eight remaining IEs, only one showed a stronger impact among girls than boys</w:t>
      </w:r>
      <w:r>
        <w:t xml:space="preserve"> (12)</w:t>
      </w:r>
      <w:r w:rsidRPr="00987359">
        <w:t>.</w:t>
      </w:r>
    </w:p>
    <w:p w:rsidR="00EF15C0" w:rsidRDefault="00EF15C0" w:rsidP="00EF15C0"/>
    <w:p w:rsidR="00035330" w:rsidRDefault="00EF15C0" w:rsidP="00EF15C0">
      <w:pPr>
        <w:rPr>
          <w:b/>
          <w:noProof/>
        </w:rPr>
      </w:pPr>
      <w:r>
        <w:t xml:space="preserve">The programs targeting girls </w:t>
      </w:r>
      <w:r w:rsidR="0048443E">
        <w:t xml:space="preserve">and </w:t>
      </w:r>
      <w:r>
        <w:t>that were effective in increasing attendance rates were all cash transfer programs, contingent upon school attendance rates of between 80</w:t>
      </w:r>
      <w:r w:rsidR="00696450">
        <w:t>–</w:t>
      </w:r>
      <w:r>
        <w:t>90%. In one arm</w:t>
      </w:r>
      <w:r w:rsidR="00782D77">
        <w:t xml:space="preserve"> of</w:t>
      </w:r>
      <w:r>
        <w:t xml:space="preserve"> a cash transfer program in Malawi (26), </w:t>
      </w:r>
      <w:r w:rsidR="00AA32D8">
        <w:t>a</w:t>
      </w:r>
      <w:r>
        <w:t xml:space="preserve"> significant increase in school attendance was seen only among girls in the</w:t>
      </w:r>
      <w:r w:rsidRPr="00A73FA6">
        <w:rPr>
          <w:i/>
        </w:rPr>
        <w:t xml:space="preserve"> conditional</w:t>
      </w:r>
      <w:r>
        <w:t xml:space="preserve"> cash transfer </w:t>
      </w:r>
      <w:r w:rsidR="00516C00">
        <w:t xml:space="preserve">(CCT) </w:t>
      </w:r>
      <w:r>
        <w:t xml:space="preserve">arm, </w:t>
      </w:r>
      <w:r w:rsidR="00AA32D8">
        <w:t>but</w:t>
      </w:r>
      <w:r>
        <w:t xml:space="preserve"> not in the </w:t>
      </w:r>
      <w:r w:rsidRPr="00A73FA6">
        <w:rPr>
          <w:i/>
        </w:rPr>
        <w:t>unconditional</w:t>
      </w:r>
      <w:r>
        <w:t xml:space="preserve"> arm, compared </w:t>
      </w:r>
      <w:r w:rsidR="00E237F2">
        <w:t xml:space="preserve">with </w:t>
      </w:r>
      <w:r>
        <w:t>control groups.</w:t>
      </w:r>
      <w:r w:rsidR="00E237F2">
        <w:t xml:space="preserve"> </w:t>
      </w:r>
      <w:r>
        <w:t xml:space="preserve">This indicates that the transfer alone may be </w:t>
      </w:r>
      <w:r w:rsidR="00E237F2">
        <w:t>in</w:t>
      </w:r>
      <w:r>
        <w:t xml:space="preserve">sufficient to help families overcome other social barriers to girls’ </w:t>
      </w:r>
      <w:r w:rsidR="00D30AA1">
        <w:t xml:space="preserve">regular attendance and eventual </w:t>
      </w:r>
      <w:r>
        <w:t>school completion.</w:t>
      </w:r>
      <w:r w:rsidR="00035330" w:rsidRPr="00035330">
        <w:rPr>
          <w:b/>
          <w:noProof/>
        </w:rPr>
        <w:t xml:space="preserve"> </w:t>
      </w:r>
    </w:p>
    <w:p w:rsidR="00035330" w:rsidRDefault="00035330" w:rsidP="00EF15C0">
      <w:pPr>
        <w:rPr>
          <w:b/>
          <w:noProof/>
        </w:rPr>
      </w:pPr>
    </w:p>
    <w:p w:rsidR="00EF15C0" w:rsidRDefault="00035330" w:rsidP="00EF15C0">
      <w:r>
        <w:rPr>
          <w:b/>
          <w:noProof/>
        </w:rPr>
        <w:drawing>
          <wp:inline distT="0" distB="0" distL="0" distR="0" wp14:anchorId="1140C470" wp14:editId="7CBCA4D8">
            <wp:extent cx="2933700" cy="19479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ia photo.jpg"/>
                    <pic:cNvPicPr/>
                  </pic:nvPicPr>
                  <pic:blipFill>
                    <a:blip r:embed="rId15">
                      <a:extLst>
                        <a:ext uri="{28A0092B-C50C-407E-A947-70E740481C1C}">
                          <a14:useLocalDpi xmlns:a14="http://schemas.microsoft.com/office/drawing/2010/main" val="0"/>
                        </a:ext>
                      </a:extLst>
                    </a:blip>
                    <a:stretch>
                      <a:fillRect/>
                    </a:stretch>
                  </pic:blipFill>
                  <pic:spPr>
                    <a:xfrm>
                      <a:off x="0" y="0"/>
                      <a:ext cx="2921965" cy="1940184"/>
                    </a:xfrm>
                    <a:prstGeom prst="rect">
                      <a:avLst/>
                    </a:prstGeom>
                  </pic:spPr>
                </pic:pic>
              </a:graphicData>
            </a:graphic>
          </wp:inline>
        </w:drawing>
      </w:r>
    </w:p>
    <w:p w:rsidR="00EF15C0" w:rsidRDefault="00EF15C0" w:rsidP="00EF15C0"/>
    <w:p w:rsidR="009E4A9A" w:rsidRDefault="00EF15C0" w:rsidP="00EF15C0">
      <w:r>
        <w:t xml:space="preserve">An IE in India assessed a program focused </w:t>
      </w:r>
      <w:r w:rsidR="005C1293">
        <w:t xml:space="preserve">on </w:t>
      </w:r>
      <w:r>
        <w:t>school management</w:t>
      </w:r>
      <w:r w:rsidR="005C1293">
        <w:t xml:space="preserve"> and</w:t>
      </w:r>
      <w:r>
        <w:t xml:space="preserve"> found the increase in school attendance was greater among boys than among girls (4). </w:t>
      </w:r>
      <w:r w:rsidR="005C1293">
        <w:t xml:space="preserve">While the </w:t>
      </w:r>
      <w:r>
        <w:t xml:space="preserve">IE of a nutrition-based program in Burkina Faso (25) found </w:t>
      </w:r>
      <w:r w:rsidR="005C1293">
        <w:t xml:space="preserve">an increase in enrollment (greater among girls), it also found </w:t>
      </w:r>
      <w:r>
        <w:t xml:space="preserve">a decline in school attendance </w:t>
      </w:r>
      <w:r w:rsidR="00AA32D8">
        <w:t xml:space="preserve">for </w:t>
      </w:r>
      <w:r w:rsidR="00782D77">
        <w:t xml:space="preserve">both boys and girls </w:t>
      </w:r>
      <w:r>
        <w:t xml:space="preserve">who received the intervention. These findings </w:t>
      </w:r>
      <w:r>
        <w:lastRenderedPageBreak/>
        <w:t xml:space="preserve">suggest that there are other factors more influential in family decisions to send a child to school beyond simply the cost of education </w:t>
      </w:r>
      <w:r w:rsidR="009D5D35">
        <w:t xml:space="preserve">and </w:t>
      </w:r>
      <w:r>
        <w:t xml:space="preserve">the provision of food. For example, absenteeism increased in households </w:t>
      </w:r>
      <w:r w:rsidR="009D5D35">
        <w:t xml:space="preserve">with fewer children available for </w:t>
      </w:r>
      <w:r>
        <w:t>child labor</w:t>
      </w:r>
      <w:r w:rsidR="009D5D35">
        <w:t>,</w:t>
      </w:r>
      <w:r>
        <w:t xml:space="preserve"> while absenteeism decreased for households </w:t>
      </w:r>
      <w:r w:rsidR="00606BDD">
        <w:t xml:space="preserve">with </w:t>
      </w:r>
      <w:r>
        <w:t xml:space="preserve">a relatively large </w:t>
      </w:r>
      <w:r w:rsidR="009D5D35">
        <w:t xml:space="preserve">number of </w:t>
      </w:r>
      <w:r>
        <w:t>child</w:t>
      </w:r>
      <w:r w:rsidR="009D5D35">
        <w:t xml:space="preserve">ren. These results are consistent </w:t>
      </w:r>
      <w:r>
        <w:t xml:space="preserve">with </w:t>
      </w:r>
      <w:r w:rsidR="009D5D35">
        <w:t xml:space="preserve">documented child </w:t>
      </w:r>
      <w:r>
        <w:t xml:space="preserve">labor </w:t>
      </w:r>
      <w:r w:rsidR="009D5D35">
        <w:t xml:space="preserve">practices </w:t>
      </w:r>
      <w:r>
        <w:t>in Burkina Faso at the time of the intervention.</w:t>
      </w:r>
    </w:p>
    <w:p w:rsidR="00EF15C0" w:rsidRPr="006D32A8" w:rsidRDefault="00EF15C0" w:rsidP="00EF15C0">
      <w:pPr>
        <w:rPr>
          <w:b/>
          <w:color w:val="000000" w:themeColor="text1"/>
        </w:rPr>
      </w:pPr>
    </w:p>
    <w:p w:rsidR="006D32A8" w:rsidRPr="006D32A8" w:rsidRDefault="00EF15C0" w:rsidP="009E4A9A">
      <w:pPr>
        <w:rPr>
          <w:b/>
        </w:rPr>
      </w:pPr>
      <w:r>
        <w:rPr>
          <w:b/>
        </w:rPr>
        <w:t xml:space="preserve">School Retention and </w:t>
      </w:r>
      <w:r w:rsidR="00AB68F2">
        <w:rPr>
          <w:b/>
        </w:rPr>
        <w:t>D</w:t>
      </w:r>
      <w:r>
        <w:rPr>
          <w:b/>
        </w:rPr>
        <w:t>ropout</w:t>
      </w:r>
    </w:p>
    <w:p w:rsidR="00EF15C0" w:rsidRDefault="00EF15C0" w:rsidP="00EF15C0">
      <w:r>
        <w:t>Eight IEs measured outcomes of retention, all of which showed improvement as a result of the program (5, 11, 14, 20, 21, 23, 26, 27).   Three of those programs (5, 26, 27) targeted girls only and were all CCT programs contingent on school attendance rates of between 80</w:t>
      </w:r>
      <w:r w:rsidR="00E63FEB">
        <w:t>–</w:t>
      </w:r>
      <w:r>
        <w:t xml:space="preserve">90%. </w:t>
      </w:r>
    </w:p>
    <w:p w:rsidR="00EF15C0" w:rsidRDefault="00EF15C0" w:rsidP="00EF15C0"/>
    <w:p w:rsidR="00E22B2F" w:rsidRDefault="00EF15C0" w:rsidP="009E4A9A">
      <w:r>
        <w:t>Of the five remaining IEs, one evaluation of a program in Uruguay (21) showed that providing pre-school education had a larger effect on reducing dropout rates and increasing primary and secondary school completion rates for boys than for girls, although the difference was not statistically significant. An evaluation of a program in the Philippines provided a package of macro-level educational investments, including</w:t>
      </w:r>
      <w:r w:rsidRPr="00770EC3">
        <w:t xml:space="preserve"> school </w:t>
      </w:r>
      <w:r>
        <w:t>construction and renovation;</w:t>
      </w:r>
      <w:r w:rsidRPr="00770EC3">
        <w:t xml:space="preserve"> textbooks</w:t>
      </w:r>
      <w:r>
        <w:t>;</w:t>
      </w:r>
      <w:r w:rsidRPr="00770EC3">
        <w:t xml:space="preserve"> teacher training</w:t>
      </w:r>
      <w:r>
        <w:t>;</w:t>
      </w:r>
      <w:r w:rsidRPr="00770EC3">
        <w:t xml:space="preserve"> school-based management</w:t>
      </w:r>
      <w:r w:rsidR="00606BDD">
        <w:t>;</w:t>
      </w:r>
      <w:r>
        <w:t xml:space="preserve"> and</w:t>
      </w:r>
      <w:r w:rsidRPr="00770EC3">
        <w:t xml:space="preserve"> other facility and equipment support</w:t>
      </w:r>
      <w:r w:rsidR="00982D80">
        <w:t>. This strategy</w:t>
      </w:r>
      <w:r>
        <w:t xml:space="preserve"> was shown to improve completion rates overall, </w:t>
      </w:r>
      <w:r w:rsidR="00606BDD">
        <w:t>with a greater</w:t>
      </w:r>
      <w:r>
        <w:t xml:space="preserve"> impact </w:t>
      </w:r>
      <w:r w:rsidR="00696450">
        <w:t>among</w:t>
      </w:r>
      <w:r w:rsidR="00606BDD">
        <w:t xml:space="preserve"> girls </w:t>
      </w:r>
      <w:r>
        <w:t xml:space="preserve">(23). </w:t>
      </w:r>
    </w:p>
    <w:p w:rsidR="00E22B2F" w:rsidRDefault="00E22B2F" w:rsidP="009E4A9A"/>
    <w:p w:rsidR="009E4A9A" w:rsidRPr="00BB6C14" w:rsidRDefault="00AA4881" w:rsidP="009E4A9A">
      <w:pPr>
        <w:rPr>
          <w:b/>
        </w:rPr>
      </w:pPr>
      <w:r>
        <w:t>Conditional cash transfers, school voucher</w:t>
      </w:r>
      <w:r w:rsidR="00606BDD">
        <w:t>s</w:t>
      </w:r>
      <w:r>
        <w:t xml:space="preserve"> that can be used in public or private schools, and </w:t>
      </w:r>
      <w:r w:rsidR="00606BDD">
        <w:t xml:space="preserve">investment </w:t>
      </w:r>
      <w:r>
        <w:t xml:space="preserve">in school infrastructure were all components of programs that were effective in increasing retention rates and decreasing school dropout </w:t>
      </w:r>
      <w:r w:rsidR="00606BDD">
        <w:t xml:space="preserve">rates </w:t>
      </w:r>
      <w:r>
        <w:t>for primary as well as secondary school students.</w:t>
      </w:r>
      <w:r w:rsidRPr="00CD3A25">
        <w:t xml:space="preserve"> </w:t>
      </w:r>
      <w:r w:rsidR="00EF15C0">
        <w:t xml:space="preserve">Results from </w:t>
      </w:r>
      <w:r w:rsidR="00DA09A2">
        <w:t xml:space="preserve">the included </w:t>
      </w:r>
      <w:r w:rsidR="00EF15C0">
        <w:t>IEs suggest that a combination of improving schools’ physical</w:t>
      </w:r>
      <w:r w:rsidR="00782D77">
        <w:t xml:space="preserve"> infrastructure, </w:t>
      </w:r>
      <w:r w:rsidR="00EF15C0">
        <w:t>providing school supplies to students</w:t>
      </w:r>
      <w:r w:rsidR="00D46BD0">
        <w:t>,</w:t>
      </w:r>
      <w:r w:rsidR="00EF15C0">
        <w:t xml:space="preserve"> as well as incentivizing attendance through cash transfer programs is the most effective way to keep stu</w:t>
      </w:r>
      <w:r w:rsidR="00AB68F2">
        <w:t>dents in school and reduce drop</w:t>
      </w:r>
      <w:r w:rsidR="00EF15C0">
        <w:t xml:space="preserve">out. </w:t>
      </w:r>
    </w:p>
    <w:p w:rsidR="009E4A9A" w:rsidRPr="005A35B0" w:rsidRDefault="009E4A9A" w:rsidP="009E4A9A">
      <w:pPr>
        <w:pStyle w:val="Heading2"/>
      </w:pPr>
      <w:r>
        <w:lastRenderedPageBreak/>
        <w:t>Components of Effective Programming</w:t>
      </w:r>
    </w:p>
    <w:p w:rsidR="00EF15C0" w:rsidRDefault="00EF15C0" w:rsidP="00EF15C0">
      <w:r>
        <w:t xml:space="preserve">Impacts of programs </w:t>
      </w:r>
      <w:r w:rsidR="006E5B54">
        <w:t>on</w:t>
      </w:r>
      <w:r>
        <w:t xml:space="preserve"> education vary depending on the outcome measured, as well as who</w:t>
      </w:r>
      <w:r w:rsidR="002B2761">
        <w:t>m</w:t>
      </w:r>
      <w:r>
        <w:t xml:space="preserve"> the </w:t>
      </w:r>
      <w:r w:rsidR="00904D9C">
        <w:t>intervention</w:t>
      </w:r>
      <w:r w:rsidR="002B2761">
        <w:t xml:space="preserve"> targets</w:t>
      </w:r>
      <w:r>
        <w:t xml:space="preserve">. Across the three outcomes included in this analysis, CCT programs targeted at girls only had significant impacts </w:t>
      </w:r>
      <w:r w:rsidR="00904D9C">
        <w:t xml:space="preserve">on </w:t>
      </w:r>
      <w:r>
        <w:t xml:space="preserve">school enrollment, attendance, and retention. Programs that provided unconditional cash transfers, even when paired with the suggestion that the money be used for education, did not have the same effect, indicating </w:t>
      </w:r>
      <w:r w:rsidR="002B2761">
        <w:t xml:space="preserve">that </w:t>
      </w:r>
      <w:r>
        <w:t xml:space="preserve">the </w:t>
      </w:r>
      <w:r w:rsidRPr="00D646B2">
        <w:rPr>
          <w:i/>
        </w:rPr>
        <w:t xml:space="preserve">conditionality </w:t>
      </w:r>
      <w:r>
        <w:t>of a cash transfer is a key part of incentivizing girls’ enrollment and continued participation in school. Transfer payments in CCT programs went to the girl’s parents (5, 6, 13, 16), to the girl directly (7, 8), or were split between the two (26, 27). All of these programs had a positive impact on their intended education outcomes, regardless of the direct recipient of the cash transfer.</w:t>
      </w:r>
    </w:p>
    <w:p w:rsidR="00EF15C0" w:rsidRDefault="00EF15C0" w:rsidP="00EF15C0"/>
    <w:p w:rsidR="00E22B2F" w:rsidRDefault="00E22B2F" w:rsidP="00EF15C0">
      <w:r>
        <w:rPr>
          <w:noProof/>
        </w:rPr>
        <w:drawing>
          <wp:inline distT="0" distB="0" distL="0" distR="0" wp14:anchorId="28F28741" wp14:editId="7B72C4F3">
            <wp:extent cx="2926080" cy="19431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jpg"/>
                    <pic:cNvPicPr/>
                  </pic:nvPicPr>
                  <pic:blipFill>
                    <a:blip r:embed="rId16">
                      <a:extLst>
                        <a:ext uri="{28A0092B-C50C-407E-A947-70E740481C1C}">
                          <a14:useLocalDpi xmlns:a14="http://schemas.microsoft.com/office/drawing/2010/main" val="0"/>
                        </a:ext>
                      </a:extLst>
                    </a:blip>
                    <a:stretch>
                      <a:fillRect/>
                    </a:stretch>
                  </pic:blipFill>
                  <pic:spPr>
                    <a:xfrm>
                      <a:off x="0" y="0"/>
                      <a:ext cx="2926080" cy="1943100"/>
                    </a:xfrm>
                    <a:prstGeom prst="rect">
                      <a:avLst/>
                    </a:prstGeom>
                  </pic:spPr>
                </pic:pic>
              </a:graphicData>
            </a:graphic>
          </wp:inline>
        </w:drawing>
      </w:r>
    </w:p>
    <w:p w:rsidR="00E22B2F" w:rsidRDefault="00E22B2F" w:rsidP="00EF15C0"/>
    <w:p w:rsidR="00EF15C0" w:rsidRDefault="0048443E" w:rsidP="00EF15C0">
      <w:r>
        <w:t xml:space="preserve">For </w:t>
      </w:r>
      <w:r w:rsidR="00EF15C0">
        <w:t xml:space="preserve">programs </w:t>
      </w:r>
      <w:r>
        <w:t xml:space="preserve">in which </w:t>
      </w:r>
      <w:r w:rsidR="00EF15C0">
        <w:t>improved education outcomes were greater for girls than boys, a number of additional programming components were present. Through public-private partnerships, newly established schools provided additional space for girls and boys to attend at no cost, increasing access to education for many families and resulting in higher enrollment. Providing uniforms and supplies in addition to school vouchers or CCTs increase</w:t>
      </w:r>
      <w:r w:rsidR="00AA32D8">
        <w:t>d</w:t>
      </w:r>
      <w:r w:rsidR="002B2761">
        <w:t xml:space="preserve"> </w:t>
      </w:r>
      <w:r w:rsidR="00EF15C0">
        <w:t>attendance and retention, as d</w:t>
      </w:r>
      <w:r w:rsidR="00AA32D8">
        <w:t>id</w:t>
      </w:r>
      <w:r w:rsidR="00EF15C0">
        <w:t xml:space="preserve"> provision of meals and medical care at schoo</w:t>
      </w:r>
      <w:r w:rsidR="00AA32D8">
        <w:t>l. Investing at the macro level</w:t>
      </w:r>
      <w:r w:rsidR="00EF15C0">
        <w:t xml:space="preserve"> </w:t>
      </w:r>
      <w:r w:rsidR="00AA32D8">
        <w:t>(</w:t>
      </w:r>
      <w:r w:rsidR="00EF15C0">
        <w:t xml:space="preserve">training teachers, improving school infrastructure and materials, and increasing accountability of </w:t>
      </w:r>
      <w:r w:rsidR="00EF15C0">
        <w:lastRenderedPageBreak/>
        <w:t>schools to the Ministry of Education</w:t>
      </w:r>
      <w:r w:rsidR="00AA32D8">
        <w:t>)</w:t>
      </w:r>
      <w:r w:rsidR="00EF15C0">
        <w:t xml:space="preserve"> </w:t>
      </w:r>
      <w:r w:rsidR="00904D9C">
        <w:t xml:space="preserve">all improved </w:t>
      </w:r>
      <w:r w:rsidR="00EF15C0">
        <w:t xml:space="preserve">rates of attendance and retention, especially among girls. This suggests that </w:t>
      </w:r>
      <w:r w:rsidR="0024697D">
        <w:t>sustained impact on education</w:t>
      </w:r>
      <w:r w:rsidR="002B2761">
        <w:t>—</w:t>
      </w:r>
      <w:r w:rsidR="0024697D">
        <w:t>from higher rates of enrollment</w:t>
      </w:r>
      <w:r w:rsidR="00EF15C0">
        <w:t xml:space="preserve"> to incr</w:t>
      </w:r>
      <w:r w:rsidR="00E63FEB">
        <w:t>eased attendance and lower drop</w:t>
      </w:r>
      <w:r w:rsidR="00EF15C0">
        <w:t>out rates</w:t>
      </w:r>
      <w:r w:rsidR="002B2761">
        <w:t xml:space="preserve">—requires </w:t>
      </w:r>
      <w:r w:rsidR="00EF15C0">
        <w:t>multi-level</w:t>
      </w:r>
      <w:r w:rsidR="002B2761">
        <w:t xml:space="preserve"> programs</w:t>
      </w:r>
      <w:r w:rsidR="00EF15C0">
        <w:t>.</w:t>
      </w:r>
      <w:r w:rsidR="002B2761">
        <w:t xml:space="preserve"> </w:t>
      </w:r>
      <w:r w:rsidR="00EF15C0">
        <w:t xml:space="preserve">Interventions should invest in school infrastructure and personnel in addition to using CCTs or voucher programs to incentivize individual families or girls to attend through secondary </w:t>
      </w:r>
      <w:r w:rsidR="00904D9C">
        <w:t>school completion</w:t>
      </w:r>
      <w:r w:rsidR="00EF15C0">
        <w:t xml:space="preserve">. </w:t>
      </w:r>
    </w:p>
    <w:p w:rsidR="00E22B2F" w:rsidRDefault="00E22B2F" w:rsidP="00EF15C0"/>
    <w:p w:rsidR="00E22B2F" w:rsidRDefault="00E22B2F" w:rsidP="00EF15C0">
      <w:r>
        <w:rPr>
          <w:noProof/>
        </w:rPr>
        <w:drawing>
          <wp:inline distT="0" distB="0" distL="0" distR="0" wp14:anchorId="7CBEA66E" wp14:editId="56172B60">
            <wp:extent cx="2926080" cy="20269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ing girls.jpg"/>
                    <pic:cNvPicPr/>
                  </pic:nvPicPr>
                  <pic:blipFill>
                    <a:blip r:embed="rId17">
                      <a:extLst>
                        <a:ext uri="{28A0092B-C50C-407E-A947-70E740481C1C}">
                          <a14:useLocalDpi xmlns:a14="http://schemas.microsoft.com/office/drawing/2010/main" val="0"/>
                        </a:ext>
                      </a:extLst>
                    </a:blip>
                    <a:stretch>
                      <a:fillRect/>
                    </a:stretch>
                  </pic:blipFill>
                  <pic:spPr>
                    <a:xfrm>
                      <a:off x="0" y="0"/>
                      <a:ext cx="2926080" cy="2026920"/>
                    </a:xfrm>
                    <a:prstGeom prst="rect">
                      <a:avLst/>
                    </a:prstGeom>
                  </pic:spPr>
                </pic:pic>
              </a:graphicData>
            </a:graphic>
          </wp:inline>
        </w:drawing>
      </w:r>
    </w:p>
    <w:p w:rsidR="00E22B2F" w:rsidRDefault="00E22B2F" w:rsidP="00EF15C0"/>
    <w:p w:rsidR="00D86D8C" w:rsidRDefault="00EF15C0" w:rsidP="00D86D8C">
      <w:r>
        <w:t>One finding in an IE of a CCT program in Bangladesh (8) shows the complexity of measuring the impact of education initiatives in the context of labor supply and demand. The outcome measured was school attendance, specifically in areas where garment factories were present. Introduction of a garment factory in a community resulted in increased</w:t>
      </w:r>
      <w:r w:rsidRPr="007414B3">
        <w:t xml:space="preserve"> schoo</w:t>
      </w:r>
      <w:r>
        <w:t>l enrollment for girl</w:t>
      </w:r>
      <w:r w:rsidR="00E63FEB">
        <w:t xml:space="preserve">s </w:t>
      </w:r>
      <w:r w:rsidR="0048443E">
        <w:t xml:space="preserve">ages </w:t>
      </w:r>
      <w:r w:rsidR="00E63FEB">
        <w:t>5</w:t>
      </w:r>
      <w:r w:rsidR="0048443E">
        <w:t xml:space="preserve"> to </w:t>
      </w:r>
      <w:r>
        <w:t xml:space="preserve">16, while enrollment for girls </w:t>
      </w:r>
      <w:r w:rsidR="00E63FEB">
        <w:t xml:space="preserve">ages </w:t>
      </w:r>
      <w:r w:rsidRPr="007414B3">
        <w:t>17 and 18</w:t>
      </w:r>
      <w:r>
        <w:t xml:space="preserve"> decreased. </w:t>
      </w:r>
      <w:r w:rsidR="0048443E">
        <w:t>This</w:t>
      </w:r>
      <w:r>
        <w:t xml:space="preserve"> may indicate that younger girls </w:t>
      </w:r>
      <w:r w:rsidR="00374AAB">
        <w:t>beg</w:t>
      </w:r>
      <w:r w:rsidR="0048443E">
        <w:t>i</w:t>
      </w:r>
      <w:r w:rsidR="00374AAB">
        <w:t xml:space="preserve">n </w:t>
      </w:r>
      <w:r>
        <w:t xml:space="preserve">enrolling in school to prepare themselves for jobs, while older girls </w:t>
      </w:r>
      <w:r w:rsidR="0048443E">
        <w:t>leave</w:t>
      </w:r>
      <w:r>
        <w:t xml:space="preserve"> school to work in the factories. These findings highlight the need to consider labor supply and demand in the context of analyzing school enrollment and completion.  </w:t>
      </w:r>
    </w:p>
    <w:p w:rsidR="00D46BD0" w:rsidRDefault="00D46BD0" w:rsidP="00F07495">
      <w:pPr>
        <w:pStyle w:val="Heading2"/>
        <w:spacing w:before="0" w:after="0"/>
      </w:pPr>
    </w:p>
    <w:p w:rsidR="00F07495" w:rsidRPr="005A35B0" w:rsidRDefault="00F07495" w:rsidP="00F07495">
      <w:pPr>
        <w:pStyle w:val="Heading2"/>
        <w:spacing w:before="0" w:after="0"/>
      </w:pPr>
      <w:r>
        <w:t>Limitations</w:t>
      </w:r>
    </w:p>
    <w:p w:rsidR="00EF15C0" w:rsidRDefault="00F07495" w:rsidP="00F07495">
      <w:pPr>
        <w:rPr>
          <w:b/>
        </w:rPr>
      </w:pPr>
      <w:r w:rsidRPr="00310F02">
        <w:t xml:space="preserve">While </w:t>
      </w:r>
      <w:r>
        <w:t>these</w:t>
      </w:r>
      <w:r w:rsidRPr="00310F02">
        <w:t xml:space="preserve"> </w:t>
      </w:r>
      <w:r>
        <w:t>findings point to</w:t>
      </w:r>
      <w:r w:rsidRPr="00310F02">
        <w:t xml:space="preserve"> what works to improve </w:t>
      </w:r>
      <w:r>
        <w:t>education</w:t>
      </w:r>
      <w:r w:rsidRPr="00310F02">
        <w:t xml:space="preserve"> outcomes, there are some </w:t>
      </w:r>
      <w:r w:rsidR="00EF15C0" w:rsidRPr="00310F02">
        <w:t xml:space="preserve">limitations to this analysis. </w:t>
      </w:r>
      <w:r w:rsidR="00EF15C0">
        <w:t xml:space="preserve">One limitation within the IEs </w:t>
      </w:r>
      <w:r w:rsidR="00105D9B">
        <w:t xml:space="preserve">is </w:t>
      </w:r>
      <w:r w:rsidR="00EF15C0">
        <w:t xml:space="preserve">the data sources for some of the indicators measured, </w:t>
      </w:r>
      <w:r w:rsidR="00105D9B">
        <w:t>as discussed</w:t>
      </w:r>
      <w:r w:rsidR="00EF15C0">
        <w:t xml:space="preserve"> above. The universe of IEs included in this analysis is </w:t>
      </w:r>
      <w:r w:rsidR="00EF15C0">
        <w:lastRenderedPageBreak/>
        <w:t xml:space="preserve">limited to </w:t>
      </w:r>
      <w:r w:rsidR="0048443E">
        <w:t xml:space="preserve">only </w:t>
      </w:r>
      <w:r w:rsidR="00EF15C0">
        <w:t xml:space="preserve">those carried out or supported by the World Bank Group and subsequently included in the enGENDER IMPACT database. The IEs selected for this database apply a gender lens to either the programming content or the data analysis and evaluation process. We therefore acknowledge that </w:t>
      </w:r>
      <w:r w:rsidR="0048443E">
        <w:t>it</w:t>
      </w:r>
      <w:r w:rsidR="00EF15C0">
        <w:t xml:space="preserve"> is not inclusive of all evaluations conducted on all educational programs and interventions, which </w:t>
      </w:r>
      <w:r w:rsidR="00E9768E">
        <w:t xml:space="preserve">may </w:t>
      </w:r>
      <w:r w:rsidR="00EF15C0">
        <w:t xml:space="preserve">also offer valuable lessons. </w:t>
      </w:r>
    </w:p>
    <w:p w:rsidR="009E4A9A" w:rsidRPr="005A35B0" w:rsidRDefault="009E4A9A" w:rsidP="009E4A9A">
      <w:pPr>
        <w:pStyle w:val="Heading2"/>
      </w:pPr>
      <w:r>
        <w:t>Conclusion</w:t>
      </w:r>
    </w:p>
    <w:p w:rsidR="009E4A9A" w:rsidRDefault="0024697D" w:rsidP="009E4A9A">
      <w:r>
        <w:t>T</w:t>
      </w:r>
      <w:r w:rsidR="00EF15C0" w:rsidRPr="00A47999">
        <w:t xml:space="preserve">o achieve gender equality and other </w:t>
      </w:r>
      <w:r w:rsidR="00155044">
        <w:t xml:space="preserve">key </w:t>
      </w:r>
      <w:r w:rsidR="00EF15C0" w:rsidRPr="00A47999">
        <w:t xml:space="preserve">development objectives, </w:t>
      </w:r>
      <w:r w:rsidR="00EF15C0" w:rsidRPr="00A47999">
        <w:rPr>
          <w:rFonts w:cs="Cambria"/>
        </w:rPr>
        <w:t xml:space="preserve">programs </w:t>
      </w:r>
      <w:r w:rsidR="00EA38AB">
        <w:rPr>
          <w:rFonts w:cs="Cambria"/>
        </w:rPr>
        <w:t xml:space="preserve">must seek to improve access to </w:t>
      </w:r>
      <w:r w:rsidR="00EF15C0" w:rsidRPr="00A47999">
        <w:rPr>
          <w:rFonts w:cs="Cambria"/>
        </w:rPr>
        <w:t xml:space="preserve">and retention in </w:t>
      </w:r>
      <w:r w:rsidR="00EF15C0">
        <w:rPr>
          <w:rFonts w:cs="Cambria"/>
        </w:rPr>
        <w:t xml:space="preserve">both </w:t>
      </w:r>
      <w:r w:rsidR="00EF15C0" w:rsidRPr="00A47999">
        <w:rPr>
          <w:rFonts w:cs="Cambria"/>
        </w:rPr>
        <w:t>primary and secondary education</w:t>
      </w:r>
      <w:r w:rsidR="00105D9B">
        <w:rPr>
          <w:rFonts w:cs="Cambria"/>
        </w:rPr>
        <w:t xml:space="preserve">. </w:t>
      </w:r>
      <w:r w:rsidR="00EA38AB">
        <w:rPr>
          <w:rFonts w:cs="Cambria"/>
        </w:rPr>
        <w:t xml:space="preserve">And they must address persistent issues with the quality of education, including by promoting more gender-responsive schools and curricula. </w:t>
      </w:r>
      <w:r w:rsidR="00105D9B">
        <w:rPr>
          <w:rFonts w:cs="Cambria"/>
        </w:rPr>
        <w:t xml:space="preserve">This is essential </w:t>
      </w:r>
      <w:r w:rsidR="00EF15C0">
        <w:rPr>
          <w:rFonts w:cs="Cambria"/>
        </w:rPr>
        <w:t>for girls</w:t>
      </w:r>
      <w:r w:rsidR="00105D9B">
        <w:rPr>
          <w:rFonts w:cs="Cambria"/>
        </w:rPr>
        <w:t xml:space="preserve">, </w:t>
      </w:r>
      <w:r w:rsidR="00E9768E">
        <w:rPr>
          <w:rFonts w:cs="Cambria"/>
        </w:rPr>
        <w:t>who face</w:t>
      </w:r>
      <w:r w:rsidR="00105D9B">
        <w:rPr>
          <w:rFonts w:cs="Cambria"/>
        </w:rPr>
        <w:t xml:space="preserve"> persistent </w:t>
      </w:r>
      <w:r w:rsidR="00105D9B">
        <w:t xml:space="preserve">gendered </w:t>
      </w:r>
      <w:r w:rsidR="00EF15C0">
        <w:t xml:space="preserve">structural and social barriers that prevent many girls </w:t>
      </w:r>
      <w:r w:rsidR="00105D9B">
        <w:t xml:space="preserve">around the world </w:t>
      </w:r>
      <w:r w:rsidR="00EF15C0">
        <w:t xml:space="preserve">from attending and completing school. In addition, families’ decisions around education are made within the context of financial struggles and labor market factors.  </w:t>
      </w:r>
      <w:r w:rsidR="00EF15C0" w:rsidRPr="00310F02">
        <w:t xml:space="preserve">Based on the results of these </w:t>
      </w:r>
      <w:r w:rsidR="00155044">
        <w:t>eGI evaluations</w:t>
      </w:r>
      <w:r w:rsidR="00EF15C0" w:rsidRPr="00310F02">
        <w:t xml:space="preserve">, </w:t>
      </w:r>
      <w:r w:rsidR="00105D9B">
        <w:t xml:space="preserve">we see that </w:t>
      </w:r>
      <w:r w:rsidR="00EF15C0">
        <w:t>strategies</w:t>
      </w:r>
      <w:r w:rsidR="00EF15C0" w:rsidRPr="00310F02">
        <w:t xml:space="preserve"> </w:t>
      </w:r>
      <w:r w:rsidR="00105D9B" w:rsidRPr="00310F02">
        <w:t>combin</w:t>
      </w:r>
      <w:r w:rsidR="00105D9B">
        <w:t>ing</w:t>
      </w:r>
      <w:r w:rsidR="00105D9B" w:rsidRPr="00310F02">
        <w:t xml:space="preserve"> </w:t>
      </w:r>
      <w:r w:rsidR="00EF15C0">
        <w:t>structural and systematic interventions</w:t>
      </w:r>
      <w:r w:rsidR="00EF15C0" w:rsidRPr="00310F02">
        <w:t xml:space="preserve"> with </w:t>
      </w:r>
      <w:r w:rsidR="00EF15C0">
        <w:t>individual and family</w:t>
      </w:r>
      <w:r w:rsidR="00E9768E">
        <w:t>-</w:t>
      </w:r>
      <w:r w:rsidR="00EF15C0">
        <w:t>level financial incentives</w:t>
      </w:r>
      <w:r w:rsidR="00EF15C0" w:rsidRPr="00310F02">
        <w:t xml:space="preserve"> </w:t>
      </w:r>
      <w:r w:rsidR="00EF15C0">
        <w:t>are</w:t>
      </w:r>
      <w:r w:rsidR="00EF15C0" w:rsidRPr="00310F02">
        <w:t xml:space="preserve"> most effective </w:t>
      </w:r>
      <w:r w:rsidR="00105D9B">
        <w:t>in</w:t>
      </w:r>
      <w:r w:rsidR="00EF15C0" w:rsidRPr="00310F02">
        <w:t xml:space="preserve"> improving </w:t>
      </w:r>
      <w:r w:rsidR="00EF15C0">
        <w:t xml:space="preserve">education </w:t>
      </w:r>
      <w:r w:rsidR="00EF15C0" w:rsidRPr="00310F02">
        <w:t>outcomes</w:t>
      </w:r>
      <w:r w:rsidR="00EF15C0">
        <w:t xml:space="preserve"> and </w:t>
      </w:r>
      <w:r w:rsidR="00105D9B">
        <w:t xml:space="preserve">narrowing the education </w:t>
      </w:r>
      <w:r w:rsidR="00EF15C0">
        <w:t>gap between boys and girls</w:t>
      </w:r>
      <w:r w:rsidR="00EF15C0" w:rsidRPr="00310F02">
        <w:t xml:space="preserve">. </w:t>
      </w:r>
      <w:r w:rsidR="00F92076">
        <w:t xml:space="preserve">These findings also highlight the importance of improving how educational attainment and quality are measured. </w:t>
      </w:r>
      <w:r w:rsidR="00EF15C0">
        <w:t xml:space="preserve">Governments should do </w:t>
      </w:r>
      <w:r w:rsidR="00E9768E">
        <w:t xml:space="preserve">everything they can </w:t>
      </w:r>
      <w:r w:rsidR="00EF15C0">
        <w:t xml:space="preserve">to ease the financial burdens </w:t>
      </w:r>
      <w:r w:rsidR="00E9768E">
        <w:t xml:space="preserve">families face </w:t>
      </w:r>
      <w:r w:rsidR="00EF15C0">
        <w:t>to ensure higher levels of school completion</w:t>
      </w:r>
      <w:r w:rsidR="00105D9B">
        <w:t xml:space="preserve"> among all children</w:t>
      </w:r>
      <w:r w:rsidR="00F92076">
        <w:t xml:space="preserve">. </w:t>
      </w:r>
      <w:r>
        <w:t>P</w:t>
      </w:r>
      <w:r w:rsidR="00105D9B">
        <w:t>articular emphasis should be given to</w:t>
      </w:r>
      <w:r w:rsidR="00696450">
        <w:t xml:space="preserve"> </w:t>
      </w:r>
      <w:r w:rsidR="00105D9B">
        <w:t>eliminating the gender gap,</w:t>
      </w:r>
      <w:r w:rsidR="00EF15C0">
        <w:t xml:space="preserve"> as </w:t>
      </w:r>
      <w:r w:rsidR="00105D9B">
        <w:t xml:space="preserve">girls’ </w:t>
      </w:r>
      <w:r w:rsidR="00EF15C0">
        <w:t>e</w:t>
      </w:r>
      <w:r w:rsidR="00EF15C0">
        <w:rPr>
          <w:iCs/>
        </w:rPr>
        <w:t>ducational achievement leads to improved health and development outcomes in their adult lives and in the lives of future generations</w:t>
      </w:r>
      <w:r w:rsidR="00EF15C0" w:rsidRPr="00A47999">
        <w:t xml:space="preserve">. </w:t>
      </w:r>
      <w:r w:rsidR="00EF15C0">
        <w:t xml:space="preserve">Given the large number of programs and interventions designed to improve education </w:t>
      </w:r>
      <w:r w:rsidR="00EA38AB">
        <w:t>outcomes, m</w:t>
      </w:r>
      <w:r w:rsidR="00EA38AB" w:rsidRPr="00310F02">
        <w:t xml:space="preserve">ore rigorous evaluations are </w:t>
      </w:r>
      <w:r w:rsidR="00EF15C0" w:rsidRPr="00310F02">
        <w:t>needed</w:t>
      </w:r>
      <w:r w:rsidR="00EF15C0">
        <w:t xml:space="preserve"> to determine </w:t>
      </w:r>
      <w:r w:rsidR="00155044">
        <w:t>which</w:t>
      </w:r>
      <w:r w:rsidR="00EF15C0">
        <w:t xml:space="preserve"> components of programs are most effective in increasing</w:t>
      </w:r>
      <w:r w:rsidR="00EF15C0" w:rsidRPr="00310F02">
        <w:t xml:space="preserve"> </w:t>
      </w:r>
      <w:r w:rsidR="00E9768E">
        <w:t>school</w:t>
      </w:r>
      <w:r w:rsidR="00696450">
        <w:t xml:space="preserve"> </w:t>
      </w:r>
      <w:r w:rsidR="00EA38AB">
        <w:t>enrollment, attendance, and retention, particularly among girls.</w:t>
      </w:r>
    </w:p>
    <w:p w:rsidR="001A5FE9" w:rsidRDefault="001A5FE9" w:rsidP="009E4A9A"/>
    <w:p w:rsidR="001A5FE9" w:rsidRPr="00310F02" w:rsidRDefault="001A5FE9" w:rsidP="009E4A9A">
      <w:pPr>
        <w:rPr>
          <w:b/>
          <w:i/>
        </w:rPr>
      </w:pPr>
    </w:p>
    <w:p w:rsidR="00D46BD0" w:rsidRDefault="009E4A9A" w:rsidP="009E4A9A">
      <w:pPr>
        <w:rPr>
          <w:color w:val="000000" w:themeColor="text1"/>
        </w:rPr>
      </w:pPr>
      <w:r>
        <w:rPr>
          <w:color w:val="000000" w:themeColor="text1"/>
        </w:rPr>
        <w:t xml:space="preserve">  </w:t>
      </w:r>
    </w:p>
    <w:p w:rsidR="00507579" w:rsidRDefault="009E4A9A" w:rsidP="009E4A9A">
      <w:pPr>
        <w:sectPr w:rsidR="00507579" w:rsidSect="00862F1C">
          <w:type w:val="continuous"/>
          <w:pgSz w:w="12240" w:h="15840"/>
          <w:pgMar w:top="1440" w:right="1152" w:bottom="1354" w:left="1152" w:header="720" w:footer="720" w:gutter="0"/>
          <w:cols w:num="2" w:space="720"/>
          <w:docGrid w:linePitch="360"/>
        </w:sectPr>
      </w:pPr>
      <w:r>
        <w:rPr>
          <w:color w:val="000000" w:themeColor="text1"/>
        </w:rPr>
        <w:lastRenderedPageBreak/>
        <w:t xml:space="preserve">                      </w:t>
      </w:r>
    </w:p>
    <w:tbl>
      <w:tblPr>
        <w:tblStyle w:val="TableGrid"/>
        <w:tblpPr w:leftFromText="180" w:rightFromText="180" w:vertAnchor="text" w:horzAnchor="margin" w:tblpXSpec="center"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blLook w:val="04A0" w:firstRow="1" w:lastRow="0" w:firstColumn="1" w:lastColumn="0" w:noHBand="0" w:noVBand="1"/>
      </w:tblPr>
      <w:tblGrid>
        <w:gridCol w:w="9576"/>
      </w:tblGrid>
      <w:tr w:rsidR="002C34B6" w:rsidRPr="000B26D8" w:rsidTr="002C34B6">
        <w:trPr>
          <w:trHeight w:val="1439"/>
        </w:trPr>
        <w:tc>
          <w:tcPr>
            <w:tcW w:w="9576" w:type="dxa"/>
            <w:shd w:val="clear" w:color="auto" w:fill="DBE5F1"/>
            <w:tcMar>
              <w:top w:w="144" w:type="dxa"/>
              <w:left w:w="144" w:type="dxa"/>
              <w:bottom w:w="144" w:type="dxa"/>
              <w:right w:w="144" w:type="dxa"/>
            </w:tcMar>
          </w:tcPr>
          <w:p w:rsidR="002C34B6" w:rsidRPr="000B26D8" w:rsidRDefault="002C34B6" w:rsidP="002C34B6">
            <w:pPr>
              <w:pStyle w:val="Heading1"/>
              <w:outlineLvl w:val="0"/>
            </w:pPr>
            <w:r>
              <w:t>e</w:t>
            </w:r>
            <w:r w:rsidRPr="000B26D8">
              <w:t>nGENDER IMPACT</w:t>
            </w:r>
          </w:p>
          <w:p w:rsidR="002C34B6" w:rsidRPr="003D759B" w:rsidRDefault="002C34B6" w:rsidP="00E9768E">
            <w:pPr>
              <w:rPr>
                <w:color w:val="auto"/>
              </w:rPr>
            </w:pPr>
            <w:r w:rsidRPr="003D759B">
              <w:rPr>
                <w:color w:val="auto"/>
              </w:rPr>
              <w:t xml:space="preserve">enGENDER IMPACT is an online gateway for Gender-Related Impact Evaluations. At </w:t>
            </w:r>
            <w:hyperlink r:id="rId18" w:history="1">
              <w:r w:rsidRPr="003D759B">
                <w:rPr>
                  <w:rStyle w:val="Hyperlink"/>
                  <w:color w:val="auto"/>
                </w:rPr>
                <w:t>www.worldbank.org/engenderimpact</w:t>
              </w:r>
            </w:hyperlink>
            <w:r w:rsidRPr="003D759B">
              <w:rPr>
                <w:color w:val="auto"/>
              </w:rPr>
              <w:t xml:space="preserve"> you will find profiles summarizing key inf</w:t>
            </w:r>
            <w:r>
              <w:rPr>
                <w:color w:val="auto"/>
              </w:rPr>
              <w:t>ormation about World Bank Group</w:t>
            </w:r>
            <w:r w:rsidRPr="003D759B">
              <w:rPr>
                <w:color w:val="auto"/>
              </w:rPr>
              <w:t xml:space="preserve"> funded </w:t>
            </w:r>
            <w:r>
              <w:rPr>
                <w:color w:val="auto"/>
              </w:rPr>
              <w:t>g</w:t>
            </w:r>
            <w:r w:rsidRPr="003D759B">
              <w:rPr>
                <w:color w:val="auto"/>
              </w:rPr>
              <w:t>ender-related impact evaluations. These profiles are organized around priority areas for policy action</w:t>
            </w:r>
            <w:r w:rsidR="00E9768E">
              <w:rPr>
                <w:color w:val="auto"/>
              </w:rPr>
              <w:t>,</w:t>
            </w:r>
            <w:r w:rsidRPr="003D759B">
              <w:rPr>
                <w:color w:val="auto"/>
              </w:rPr>
              <w:t xml:space="preserve"> including: reducing health disparities, shrinking education and skills gaps, increasing economic opportunities, boosting voice and agency, and addressing gender</w:t>
            </w:r>
            <w:r w:rsidR="00E9768E">
              <w:rPr>
                <w:color w:val="auto"/>
              </w:rPr>
              <w:t>-</w:t>
            </w:r>
            <w:r w:rsidRPr="003D759B">
              <w:rPr>
                <w:color w:val="auto"/>
              </w:rPr>
              <w:t xml:space="preserve">based violence. enGENDER IMPACT aims to share knowledge from previous evaluations and encourage more and better evaluations in key gender topics. </w:t>
            </w:r>
          </w:p>
        </w:tc>
      </w:tr>
    </w:tbl>
    <w:p w:rsidR="002C34B6" w:rsidRPr="005E0CFF" w:rsidRDefault="002C34B6" w:rsidP="002C34B6">
      <w:pPr>
        <w:pStyle w:val="Heading1"/>
      </w:pPr>
      <w:r>
        <w:t>Included Impact Evaluations:</w:t>
      </w:r>
    </w:p>
    <w:p w:rsidR="0037442F" w:rsidRPr="00694FFE" w:rsidRDefault="0037442F" w:rsidP="00694FFE">
      <w:pPr>
        <w:autoSpaceDE w:val="0"/>
        <w:autoSpaceDN w:val="0"/>
        <w:adjustRightInd w:val="0"/>
        <w:jc w:val="left"/>
        <w:rPr>
          <w:color w:val="000000" w:themeColor="text1"/>
          <w:sz w:val="20"/>
          <w:szCs w:val="20"/>
        </w:rPr>
      </w:pPr>
    </w:p>
    <w:p w:rsidR="00E41D28" w:rsidRDefault="007A6D5A" w:rsidP="00E41D28">
      <w:pPr>
        <w:rPr>
          <w:rFonts w:cs="Cambria"/>
        </w:rPr>
      </w:pPr>
      <w:r w:rsidRPr="008D42A2">
        <w:rPr>
          <w:rFonts w:cs="Cambria"/>
          <w:lang w:val="nb-NO"/>
        </w:rPr>
        <w:t xml:space="preserve">Angrist, J., Bettinger, E., </w:t>
      </w:r>
      <w:r w:rsidR="00E41D28">
        <w:rPr>
          <w:rFonts w:cs="Cambria"/>
        </w:rPr>
        <w:t>and</w:t>
      </w:r>
      <w:r w:rsidRPr="008D42A2">
        <w:rPr>
          <w:rFonts w:cs="Cambria"/>
          <w:lang w:val="nb-NO"/>
        </w:rPr>
        <w:t xml:space="preserve"> Kremer, M. (2006). </w:t>
      </w:r>
      <w:r w:rsidRPr="00924F3B">
        <w:rPr>
          <w:rFonts w:cs="Cambria"/>
        </w:rPr>
        <w:t>Long-Term Educat</w:t>
      </w:r>
      <w:r>
        <w:rPr>
          <w:rFonts w:cs="Cambria"/>
        </w:rPr>
        <w:t xml:space="preserve">ional Consequences of </w:t>
      </w:r>
    </w:p>
    <w:p w:rsidR="00E41D28" w:rsidRPr="00696450" w:rsidRDefault="007A6D5A" w:rsidP="00E41D28">
      <w:pPr>
        <w:ind w:firstLine="720"/>
        <w:rPr>
          <w:rFonts w:cs="Cambria"/>
          <w:i/>
        </w:rPr>
      </w:pPr>
      <w:r>
        <w:rPr>
          <w:rFonts w:cs="Cambria"/>
        </w:rPr>
        <w:t>Secondary</w:t>
      </w:r>
      <w:r w:rsidR="00E41D28">
        <w:rPr>
          <w:rFonts w:cs="Cambria"/>
        </w:rPr>
        <w:t xml:space="preserve"> </w:t>
      </w:r>
      <w:r w:rsidRPr="00924F3B">
        <w:rPr>
          <w:rFonts w:cs="Cambria"/>
        </w:rPr>
        <w:t xml:space="preserve">School Vouchers: Evidence from Administrative Records in Colombia. </w:t>
      </w:r>
      <w:r w:rsidRPr="00696450">
        <w:rPr>
          <w:rFonts w:cs="Cambria"/>
          <w:i/>
        </w:rPr>
        <w:t xml:space="preserve">The </w:t>
      </w:r>
    </w:p>
    <w:p w:rsidR="007A6D5A" w:rsidRPr="00924F3B" w:rsidRDefault="007A6D5A" w:rsidP="00E41D28">
      <w:pPr>
        <w:ind w:firstLine="720"/>
        <w:rPr>
          <w:rFonts w:cs="Cambria"/>
        </w:rPr>
      </w:pPr>
      <w:r w:rsidRPr="00696450">
        <w:rPr>
          <w:rFonts w:cs="Cambria"/>
          <w:i/>
        </w:rPr>
        <w:t>American Economic Review</w:t>
      </w:r>
      <w:r w:rsidRPr="00924F3B">
        <w:rPr>
          <w:rFonts w:cs="Cambria"/>
        </w:rPr>
        <w:t xml:space="preserve">, 96(3), 847-862. </w:t>
      </w:r>
    </w:p>
    <w:p w:rsidR="007A6D5A" w:rsidRPr="00924F3B" w:rsidRDefault="007A6D5A" w:rsidP="007A6D5A">
      <w:pPr>
        <w:tabs>
          <w:tab w:val="left" w:pos="540"/>
          <w:tab w:val="left" w:pos="720"/>
        </w:tabs>
        <w:ind w:left="720" w:hanging="720"/>
        <w:rPr>
          <w:rFonts w:cs="Cambria"/>
        </w:rPr>
      </w:pPr>
      <w:r w:rsidRPr="00917B0E">
        <w:rPr>
          <w:rFonts w:cs="Cambria"/>
        </w:rPr>
        <w:t xml:space="preserve">Baez, J. E., Alam, A., </w:t>
      </w:r>
      <w:r w:rsidR="00E41D28">
        <w:rPr>
          <w:rFonts w:cs="Cambria"/>
        </w:rPr>
        <w:t>and</w:t>
      </w:r>
      <w:r w:rsidRPr="00917B0E">
        <w:rPr>
          <w:rFonts w:cs="Cambria"/>
        </w:rPr>
        <w:t xml:space="preserve"> Del Carpio, X. V. (2011). </w:t>
      </w:r>
      <w:r w:rsidRPr="00924F3B">
        <w:rPr>
          <w:rFonts w:cs="Cambria"/>
        </w:rPr>
        <w:t>Does Cash for School Influence Young Women’s Behavior in the Longer Term? Evidence from Pakistan.</w:t>
      </w:r>
    </w:p>
    <w:p w:rsidR="007A6D5A" w:rsidRDefault="007A6D5A" w:rsidP="007A6D5A">
      <w:pPr>
        <w:rPr>
          <w:rFonts w:cs="Cambria"/>
        </w:rPr>
      </w:pPr>
      <w:r w:rsidRPr="00924F3B">
        <w:rPr>
          <w:rFonts w:cs="Cambria"/>
        </w:rPr>
        <w:t xml:space="preserve">Baird, S., McIntosh, C., </w:t>
      </w:r>
      <w:r w:rsidR="00E41D28">
        <w:rPr>
          <w:rFonts w:cs="Cambria"/>
        </w:rPr>
        <w:t>and</w:t>
      </w:r>
      <w:r w:rsidRPr="00924F3B">
        <w:rPr>
          <w:rFonts w:cs="Cambria"/>
        </w:rPr>
        <w:t xml:space="preserve"> Özler, B. (2011). Cash or condition</w:t>
      </w:r>
      <w:r>
        <w:rPr>
          <w:rFonts w:cs="Cambria"/>
        </w:rPr>
        <w:t>? Evidence from a cash transfer</w:t>
      </w:r>
    </w:p>
    <w:p w:rsidR="007A6D5A" w:rsidRPr="00924F3B" w:rsidRDefault="007A6D5A" w:rsidP="007A6D5A">
      <w:pPr>
        <w:ind w:firstLine="720"/>
        <w:rPr>
          <w:rFonts w:cs="Cambria"/>
        </w:rPr>
      </w:pPr>
      <w:r w:rsidRPr="00924F3B">
        <w:rPr>
          <w:rFonts w:cs="Cambria"/>
        </w:rPr>
        <w:t xml:space="preserve">experiment. </w:t>
      </w:r>
      <w:r w:rsidRPr="00696450">
        <w:rPr>
          <w:rFonts w:cs="Cambria"/>
          <w:i/>
        </w:rPr>
        <w:t>The Quarterly Journal of Economics</w:t>
      </w:r>
      <w:r w:rsidRPr="00924F3B">
        <w:rPr>
          <w:rFonts w:cs="Cambria"/>
        </w:rPr>
        <w:t xml:space="preserve">, 126(4), 1709-1753. </w:t>
      </w:r>
    </w:p>
    <w:p w:rsidR="007A6D5A" w:rsidRDefault="007A6D5A" w:rsidP="007A6D5A">
      <w:pPr>
        <w:rPr>
          <w:rFonts w:cs="Cambria"/>
        </w:rPr>
      </w:pPr>
      <w:r w:rsidRPr="00924F3B">
        <w:rPr>
          <w:rFonts w:cs="Cambria"/>
        </w:rPr>
        <w:t xml:space="preserve">Baird, S., Chirwa, E., McIntosh, C., </w:t>
      </w:r>
      <w:r w:rsidR="00E41D28">
        <w:rPr>
          <w:rFonts w:cs="Cambria"/>
        </w:rPr>
        <w:t>and</w:t>
      </w:r>
      <w:r w:rsidRPr="00924F3B">
        <w:rPr>
          <w:rFonts w:cs="Cambria"/>
        </w:rPr>
        <w:t xml:space="preserve"> Özler, B. (2010). The sh</w:t>
      </w:r>
      <w:r>
        <w:rPr>
          <w:rFonts w:cs="Cambria"/>
        </w:rPr>
        <w:t>ort</w:t>
      </w:r>
      <w:r>
        <w:rPr>
          <w:rFonts w:ascii="Cambria Math" w:hAnsi="Cambria Math" w:cs="Cambria Math"/>
        </w:rPr>
        <w:t>‐</w:t>
      </w:r>
      <w:r>
        <w:rPr>
          <w:rFonts w:cs="Cambria"/>
        </w:rPr>
        <w:t>term impacts of a schooling</w:t>
      </w:r>
    </w:p>
    <w:p w:rsidR="007A6D5A" w:rsidRDefault="007A6D5A" w:rsidP="007A6D5A">
      <w:pPr>
        <w:ind w:left="720"/>
        <w:rPr>
          <w:rFonts w:cs="Cambria"/>
        </w:rPr>
      </w:pPr>
      <w:r w:rsidRPr="00924F3B">
        <w:rPr>
          <w:rFonts w:cs="Cambria"/>
        </w:rPr>
        <w:t xml:space="preserve">conditional cash transfer program on the sexual behavior of young women. </w:t>
      </w:r>
      <w:r w:rsidRPr="00696450">
        <w:rPr>
          <w:rFonts w:cs="Cambria"/>
          <w:i/>
        </w:rPr>
        <w:t>Health economics</w:t>
      </w:r>
      <w:r w:rsidRPr="00924F3B">
        <w:rPr>
          <w:rFonts w:cs="Cambria"/>
        </w:rPr>
        <w:t>, 19(S1), 55-68.</w:t>
      </w:r>
    </w:p>
    <w:p w:rsidR="007A6D5A" w:rsidRDefault="007A6D5A" w:rsidP="007A6D5A">
      <w:pPr>
        <w:rPr>
          <w:rFonts w:cs="Cambria"/>
        </w:rPr>
      </w:pPr>
      <w:r w:rsidRPr="00924F3B">
        <w:rPr>
          <w:rFonts w:cs="Cambria"/>
        </w:rPr>
        <w:t xml:space="preserve">Barrera-Osorio, F., Blakeslee, D. S., Hoover, M., Linden, L. L., </w:t>
      </w:r>
      <w:r w:rsidR="00E41D28">
        <w:rPr>
          <w:rFonts w:cs="Cambria"/>
        </w:rPr>
        <w:t>and</w:t>
      </w:r>
      <w:r w:rsidRPr="00924F3B">
        <w:rPr>
          <w:rFonts w:cs="Cambria"/>
        </w:rPr>
        <w:t xml:space="preserve"> Ra</w:t>
      </w:r>
      <w:r>
        <w:rPr>
          <w:rFonts w:cs="Cambria"/>
        </w:rPr>
        <w:t>ju, D. (2011, April). Expanding</w:t>
      </w:r>
    </w:p>
    <w:p w:rsidR="007A6D5A" w:rsidRPr="00924F3B" w:rsidRDefault="007A6D5A" w:rsidP="007A6D5A">
      <w:pPr>
        <w:ind w:left="720"/>
        <w:rPr>
          <w:rFonts w:cs="Cambria"/>
        </w:rPr>
      </w:pPr>
      <w:r w:rsidRPr="00924F3B">
        <w:rPr>
          <w:rFonts w:cs="Cambria"/>
        </w:rPr>
        <w:t xml:space="preserve">Educational Opportunities in Remote Parts of the World: Evidence from a RCT of a Public Private Partnership in Pakistan. In Third Institute for the Study of Labor (IZA) </w:t>
      </w:r>
      <w:r w:rsidR="00AA4881" w:rsidRPr="00924F3B">
        <w:rPr>
          <w:rFonts w:cs="Cambria"/>
        </w:rPr>
        <w:t>workshop, “Child</w:t>
      </w:r>
      <w:r w:rsidRPr="00924F3B">
        <w:rPr>
          <w:rFonts w:cs="Cambria"/>
        </w:rPr>
        <w:t xml:space="preserve"> Labor in Developing Countries,” Mexico City.</w:t>
      </w:r>
    </w:p>
    <w:p w:rsidR="00E41D28" w:rsidRDefault="007A6D5A" w:rsidP="00E41D28">
      <w:pPr>
        <w:rPr>
          <w:rFonts w:cs="Cambria"/>
        </w:rPr>
      </w:pPr>
      <w:r w:rsidRPr="00917B0E">
        <w:rPr>
          <w:rFonts w:cs="Cambria"/>
          <w:lang w:val="es-MX"/>
        </w:rPr>
        <w:t xml:space="preserve">Barrera-Osorio, F., Linden, L., </w:t>
      </w:r>
      <w:r w:rsidR="00E41D28" w:rsidRPr="00E41D28">
        <w:rPr>
          <w:rFonts w:cs="Cambria"/>
          <w:lang w:val="es-MX"/>
        </w:rPr>
        <w:t>and</w:t>
      </w:r>
      <w:r w:rsidR="00E41D28" w:rsidRPr="00917B0E">
        <w:rPr>
          <w:rFonts w:cs="Cambria"/>
          <w:lang w:val="es-MX"/>
        </w:rPr>
        <w:t xml:space="preserve"> </w:t>
      </w:r>
      <w:r w:rsidRPr="00917B0E">
        <w:rPr>
          <w:rFonts w:cs="Cambria"/>
          <w:lang w:val="es-MX"/>
        </w:rPr>
        <w:t>Urquiola, M. (2007)</w:t>
      </w:r>
      <w:r w:rsidR="00937429" w:rsidRPr="00917B0E">
        <w:rPr>
          <w:rFonts w:cs="Cambria"/>
          <w:lang w:val="es-MX"/>
        </w:rPr>
        <w:t>.</w:t>
      </w:r>
      <w:r w:rsidRPr="00917B0E">
        <w:rPr>
          <w:rFonts w:cs="Cambria"/>
          <w:lang w:val="es-MX"/>
        </w:rPr>
        <w:t xml:space="preserve"> </w:t>
      </w:r>
      <w:r w:rsidRPr="00924F3B">
        <w:rPr>
          <w:rFonts w:cs="Cambria"/>
        </w:rPr>
        <w:t>The Effects of Us</w:t>
      </w:r>
      <w:r>
        <w:rPr>
          <w:rFonts w:cs="Cambria"/>
        </w:rPr>
        <w:t xml:space="preserve">er Fee Reductions on </w:t>
      </w:r>
    </w:p>
    <w:p w:rsidR="007A6D5A" w:rsidRPr="00924F3B" w:rsidRDefault="007A6D5A" w:rsidP="00E41D28">
      <w:pPr>
        <w:ind w:left="720"/>
        <w:jc w:val="left"/>
        <w:rPr>
          <w:rFonts w:cs="Cambria"/>
        </w:rPr>
      </w:pPr>
      <w:r>
        <w:rPr>
          <w:rFonts w:cs="Cambria"/>
        </w:rPr>
        <w:t>Enrollment</w:t>
      </w:r>
      <w:r w:rsidR="00E41D28">
        <w:rPr>
          <w:rFonts w:cs="Cambria"/>
        </w:rPr>
        <w:t xml:space="preserve"> </w:t>
      </w:r>
      <w:r w:rsidRPr="00924F3B">
        <w:rPr>
          <w:rFonts w:cs="Cambria"/>
        </w:rPr>
        <w:t>Evidence from a quasi-experiment</w:t>
      </w:r>
      <w:r>
        <w:rPr>
          <w:rFonts w:cs="Cambria"/>
        </w:rPr>
        <w:t>.</w:t>
      </w:r>
      <w:r w:rsidR="00E41D28">
        <w:rPr>
          <w:rFonts w:cs="Cambria"/>
        </w:rPr>
        <w:t xml:space="preserve"> </w:t>
      </w:r>
      <w:hyperlink r:id="rId19" w:history="1">
        <w:r w:rsidR="00F1334C" w:rsidRPr="00595977">
          <w:rPr>
            <w:rStyle w:val="Hyperlink"/>
            <w:rFonts w:cs="Cambria"/>
          </w:rPr>
          <w:t>http://www.leighlinden.com/Gratuidad%20Draft%202007-01.pdf</w:t>
        </w:r>
      </w:hyperlink>
      <w:r w:rsidR="00AA4881">
        <w:rPr>
          <w:rFonts w:cs="Cambria"/>
        </w:rPr>
        <w:t xml:space="preserve">   </w:t>
      </w:r>
    </w:p>
    <w:p w:rsidR="00937429" w:rsidRDefault="007A6D5A" w:rsidP="00937429">
      <w:pPr>
        <w:tabs>
          <w:tab w:val="left" w:pos="720"/>
        </w:tabs>
        <w:rPr>
          <w:rFonts w:cs="Cambria"/>
        </w:rPr>
      </w:pPr>
      <w:r w:rsidRPr="00E41D28">
        <w:rPr>
          <w:rFonts w:cs="Cambria"/>
        </w:rPr>
        <w:t xml:space="preserve">Benhassine, N., Devoto, Fl, Duflo, E., Dupas, P, </w:t>
      </w:r>
      <w:r w:rsidR="00E41D28">
        <w:rPr>
          <w:rFonts w:cs="Cambria"/>
        </w:rPr>
        <w:t>and</w:t>
      </w:r>
      <w:r w:rsidR="00E41D28" w:rsidRPr="00E41D28">
        <w:rPr>
          <w:rFonts w:cs="Cambria"/>
        </w:rPr>
        <w:t xml:space="preserve"> </w:t>
      </w:r>
      <w:r w:rsidRPr="00E41D28">
        <w:rPr>
          <w:rFonts w:cs="Cambria"/>
        </w:rPr>
        <w:t>Pouliquen, V</w:t>
      </w:r>
      <w:r w:rsidR="00937429" w:rsidRPr="00E41D28">
        <w:rPr>
          <w:rFonts w:cs="Cambria"/>
        </w:rPr>
        <w:t>.</w:t>
      </w:r>
      <w:r w:rsidRPr="00E41D28">
        <w:rPr>
          <w:rFonts w:cs="Cambria"/>
        </w:rPr>
        <w:t xml:space="preserve"> (2013)</w:t>
      </w:r>
      <w:r w:rsidR="00937429" w:rsidRPr="00E41D28">
        <w:rPr>
          <w:rFonts w:cs="Cambria"/>
        </w:rPr>
        <w:t>.</w:t>
      </w:r>
      <w:r w:rsidRPr="00E41D28">
        <w:rPr>
          <w:rFonts w:cs="Cambria"/>
        </w:rPr>
        <w:t xml:space="preserve"> </w:t>
      </w:r>
      <w:r>
        <w:rPr>
          <w:rFonts w:cs="Cambria"/>
        </w:rPr>
        <w:t>"Turning a Shove into a</w:t>
      </w:r>
    </w:p>
    <w:p w:rsidR="007A6D5A" w:rsidRPr="00924F3B" w:rsidRDefault="00937429" w:rsidP="00937429">
      <w:pPr>
        <w:tabs>
          <w:tab w:val="left" w:pos="720"/>
        </w:tabs>
        <w:rPr>
          <w:rFonts w:cs="Cambria"/>
        </w:rPr>
      </w:pPr>
      <w:r>
        <w:rPr>
          <w:rFonts w:cs="Cambria"/>
        </w:rPr>
        <w:tab/>
      </w:r>
      <w:r w:rsidR="007A6D5A">
        <w:rPr>
          <w:rFonts w:cs="Cambria"/>
        </w:rPr>
        <w:t>Nudge?</w:t>
      </w:r>
      <w:r>
        <w:rPr>
          <w:rFonts w:cs="Cambria"/>
        </w:rPr>
        <w:t xml:space="preserve"> </w:t>
      </w:r>
      <w:r w:rsidR="007A6D5A" w:rsidRPr="00924F3B">
        <w:rPr>
          <w:rFonts w:cs="Cambria"/>
        </w:rPr>
        <w:t xml:space="preserve">A </w:t>
      </w:r>
      <w:r w:rsidR="00E9768E">
        <w:rPr>
          <w:rFonts w:cs="Cambria"/>
        </w:rPr>
        <w:t>‘</w:t>
      </w:r>
      <w:r w:rsidR="007A6D5A" w:rsidRPr="00924F3B">
        <w:rPr>
          <w:rFonts w:cs="Cambria"/>
        </w:rPr>
        <w:t>Labeled Cash Transfer</w:t>
      </w:r>
      <w:r w:rsidR="00E9768E">
        <w:rPr>
          <w:rFonts w:cs="Cambria"/>
        </w:rPr>
        <w:t>’</w:t>
      </w:r>
      <w:r w:rsidR="00E9768E" w:rsidRPr="00924F3B">
        <w:rPr>
          <w:rFonts w:cs="Cambria"/>
        </w:rPr>
        <w:t xml:space="preserve"> </w:t>
      </w:r>
      <w:r w:rsidR="007A6D5A" w:rsidRPr="00924F3B">
        <w:rPr>
          <w:rFonts w:cs="Cambria"/>
        </w:rPr>
        <w:t>for Education"</w:t>
      </w:r>
      <w:r w:rsidR="00D218FD">
        <w:rPr>
          <w:rFonts w:cs="Cambria"/>
        </w:rPr>
        <w:t>.</w:t>
      </w:r>
    </w:p>
    <w:p w:rsidR="00E41D28" w:rsidRDefault="007A6D5A" w:rsidP="00E41D28">
      <w:pPr>
        <w:rPr>
          <w:rFonts w:cs="Cambria"/>
        </w:rPr>
      </w:pPr>
      <w:r w:rsidRPr="00E41D28">
        <w:rPr>
          <w:rFonts w:cs="Cambria"/>
        </w:rPr>
        <w:t xml:space="preserve">Berlinski, S., Galiani, S., </w:t>
      </w:r>
      <w:r w:rsidR="00E41D28">
        <w:rPr>
          <w:rFonts w:cs="Cambria"/>
        </w:rPr>
        <w:t>and</w:t>
      </w:r>
      <w:r w:rsidRPr="00E41D28">
        <w:rPr>
          <w:rFonts w:cs="Cambria"/>
        </w:rPr>
        <w:t xml:space="preserve"> Manacorda, M. (2008). </w:t>
      </w:r>
      <w:r w:rsidRPr="00924F3B">
        <w:rPr>
          <w:rFonts w:cs="Cambria"/>
        </w:rPr>
        <w:t>Giving children a better start: Prescho</w:t>
      </w:r>
      <w:r>
        <w:rPr>
          <w:rFonts w:cs="Cambria"/>
        </w:rPr>
        <w:t xml:space="preserve">ol </w:t>
      </w:r>
    </w:p>
    <w:p w:rsidR="007A6D5A" w:rsidRPr="00924F3B" w:rsidRDefault="007A6D5A" w:rsidP="00E41D28">
      <w:pPr>
        <w:ind w:firstLine="720"/>
        <w:rPr>
          <w:rFonts w:cs="Cambria"/>
        </w:rPr>
      </w:pPr>
      <w:r>
        <w:rPr>
          <w:rFonts w:cs="Cambria"/>
        </w:rPr>
        <w:t>attendance</w:t>
      </w:r>
      <w:r w:rsidR="00E41D28">
        <w:rPr>
          <w:rFonts w:cs="Cambria"/>
        </w:rPr>
        <w:t xml:space="preserve"> </w:t>
      </w:r>
      <w:r w:rsidRPr="00924F3B">
        <w:rPr>
          <w:rFonts w:cs="Cambria"/>
        </w:rPr>
        <w:t xml:space="preserve">and school-age profiles. </w:t>
      </w:r>
      <w:r w:rsidRPr="00696450">
        <w:rPr>
          <w:rFonts w:cs="Cambria"/>
          <w:i/>
        </w:rPr>
        <w:t>Journal of Public Economics</w:t>
      </w:r>
      <w:r w:rsidRPr="00924F3B">
        <w:rPr>
          <w:rFonts w:cs="Cambria"/>
        </w:rPr>
        <w:t xml:space="preserve">, 92(5), 1416-1440. </w:t>
      </w:r>
    </w:p>
    <w:p w:rsidR="007A6D5A" w:rsidRDefault="007A6D5A" w:rsidP="007A6D5A">
      <w:pPr>
        <w:rPr>
          <w:rFonts w:cs="Cambria"/>
        </w:rPr>
      </w:pPr>
      <w:r w:rsidRPr="007E1786">
        <w:rPr>
          <w:rFonts w:cs="Cambria"/>
        </w:rPr>
        <w:t xml:space="preserve">Blimpo, M. P., </w:t>
      </w:r>
      <w:r w:rsidR="00E9768E">
        <w:rPr>
          <w:rFonts w:cs="Cambria"/>
        </w:rPr>
        <w:t>and</w:t>
      </w:r>
      <w:r w:rsidR="00E9768E" w:rsidRPr="007E1786">
        <w:rPr>
          <w:rFonts w:cs="Cambria"/>
        </w:rPr>
        <w:t xml:space="preserve"> </w:t>
      </w:r>
      <w:r w:rsidRPr="007E1786">
        <w:rPr>
          <w:rFonts w:cs="Cambria"/>
        </w:rPr>
        <w:t xml:space="preserve">Evans, D. K. (2011). </w:t>
      </w:r>
      <w:r w:rsidRPr="00924F3B">
        <w:rPr>
          <w:rFonts w:cs="Cambria"/>
        </w:rPr>
        <w:t>School-based manag</w:t>
      </w:r>
      <w:r>
        <w:rPr>
          <w:rFonts w:cs="Cambria"/>
        </w:rPr>
        <w:t>ement and educational outcomes:</w:t>
      </w:r>
    </w:p>
    <w:p w:rsidR="007A6D5A" w:rsidRPr="00924F3B" w:rsidRDefault="007A6D5A" w:rsidP="007A6D5A">
      <w:pPr>
        <w:ind w:firstLine="720"/>
        <w:rPr>
          <w:rFonts w:cs="Cambria"/>
        </w:rPr>
      </w:pPr>
      <w:r w:rsidRPr="00924F3B">
        <w:rPr>
          <w:rFonts w:cs="Cambria"/>
        </w:rPr>
        <w:t>Lessons from a randomized field experiment. Unpublished manuscript.</w:t>
      </w:r>
    </w:p>
    <w:p w:rsidR="007A6D5A" w:rsidRDefault="007A6D5A" w:rsidP="007A6D5A">
      <w:pPr>
        <w:rPr>
          <w:rFonts w:cs="Cambria"/>
        </w:rPr>
      </w:pPr>
      <w:r w:rsidRPr="00924F3B">
        <w:rPr>
          <w:rFonts w:cs="Cambria"/>
        </w:rPr>
        <w:t xml:space="preserve">Chaudhury, N., </w:t>
      </w:r>
      <w:r w:rsidR="00E41D28">
        <w:rPr>
          <w:rFonts w:cs="Cambria"/>
        </w:rPr>
        <w:t>and</w:t>
      </w:r>
      <w:r w:rsidRPr="00924F3B">
        <w:rPr>
          <w:rFonts w:cs="Cambria"/>
        </w:rPr>
        <w:t xml:space="preserve"> Parajuli, D. (2010). Conditional cash transfers and </w:t>
      </w:r>
      <w:r>
        <w:rPr>
          <w:rFonts w:cs="Cambria"/>
        </w:rPr>
        <w:t>female schooling: the impact of</w:t>
      </w:r>
    </w:p>
    <w:p w:rsidR="007A6D5A" w:rsidRPr="00924F3B" w:rsidRDefault="007A6D5A" w:rsidP="007A6D5A">
      <w:pPr>
        <w:ind w:left="720"/>
        <w:rPr>
          <w:rFonts w:cs="Cambria"/>
        </w:rPr>
      </w:pPr>
      <w:r w:rsidRPr="00924F3B">
        <w:rPr>
          <w:rFonts w:cs="Cambria"/>
        </w:rPr>
        <w:t xml:space="preserve">the female school stipend programme on public school enrolments in Punjab, Pakistan. </w:t>
      </w:r>
      <w:r w:rsidRPr="00696450">
        <w:rPr>
          <w:rFonts w:cs="Cambria"/>
          <w:i/>
        </w:rPr>
        <w:t>Applied Economics</w:t>
      </w:r>
      <w:r w:rsidRPr="00924F3B">
        <w:rPr>
          <w:rFonts w:cs="Cambria"/>
        </w:rPr>
        <w:t xml:space="preserve">, 42(28), 3565-3583. </w:t>
      </w:r>
    </w:p>
    <w:p w:rsidR="007A6D5A" w:rsidRDefault="007A6D5A" w:rsidP="007A6D5A">
      <w:pPr>
        <w:rPr>
          <w:rFonts w:cs="Cambria"/>
        </w:rPr>
      </w:pPr>
      <w:r w:rsidRPr="00820775">
        <w:rPr>
          <w:rFonts w:cs="Cambria"/>
          <w:lang w:val="nb-NO"/>
        </w:rPr>
        <w:t xml:space="preserve">Duflo, E., Dupas, P., Kremer, M., </w:t>
      </w:r>
      <w:r w:rsidR="00E41D28">
        <w:rPr>
          <w:rFonts w:cs="Cambria"/>
        </w:rPr>
        <w:t>and</w:t>
      </w:r>
      <w:r w:rsidRPr="00820775">
        <w:rPr>
          <w:rFonts w:cs="Cambria"/>
          <w:lang w:val="nb-NO"/>
        </w:rPr>
        <w:t xml:space="preserve"> Sinei, S. (2006). </w:t>
      </w:r>
      <w:r w:rsidRPr="00924F3B">
        <w:rPr>
          <w:rFonts w:cs="Cambria"/>
        </w:rPr>
        <w:t>Education an</w:t>
      </w:r>
      <w:r>
        <w:rPr>
          <w:rFonts w:cs="Cambria"/>
        </w:rPr>
        <w:t>d HIV/AIDS prevention: evidence</w:t>
      </w:r>
    </w:p>
    <w:p w:rsidR="007A6D5A" w:rsidRPr="00924F3B" w:rsidRDefault="007A6D5A" w:rsidP="006E23D2">
      <w:pPr>
        <w:ind w:firstLine="720"/>
        <w:rPr>
          <w:rFonts w:cs="Cambria"/>
        </w:rPr>
      </w:pPr>
      <w:r w:rsidRPr="00924F3B">
        <w:rPr>
          <w:rFonts w:cs="Cambria"/>
        </w:rPr>
        <w:t>from a randomized evaluation in Western Kenya. World Bank</w:t>
      </w:r>
      <w:r w:rsidR="006E23D2">
        <w:rPr>
          <w:rFonts w:cs="Cambria"/>
        </w:rPr>
        <w:t xml:space="preserve"> Policy Research Working Paper</w:t>
      </w:r>
      <w:r w:rsidRPr="00924F3B">
        <w:rPr>
          <w:rFonts w:cs="Cambria"/>
        </w:rPr>
        <w:t xml:space="preserve">. </w:t>
      </w:r>
    </w:p>
    <w:p w:rsidR="00E41D28" w:rsidRDefault="007A6D5A" w:rsidP="00E41D28">
      <w:pPr>
        <w:rPr>
          <w:rFonts w:cs="Cambria"/>
        </w:rPr>
      </w:pPr>
      <w:r w:rsidRPr="008D42A2">
        <w:rPr>
          <w:rFonts w:cs="Cambria"/>
          <w:lang w:val="nb-NO"/>
        </w:rPr>
        <w:t xml:space="preserve">Evans, D., Kremer, M., </w:t>
      </w:r>
      <w:r w:rsidR="00E41D28">
        <w:rPr>
          <w:rFonts w:cs="Cambria"/>
        </w:rPr>
        <w:t>and</w:t>
      </w:r>
      <w:r w:rsidRPr="008D42A2">
        <w:rPr>
          <w:rFonts w:cs="Cambria"/>
          <w:lang w:val="nb-NO"/>
        </w:rPr>
        <w:t xml:space="preserve"> Ngatia, M. (2008). </w:t>
      </w:r>
      <w:r w:rsidRPr="00924F3B">
        <w:rPr>
          <w:rFonts w:cs="Cambria"/>
        </w:rPr>
        <w:t>The Impact of Distributin</w:t>
      </w:r>
      <w:r>
        <w:rPr>
          <w:rFonts w:cs="Cambria"/>
        </w:rPr>
        <w:t xml:space="preserve">g School Uniforms on </w:t>
      </w:r>
    </w:p>
    <w:p w:rsidR="007A6D5A" w:rsidRPr="00924F3B" w:rsidRDefault="007A6D5A" w:rsidP="00E41D28">
      <w:pPr>
        <w:ind w:firstLine="720"/>
        <w:rPr>
          <w:rFonts w:cs="Cambria"/>
        </w:rPr>
      </w:pPr>
      <w:r>
        <w:rPr>
          <w:rFonts w:cs="Cambria"/>
        </w:rPr>
        <w:t>Children’s</w:t>
      </w:r>
      <w:r w:rsidR="00E41D28">
        <w:rPr>
          <w:rFonts w:cs="Cambria"/>
        </w:rPr>
        <w:t xml:space="preserve"> </w:t>
      </w:r>
      <w:r w:rsidRPr="00924F3B">
        <w:rPr>
          <w:rFonts w:cs="Cambria"/>
        </w:rPr>
        <w:t>Education in Kenya.</w:t>
      </w:r>
    </w:p>
    <w:p w:rsidR="007A6D5A" w:rsidRPr="00924F3B" w:rsidRDefault="007A6D5A" w:rsidP="007A6D5A">
      <w:pPr>
        <w:tabs>
          <w:tab w:val="left" w:pos="90"/>
        </w:tabs>
        <w:ind w:left="720" w:hanging="720"/>
        <w:rPr>
          <w:rFonts w:cs="Cambria"/>
        </w:rPr>
      </w:pPr>
      <w:r w:rsidRPr="00924F3B">
        <w:rPr>
          <w:rFonts w:cs="Cambria"/>
        </w:rPr>
        <w:t xml:space="preserve">Ferreira, F. H., Filmer, D., </w:t>
      </w:r>
      <w:r w:rsidR="00E41D28">
        <w:rPr>
          <w:rFonts w:cs="Cambria"/>
        </w:rPr>
        <w:t>and</w:t>
      </w:r>
      <w:r w:rsidRPr="00924F3B">
        <w:rPr>
          <w:rFonts w:cs="Cambria"/>
        </w:rPr>
        <w:t xml:space="preserve"> Schady, N. (2009). Own and Sibling Effects of Conditional Cash Transfer Programs. World Bank Policy Research Working Paper, (5001).</w:t>
      </w:r>
    </w:p>
    <w:p w:rsidR="007A6D5A" w:rsidRDefault="007A6D5A" w:rsidP="007A6D5A">
      <w:pPr>
        <w:rPr>
          <w:rFonts w:cs="Cambria"/>
        </w:rPr>
      </w:pPr>
      <w:r w:rsidRPr="00924F3B">
        <w:rPr>
          <w:rFonts w:cs="Cambria"/>
        </w:rPr>
        <w:t xml:space="preserve">Filmer, D., </w:t>
      </w:r>
      <w:r w:rsidR="00E41D28">
        <w:rPr>
          <w:rFonts w:cs="Cambria"/>
        </w:rPr>
        <w:t>and</w:t>
      </w:r>
      <w:r w:rsidRPr="00924F3B">
        <w:rPr>
          <w:rFonts w:cs="Cambria"/>
        </w:rPr>
        <w:t xml:space="preserve"> Schady, N. (2008). Getting girls into school: evidenc</w:t>
      </w:r>
      <w:r>
        <w:rPr>
          <w:rFonts w:cs="Cambria"/>
        </w:rPr>
        <w:t>e from a scholarship program in</w:t>
      </w:r>
    </w:p>
    <w:p w:rsidR="007A6D5A" w:rsidRDefault="007A6D5A" w:rsidP="00E60A63">
      <w:pPr>
        <w:rPr>
          <w:rFonts w:cs="Cambria"/>
        </w:rPr>
      </w:pPr>
      <w:r>
        <w:rPr>
          <w:rFonts w:cs="Cambria"/>
        </w:rPr>
        <w:t xml:space="preserve"> </w:t>
      </w:r>
      <w:r>
        <w:rPr>
          <w:rFonts w:cs="Cambria"/>
        </w:rPr>
        <w:tab/>
      </w:r>
      <w:r w:rsidRPr="00924F3B">
        <w:rPr>
          <w:rFonts w:cs="Cambria"/>
        </w:rPr>
        <w:t xml:space="preserve">Cambodia. </w:t>
      </w:r>
      <w:r w:rsidRPr="00696450">
        <w:rPr>
          <w:rFonts w:cs="Cambria"/>
          <w:i/>
        </w:rPr>
        <w:t xml:space="preserve">Economic </w:t>
      </w:r>
      <w:r w:rsidR="00E9768E">
        <w:rPr>
          <w:rFonts w:cs="Cambria"/>
          <w:i/>
        </w:rPr>
        <w:t>D</w:t>
      </w:r>
      <w:r w:rsidR="00E9768E" w:rsidRPr="00696450">
        <w:rPr>
          <w:rFonts w:cs="Cambria"/>
          <w:i/>
        </w:rPr>
        <w:t xml:space="preserve">evelopment </w:t>
      </w:r>
      <w:r w:rsidRPr="00696450">
        <w:rPr>
          <w:rFonts w:cs="Cambria"/>
          <w:i/>
        </w:rPr>
        <w:t xml:space="preserve">and </w:t>
      </w:r>
      <w:r w:rsidR="00E9768E">
        <w:rPr>
          <w:rFonts w:cs="Cambria"/>
          <w:i/>
        </w:rPr>
        <w:t>C</w:t>
      </w:r>
      <w:r w:rsidR="00E9768E" w:rsidRPr="00696450">
        <w:rPr>
          <w:rFonts w:cs="Cambria"/>
          <w:i/>
        </w:rPr>
        <w:t xml:space="preserve">ultural </w:t>
      </w:r>
      <w:r w:rsidR="00E9768E">
        <w:rPr>
          <w:rFonts w:cs="Cambria"/>
          <w:i/>
        </w:rPr>
        <w:t>C</w:t>
      </w:r>
      <w:r w:rsidR="00E9768E" w:rsidRPr="00696450">
        <w:rPr>
          <w:rFonts w:cs="Cambria"/>
          <w:i/>
        </w:rPr>
        <w:t>hange</w:t>
      </w:r>
      <w:r w:rsidRPr="00924F3B">
        <w:rPr>
          <w:rFonts w:cs="Cambria"/>
        </w:rPr>
        <w:t xml:space="preserve">, 56(3), 581-617. </w:t>
      </w:r>
    </w:p>
    <w:p w:rsidR="00E60A63" w:rsidRPr="00924F3B" w:rsidRDefault="00E60A63" w:rsidP="00E60A63">
      <w:pPr>
        <w:ind w:left="720" w:hanging="720"/>
        <w:rPr>
          <w:rFonts w:cs="Cambria"/>
        </w:rPr>
      </w:pPr>
      <w:r w:rsidRPr="00924F3B">
        <w:rPr>
          <w:rFonts w:cs="Cambria"/>
        </w:rPr>
        <w:lastRenderedPageBreak/>
        <w:t>Hasan, A. (2010). Gender-targeted conditional cash transfers: enrollment, spillover effects and instructional quality. World Bank Policy Research Working Paper (No. 5257).</w:t>
      </w:r>
    </w:p>
    <w:p w:rsidR="00E60A63" w:rsidRPr="00924F3B" w:rsidRDefault="00E60A63" w:rsidP="00E60A63">
      <w:pPr>
        <w:tabs>
          <w:tab w:val="left" w:pos="450"/>
        </w:tabs>
        <w:ind w:left="720" w:hanging="720"/>
        <w:rPr>
          <w:rFonts w:cs="Cambria"/>
        </w:rPr>
      </w:pPr>
      <w:r w:rsidRPr="00924F3B">
        <w:rPr>
          <w:rFonts w:cs="Cambria"/>
        </w:rPr>
        <w:t>Heath, R.,</w:t>
      </w:r>
      <w:r w:rsidR="00E41D28">
        <w:rPr>
          <w:rFonts w:cs="Cambria"/>
        </w:rPr>
        <w:t xml:space="preserve"> and</w:t>
      </w:r>
      <w:r w:rsidRPr="00924F3B">
        <w:rPr>
          <w:rFonts w:cs="Cambria"/>
        </w:rPr>
        <w:t xml:space="preserve"> Mobarak, A., (2012)</w:t>
      </w:r>
      <w:r w:rsidR="00937429">
        <w:rPr>
          <w:rFonts w:cs="Cambria"/>
        </w:rPr>
        <w:t>.</w:t>
      </w:r>
      <w:r w:rsidRPr="00924F3B">
        <w:rPr>
          <w:rFonts w:cs="Cambria"/>
        </w:rPr>
        <w:t xml:space="preserve"> "Does Demand or Supply Constrain Investment in Education? Evidence from Garment Sector Jobs in Bangladesh"</w:t>
      </w:r>
      <w:r w:rsidR="00D218FD">
        <w:rPr>
          <w:rFonts w:cs="Cambria"/>
        </w:rPr>
        <w:t>.</w:t>
      </w:r>
    </w:p>
    <w:p w:rsidR="00E60A63" w:rsidRPr="00924F3B" w:rsidRDefault="00E60A63" w:rsidP="00E60A63">
      <w:pPr>
        <w:tabs>
          <w:tab w:val="left" w:pos="630"/>
        </w:tabs>
        <w:ind w:left="720" w:hanging="720"/>
        <w:rPr>
          <w:rFonts w:cs="Cambria"/>
        </w:rPr>
      </w:pPr>
      <w:r w:rsidRPr="00924F3B">
        <w:rPr>
          <w:rFonts w:cs="Cambria"/>
        </w:rPr>
        <w:t xml:space="preserve">Jalan, J., </w:t>
      </w:r>
      <w:r w:rsidR="00E41D28">
        <w:rPr>
          <w:rFonts w:cs="Cambria"/>
        </w:rPr>
        <w:t>and</w:t>
      </w:r>
      <w:r w:rsidRPr="00924F3B">
        <w:rPr>
          <w:rFonts w:cs="Cambria"/>
        </w:rPr>
        <w:t xml:space="preserve"> Glinskaya, E. (2003). Improving primary school education in India: An impact assessment of DPEP-Phase I. Indian Statistical Institute (New Delhi) and The World Bank.</w:t>
      </w:r>
    </w:p>
    <w:p w:rsidR="00E60A63" w:rsidRDefault="00E60A63" w:rsidP="00E60A63">
      <w:pPr>
        <w:rPr>
          <w:rFonts w:cs="Cambria"/>
        </w:rPr>
      </w:pPr>
      <w:r w:rsidRPr="00E41D28">
        <w:rPr>
          <w:rFonts w:cs="Cambria"/>
        </w:rPr>
        <w:t xml:space="preserve">Kazianga, H., De Walque, D., </w:t>
      </w:r>
      <w:r w:rsidR="00E41D28">
        <w:rPr>
          <w:rFonts w:cs="Cambria"/>
        </w:rPr>
        <w:t>and</w:t>
      </w:r>
      <w:r w:rsidRPr="00E41D28">
        <w:rPr>
          <w:rFonts w:cs="Cambria"/>
        </w:rPr>
        <w:t xml:space="preserve"> Alderman, H. (2009). </w:t>
      </w:r>
      <w:r w:rsidRPr="00924F3B">
        <w:rPr>
          <w:rFonts w:cs="Cambria"/>
        </w:rPr>
        <w:t>Educational a</w:t>
      </w:r>
      <w:r>
        <w:rPr>
          <w:rFonts w:cs="Cambria"/>
        </w:rPr>
        <w:t>nd health impacts of two school</w:t>
      </w:r>
    </w:p>
    <w:p w:rsidR="00E60A63" w:rsidRPr="00924F3B" w:rsidRDefault="00E60A63" w:rsidP="00E60A63">
      <w:pPr>
        <w:ind w:left="720"/>
        <w:rPr>
          <w:rFonts w:cs="Cambria"/>
        </w:rPr>
      </w:pPr>
      <w:r w:rsidRPr="00924F3B">
        <w:rPr>
          <w:rFonts w:cs="Cambria"/>
        </w:rPr>
        <w:t>feeding schemes: Evidence from a randomized trial in rural Burkina Faso. World Bank Policy Research Working Paper No 4976</w:t>
      </w:r>
      <w:r w:rsidR="00D218FD">
        <w:rPr>
          <w:rFonts w:cs="Cambria"/>
        </w:rPr>
        <w:t>.</w:t>
      </w:r>
    </w:p>
    <w:p w:rsidR="00E60A63" w:rsidRPr="00924F3B" w:rsidRDefault="00E60A63" w:rsidP="00E60A63">
      <w:pPr>
        <w:tabs>
          <w:tab w:val="left" w:pos="630"/>
        </w:tabs>
        <w:ind w:left="720" w:hanging="720"/>
        <w:rPr>
          <w:rFonts w:cs="Cambria"/>
        </w:rPr>
      </w:pPr>
      <w:r w:rsidRPr="00924F3B">
        <w:rPr>
          <w:rFonts w:cs="Cambria"/>
        </w:rPr>
        <w:t xml:space="preserve">Khandker, S., Pitt, M., </w:t>
      </w:r>
      <w:r w:rsidR="00E41D28">
        <w:rPr>
          <w:rFonts w:cs="Cambria"/>
        </w:rPr>
        <w:t>and</w:t>
      </w:r>
      <w:r w:rsidRPr="00924F3B">
        <w:rPr>
          <w:rFonts w:cs="Cambria"/>
        </w:rPr>
        <w:t xml:space="preserve"> Fuwa, N. (2003). Subsidy to promote girls' secondary education: the female stipend program in Bangladesh. </w:t>
      </w:r>
    </w:p>
    <w:p w:rsidR="00E41D28" w:rsidRDefault="00E60A63" w:rsidP="00E41D28">
      <w:pPr>
        <w:rPr>
          <w:rFonts w:cs="Cambria"/>
        </w:rPr>
      </w:pPr>
      <w:r w:rsidRPr="008D42A2">
        <w:rPr>
          <w:rFonts w:cs="Cambria"/>
          <w:lang w:val="nb-NO"/>
        </w:rPr>
        <w:t xml:space="preserve">Khandker, S. R., Bakht, Z., </w:t>
      </w:r>
      <w:r w:rsidR="00E41D28">
        <w:rPr>
          <w:rFonts w:cs="Cambria"/>
        </w:rPr>
        <w:t>and</w:t>
      </w:r>
      <w:r w:rsidRPr="008D42A2">
        <w:rPr>
          <w:rFonts w:cs="Cambria"/>
          <w:lang w:val="nb-NO"/>
        </w:rPr>
        <w:t xml:space="preserve"> Koolwal, G. B. (2009). </w:t>
      </w:r>
      <w:r w:rsidRPr="00924F3B">
        <w:rPr>
          <w:rFonts w:cs="Cambria"/>
        </w:rPr>
        <w:t>The poverty impac</w:t>
      </w:r>
      <w:r>
        <w:rPr>
          <w:rFonts w:cs="Cambria"/>
        </w:rPr>
        <w:t xml:space="preserve">t of rural roads: evidence </w:t>
      </w:r>
    </w:p>
    <w:p w:rsidR="00E60A63" w:rsidRPr="00924F3B" w:rsidRDefault="00E60A63" w:rsidP="00E41D28">
      <w:pPr>
        <w:ind w:firstLine="720"/>
        <w:rPr>
          <w:rFonts w:cs="Cambria"/>
        </w:rPr>
      </w:pPr>
      <w:r>
        <w:rPr>
          <w:rFonts w:cs="Cambria"/>
        </w:rPr>
        <w:t>from</w:t>
      </w:r>
      <w:r w:rsidR="00E41D28">
        <w:rPr>
          <w:rFonts w:cs="Cambria"/>
        </w:rPr>
        <w:t xml:space="preserve"> </w:t>
      </w:r>
      <w:r w:rsidRPr="00924F3B">
        <w:rPr>
          <w:rFonts w:cs="Cambria"/>
        </w:rPr>
        <w:t xml:space="preserve">Bangladesh. </w:t>
      </w:r>
      <w:r w:rsidRPr="00696450">
        <w:rPr>
          <w:rFonts w:cs="Cambria"/>
          <w:i/>
        </w:rPr>
        <w:t>Economic Development and Cultural Change</w:t>
      </w:r>
      <w:r w:rsidRPr="00924F3B">
        <w:rPr>
          <w:rFonts w:cs="Cambria"/>
        </w:rPr>
        <w:t xml:space="preserve">, 57(4), 685-722. </w:t>
      </w:r>
    </w:p>
    <w:p w:rsidR="00E60A63" w:rsidRDefault="00E60A63" w:rsidP="00E60A63">
      <w:pPr>
        <w:rPr>
          <w:rFonts w:cs="Cambria"/>
        </w:rPr>
      </w:pPr>
      <w:r w:rsidRPr="00924F3B">
        <w:rPr>
          <w:rFonts w:cs="Cambria"/>
        </w:rPr>
        <w:t xml:space="preserve">Kremer, M., </w:t>
      </w:r>
      <w:r w:rsidR="00E41D28">
        <w:rPr>
          <w:rFonts w:cs="Cambria"/>
        </w:rPr>
        <w:t>and</w:t>
      </w:r>
      <w:r w:rsidRPr="00924F3B">
        <w:rPr>
          <w:rFonts w:cs="Cambria"/>
        </w:rPr>
        <w:t xml:space="preserve"> Vermeersch, C. (2005). School Meals, Edu</w:t>
      </w:r>
      <w:r>
        <w:rPr>
          <w:rFonts w:cs="Cambria"/>
        </w:rPr>
        <w:t>cational Achievement and School</w:t>
      </w:r>
    </w:p>
    <w:p w:rsidR="00E60A63" w:rsidRPr="00924F3B" w:rsidRDefault="00E60A63" w:rsidP="00E60A63">
      <w:pPr>
        <w:ind w:firstLine="720"/>
        <w:rPr>
          <w:rFonts w:cs="Cambria"/>
        </w:rPr>
      </w:pPr>
      <w:r w:rsidRPr="00924F3B">
        <w:rPr>
          <w:rFonts w:cs="Cambria"/>
        </w:rPr>
        <w:t>Competition: Evidence from a Randomized Evaluation.</w:t>
      </w:r>
    </w:p>
    <w:p w:rsidR="00E60A63" w:rsidRDefault="00E60A63" w:rsidP="00E60A63">
      <w:pPr>
        <w:rPr>
          <w:rFonts w:cs="Cambria"/>
        </w:rPr>
      </w:pPr>
      <w:r w:rsidRPr="00924F3B">
        <w:rPr>
          <w:rFonts w:cs="Cambria"/>
        </w:rPr>
        <w:t xml:space="preserve">Lokshin, M., </w:t>
      </w:r>
      <w:r w:rsidR="00E41D28">
        <w:rPr>
          <w:rFonts w:cs="Cambria"/>
        </w:rPr>
        <w:t>and</w:t>
      </w:r>
      <w:r w:rsidRPr="00924F3B">
        <w:rPr>
          <w:rFonts w:cs="Cambria"/>
        </w:rPr>
        <w:t xml:space="preserve"> Yemtsov, R. (2004). Combining longitudinal hous</w:t>
      </w:r>
      <w:r>
        <w:rPr>
          <w:rFonts w:cs="Cambria"/>
        </w:rPr>
        <w:t>ehold and community surveys for</w:t>
      </w:r>
    </w:p>
    <w:p w:rsidR="00E60A63" w:rsidRPr="00924F3B" w:rsidRDefault="00E60A63" w:rsidP="00E60A63">
      <w:pPr>
        <w:ind w:left="720"/>
        <w:rPr>
          <w:rFonts w:cs="Cambria"/>
        </w:rPr>
      </w:pPr>
      <w:r w:rsidRPr="00924F3B">
        <w:rPr>
          <w:rFonts w:cs="Cambria"/>
        </w:rPr>
        <w:t xml:space="preserve">evaluation of social transfers: Infrastructure rehabilitation projects in rural Georgia. Journal of </w:t>
      </w:r>
      <w:r>
        <w:rPr>
          <w:rFonts w:cs="Cambria"/>
        </w:rPr>
        <w:t>H</w:t>
      </w:r>
      <w:r w:rsidRPr="00924F3B">
        <w:rPr>
          <w:rFonts w:cs="Cambria"/>
        </w:rPr>
        <w:t>uman Development, 5(2), 265-277.</w:t>
      </w:r>
    </w:p>
    <w:p w:rsidR="00EF15C0" w:rsidRPr="00924F3B" w:rsidRDefault="00EF15C0" w:rsidP="00E12028">
      <w:pPr>
        <w:tabs>
          <w:tab w:val="left" w:pos="180"/>
        </w:tabs>
        <w:ind w:left="720" w:hanging="720"/>
        <w:rPr>
          <w:rFonts w:cs="Cambria"/>
        </w:rPr>
      </w:pPr>
      <w:r w:rsidRPr="00924F3B">
        <w:rPr>
          <w:rFonts w:cs="Cambria"/>
        </w:rPr>
        <w:t xml:space="preserve">Macours, K., </w:t>
      </w:r>
      <w:r w:rsidR="00E41D28">
        <w:rPr>
          <w:rFonts w:cs="Cambria"/>
        </w:rPr>
        <w:t>and</w:t>
      </w:r>
      <w:r w:rsidR="00E41D28" w:rsidRPr="00924F3B">
        <w:rPr>
          <w:rFonts w:cs="Cambria"/>
        </w:rPr>
        <w:t xml:space="preserve"> </w:t>
      </w:r>
      <w:r w:rsidRPr="00924F3B">
        <w:rPr>
          <w:rFonts w:cs="Cambria"/>
        </w:rPr>
        <w:t>Vakis, R. (2009)</w:t>
      </w:r>
      <w:r w:rsidR="00937429">
        <w:rPr>
          <w:rFonts w:cs="Cambria"/>
        </w:rPr>
        <w:t>.</w:t>
      </w:r>
      <w:r w:rsidRPr="00924F3B">
        <w:rPr>
          <w:rFonts w:cs="Cambria"/>
        </w:rPr>
        <w:t xml:space="preserve"> "Changing Households' Investment and Aspiration Through Social Interactions: Evidence from a Randomized Transfer Program in a Low-Income Country" World Bank Policy Research Working Paper No. 5137</w:t>
      </w:r>
      <w:r w:rsidR="00D218FD">
        <w:rPr>
          <w:rFonts w:cs="Cambria"/>
        </w:rPr>
        <w:t>.</w:t>
      </w:r>
    </w:p>
    <w:p w:rsidR="00E60A63" w:rsidRPr="00E60A63" w:rsidRDefault="00E60A63" w:rsidP="00E60A63">
      <w:r w:rsidRPr="00976579">
        <w:t xml:space="preserve">Martinez, S., Naudeau, S., </w:t>
      </w:r>
      <w:r w:rsidR="00E41D28">
        <w:rPr>
          <w:rFonts w:cs="Cambria"/>
        </w:rPr>
        <w:t>and</w:t>
      </w:r>
      <w:r w:rsidRPr="00976579">
        <w:t xml:space="preserve"> Pereira, V. (2012). </w:t>
      </w:r>
      <w:r w:rsidRPr="00E60A63">
        <w:t>The promise of preschool in Africa: a randomized</w:t>
      </w:r>
    </w:p>
    <w:p w:rsidR="00E60A63" w:rsidRDefault="00E60A63" w:rsidP="00E60A63">
      <w:pPr>
        <w:ind w:firstLine="720"/>
      </w:pPr>
      <w:r w:rsidRPr="00E60A63">
        <w:t>impact evaluation of early childhood development in rural Mozambique.</w:t>
      </w:r>
    </w:p>
    <w:p w:rsidR="00EF15C0" w:rsidRPr="00924F3B" w:rsidRDefault="00EF15C0" w:rsidP="00CB2DD6">
      <w:pPr>
        <w:ind w:left="720" w:hanging="720"/>
        <w:rPr>
          <w:rFonts w:cs="Cambria"/>
        </w:rPr>
      </w:pPr>
      <w:r w:rsidRPr="00924F3B">
        <w:rPr>
          <w:rFonts w:cs="Cambria"/>
        </w:rPr>
        <w:t xml:space="preserve">Oosterbeek, H., Ponce, J., </w:t>
      </w:r>
      <w:r w:rsidR="00E41D28">
        <w:rPr>
          <w:rFonts w:cs="Cambria"/>
        </w:rPr>
        <w:t>and</w:t>
      </w:r>
      <w:r w:rsidRPr="00924F3B">
        <w:rPr>
          <w:rFonts w:cs="Cambria"/>
        </w:rPr>
        <w:t xml:space="preserve"> Schady, N. (2008). The impact of cash transfers on school enrollment: Evidence from Ecuador. World Bank Policy Research Working Paper Series, Vol. </w:t>
      </w:r>
    </w:p>
    <w:p w:rsidR="00E12028" w:rsidRDefault="00EF15C0" w:rsidP="00E12028">
      <w:pPr>
        <w:rPr>
          <w:rFonts w:cs="Cambria"/>
        </w:rPr>
      </w:pPr>
      <w:r w:rsidRPr="00924F3B">
        <w:rPr>
          <w:rFonts w:cs="Cambria"/>
        </w:rPr>
        <w:t xml:space="preserve">Ravallion, M., </w:t>
      </w:r>
      <w:r w:rsidR="00E41D28">
        <w:rPr>
          <w:rFonts w:cs="Cambria"/>
        </w:rPr>
        <w:t>and</w:t>
      </w:r>
      <w:r w:rsidRPr="00924F3B">
        <w:rPr>
          <w:rFonts w:cs="Cambria"/>
        </w:rPr>
        <w:t xml:space="preserve"> Wodon, Q. (2000). Does child labour displace sch</w:t>
      </w:r>
      <w:r w:rsidR="00E12028">
        <w:rPr>
          <w:rFonts w:cs="Cambria"/>
        </w:rPr>
        <w:t>ooling? Evidence on behavioural</w:t>
      </w:r>
    </w:p>
    <w:p w:rsidR="00EF15C0" w:rsidRPr="00924F3B" w:rsidRDefault="00EF15C0" w:rsidP="00E12028">
      <w:pPr>
        <w:ind w:firstLine="720"/>
        <w:rPr>
          <w:rFonts w:cs="Cambria"/>
        </w:rPr>
      </w:pPr>
      <w:r w:rsidRPr="00924F3B">
        <w:rPr>
          <w:rFonts w:cs="Cambria"/>
        </w:rPr>
        <w:t xml:space="preserve">responses to an enrollment subsidy. </w:t>
      </w:r>
      <w:r w:rsidRPr="00696450">
        <w:rPr>
          <w:rFonts w:cs="Cambria"/>
          <w:i/>
        </w:rPr>
        <w:t>The Economic Journal</w:t>
      </w:r>
      <w:r w:rsidRPr="00924F3B">
        <w:rPr>
          <w:rFonts w:cs="Cambria"/>
        </w:rPr>
        <w:t xml:space="preserve">, 110(462), 158-175. </w:t>
      </w:r>
    </w:p>
    <w:p w:rsidR="00E41D28" w:rsidRDefault="00EF15C0" w:rsidP="00E41D28">
      <w:pPr>
        <w:rPr>
          <w:rFonts w:cs="Cambria"/>
        </w:rPr>
      </w:pPr>
      <w:r w:rsidRPr="00924F3B">
        <w:rPr>
          <w:rFonts w:cs="Cambria"/>
        </w:rPr>
        <w:t xml:space="preserve">Yamauchi, F., </w:t>
      </w:r>
      <w:r w:rsidR="00E41D28">
        <w:rPr>
          <w:rFonts w:cs="Cambria"/>
        </w:rPr>
        <w:t>and</w:t>
      </w:r>
      <w:r w:rsidRPr="00924F3B">
        <w:rPr>
          <w:rFonts w:cs="Cambria"/>
        </w:rPr>
        <w:t xml:space="preserve"> Liu, Y. (2013). Impacts of an early stage education int</w:t>
      </w:r>
      <w:r w:rsidR="00E12028">
        <w:rPr>
          <w:rFonts w:cs="Cambria"/>
        </w:rPr>
        <w:t xml:space="preserve">ervention on students' </w:t>
      </w:r>
    </w:p>
    <w:p w:rsidR="00E12028" w:rsidRPr="00924F3B" w:rsidRDefault="00E12028" w:rsidP="00E41D28">
      <w:pPr>
        <w:ind w:left="720"/>
        <w:rPr>
          <w:rFonts w:cs="Cambria"/>
        </w:rPr>
      </w:pPr>
      <w:r>
        <w:rPr>
          <w:rFonts w:cs="Cambria"/>
        </w:rPr>
        <w:t>learning</w:t>
      </w:r>
      <w:r w:rsidR="00E41D28">
        <w:rPr>
          <w:rFonts w:cs="Cambria"/>
        </w:rPr>
        <w:t xml:space="preserve"> </w:t>
      </w:r>
      <w:r w:rsidR="00EF15C0" w:rsidRPr="00924F3B">
        <w:rPr>
          <w:rFonts w:cs="Cambria"/>
        </w:rPr>
        <w:t xml:space="preserve">achievement: evidence from the Philippines. </w:t>
      </w:r>
      <w:r w:rsidR="00EF15C0" w:rsidRPr="00696450">
        <w:rPr>
          <w:rFonts w:cs="Cambria"/>
          <w:i/>
        </w:rPr>
        <w:t>The Journal of Development Studies</w:t>
      </w:r>
      <w:r w:rsidR="00EF15C0" w:rsidRPr="00924F3B">
        <w:rPr>
          <w:rFonts w:cs="Cambria"/>
        </w:rPr>
        <w:t>, 49(2), 208-222.</w:t>
      </w:r>
    </w:p>
    <w:p w:rsidR="00E12028" w:rsidRPr="005E0CFF" w:rsidRDefault="00E12028" w:rsidP="00E12028">
      <w:pPr>
        <w:pStyle w:val="Heading1"/>
      </w:pPr>
      <w:r>
        <w:t>Additional References</w:t>
      </w:r>
      <w:r w:rsidR="00E60A63">
        <w:t xml:space="preserve"> Cited</w:t>
      </w:r>
      <w:r>
        <w:t>:</w:t>
      </w:r>
    </w:p>
    <w:p w:rsidR="00874E62" w:rsidRPr="00E60A63" w:rsidRDefault="00874E62" w:rsidP="00874E62">
      <w:pPr>
        <w:ind w:left="720" w:hanging="720"/>
      </w:pPr>
      <w:r w:rsidRPr="00E60A63">
        <w:rPr>
          <w:lang w:val="en"/>
        </w:rPr>
        <w:t xml:space="preserve">Moon, T. R., Callahan, C. M., </w:t>
      </w:r>
      <w:r w:rsidR="00320033">
        <w:rPr>
          <w:rFonts w:cs="Cambria"/>
        </w:rPr>
        <w:t>and</w:t>
      </w:r>
      <w:r w:rsidRPr="00E60A63">
        <w:rPr>
          <w:lang w:val="en"/>
        </w:rPr>
        <w:t xml:space="preserve"> Tomlinson, C. A. (2003)</w:t>
      </w:r>
      <w:r w:rsidR="00937429">
        <w:rPr>
          <w:lang w:val="en"/>
        </w:rPr>
        <w:t>.</w:t>
      </w:r>
      <w:r w:rsidRPr="00E60A63">
        <w:rPr>
          <w:lang w:val="en"/>
        </w:rPr>
        <w:t xml:space="preserve"> </w:t>
      </w:r>
      <w:r w:rsidRPr="00E60A63">
        <w:rPr>
          <w:rStyle w:val="Emphasis"/>
          <w:lang w:val="en"/>
        </w:rPr>
        <w:t>Effects of state testing programs on elementary schools with high concentrations of student poverty-good news or bad news?</w:t>
      </w:r>
      <w:r w:rsidRPr="00E60A63">
        <w:rPr>
          <w:lang w:val="en"/>
        </w:rPr>
        <w:t xml:space="preserve"> </w:t>
      </w:r>
      <w:r w:rsidRPr="00696450">
        <w:rPr>
          <w:i/>
          <w:lang w:val="en"/>
        </w:rPr>
        <w:t>Current Issues in Education</w:t>
      </w:r>
      <w:r w:rsidRPr="00E60A63">
        <w:rPr>
          <w:lang w:val="en"/>
        </w:rPr>
        <w:t xml:space="preserve">, 6(8). Available at </w:t>
      </w:r>
      <w:hyperlink r:id="rId20" w:tgtFrame="_blank" w:tooltip="http://cie.ed.asu.edu/volume6/number8/" w:history="1">
        <w:r w:rsidRPr="00E60A63">
          <w:rPr>
            <w:rStyle w:val="Hyperlink"/>
            <w:lang w:val="en"/>
          </w:rPr>
          <w:t>http://cie.ed.asu.edu/volume6/number8/</w:t>
        </w:r>
      </w:hyperlink>
    </w:p>
    <w:p w:rsidR="00937429" w:rsidRDefault="00EF15C0" w:rsidP="00937429">
      <w:pPr>
        <w:rPr>
          <w:rFonts w:cs="Cambria"/>
        </w:rPr>
      </w:pPr>
      <w:r>
        <w:rPr>
          <w:rFonts w:cs="Cambria"/>
        </w:rPr>
        <w:t>Raj, A.</w:t>
      </w:r>
      <w:r w:rsidR="00937429" w:rsidRPr="00937429">
        <w:rPr>
          <w:rFonts w:cs="Cambria"/>
        </w:rPr>
        <w:t xml:space="preserve"> </w:t>
      </w:r>
      <w:r w:rsidR="00937429">
        <w:rPr>
          <w:rFonts w:cs="Cambria"/>
        </w:rPr>
        <w:t xml:space="preserve">(2010). </w:t>
      </w:r>
      <w:r w:rsidRPr="00A47999">
        <w:rPr>
          <w:rFonts w:cs="Cambria"/>
        </w:rPr>
        <w:t>When the Mother Is a Child: The Impact of Child Marriag</w:t>
      </w:r>
      <w:r w:rsidR="00E12028">
        <w:rPr>
          <w:rFonts w:cs="Cambria"/>
        </w:rPr>
        <w:t>e on Health and Human</w:t>
      </w:r>
    </w:p>
    <w:p w:rsidR="00E12028" w:rsidRDefault="00E12028" w:rsidP="00937429">
      <w:pPr>
        <w:ind w:firstLine="720"/>
        <w:rPr>
          <w:rFonts w:cs="Cambria"/>
        </w:rPr>
      </w:pPr>
      <w:r>
        <w:rPr>
          <w:rFonts w:cs="Cambria"/>
        </w:rPr>
        <w:t>Rights of</w:t>
      </w:r>
      <w:r w:rsidR="00937429">
        <w:rPr>
          <w:rFonts w:cs="Cambria"/>
        </w:rPr>
        <w:t xml:space="preserve"> </w:t>
      </w:r>
      <w:r w:rsidR="00EF15C0" w:rsidRPr="00A47999">
        <w:rPr>
          <w:rFonts w:cs="Cambria"/>
        </w:rPr>
        <w:t xml:space="preserve">Girls,” </w:t>
      </w:r>
      <w:r w:rsidR="00EF15C0" w:rsidRPr="00A47999">
        <w:rPr>
          <w:rFonts w:cs="Cambria-Italic"/>
          <w:i/>
          <w:iCs/>
        </w:rPr>
        <w:t xml:space="preserve">Archives of Diseases in Childhood </w:t>
      </w:r>
      <w:r w:rsidR="00EF15C0" w:rsidRPr="00A47999">
        <w:rPr>
          <w:rFonts w:cs="Cambria"/>
        </w:rPr>
        <w:t>95</w:t>
      </w:r>
      <w:r w:rsidR="00937429">
        <w:rPr>
          <w:rFonts w:cs="Cambria"/>
        </w:rPr>
        <w:t>,</w:t>
      </w:r>
      <w:r w:rsidR="00EF15C0" w:rsidRPr="00A47999">
        <w:rPr>
          <w:rFonts w:cs="Cambria"/>
        </w:rPr>
        <w:t xml:space="preserve"> 931–35.</w:t>
      </w:r>
    </w:p>
    <w:p w:rsidR="005D179C" w:rsidRPr="006E23D2" w:rsidRDefault="00EF15C0" w:rsidP="006E23D2">
      <w:pPr>
        <w:rPr>
          <w:rFonts w:cs="Cambria"/>
          <w:i/>
        </w:rPr>
      </w:pPr>
      <w:r w:rsidRPr="00A47999">
        <w:rPr>
          <w:rFonts w:cs="Cambria"/>
        </w:rPr>
        <w:t xml:space="preserve">World Bank Group (2014). </w:t>
      </w:r>
      <w:r w:rsidRPr="00A47999">
        <w:rPr>
          <w:rFonts w:cs="Cambria"/>
          <w:i/>
        </w:rPr>
        <w:t>Voice and Agency: Empowering Women and Girls for Shared Prosperity</w:t>
      </w:r>
      <w:r w:rsidRPr="00A47999">
        <w:rPr>
          <w:rFonts w:cs="Cambria"/>
        </w:rPr>
        <w:t>.</w:t>
      </w:r>
    </w:p>
    <w:p w:rsidR="005D179C" w:rsidRPr="00874E62" w:rsidRDefault="00874E62" w:rsidP="00874E62">
      <w:pPr>
        <w:pStyle w:val="Heading1"/>
      </w:pPr>
      <w:r>
        <w:t>Photo Credits:</w:t>
      </w:r>
    </w:p>
    <w:p w:rsidR="007407DD" w:rsidRDefault="002923F7" w:rsidP="007407DD">
      <w:pPr>
        <w:pStyle w:val="References"/>
        <w:numPr>
          <w:ilvl w:val="0"/>
          <w:numId w:val="4"/>
        </w:numPr>
        <w:rPr>
          <w:noProof w:val="0"/>
        </w:rPr>
      </w:pPr>
      <w:r>
        <w:t xml:space="preserve">Lessons in a rural school. Uzbekistan. </w:t>
      </w:r>
      <w:r w:rsidRPr="007E1070">
        <w:rPr>
          <w:b/>
        </w:rPr>
        <w:t>Photo: Matluba Mukhamedova</w:t>
      </w:r>
    </w:p>
    <w:p w:rsidR="00637FAA" w:rsidRDefault="00637FAA" w:rsidP="00C07969">
      <w:pPr>
        <w:pStyle w:val="References"/>
        <w:numPr>
          <w:ilvl w:val="0"/>
          <w:numId w:val="4"/>
        </w:numPr>
        <w:rPr>
          <w:noProof w:val="0"/>
        </w:rPr>
      </w:pPr>
      <w:r>
        <w:t xml:space="preserve">School Lets Out. </w:t>
      </w:r>
      <w:r w:rsidR="00E22B2F">
        <w:t xml:space="preserve">Bangladesh. </w:t>
      </w:r>
      <w:r w:rsidR="00E22B2F" w:rsidRPr="007E1070">
        <w:rPr>
          <w:b/>
        </w:rPr>
        <w:t>Photo: Scott Wallace</w:t>
      </w:r>
    </w:p>
    <w:p w:rsidR="00E22B2F" w:rsidRDefault="00637FAA" w:rsidP="00C07969">
      <w:pPr>
        <w:pStyle w:val="References"/>
        <w:numPr>
          <w:ilvl w:val="0"/>
          <w:numId w:val="4"/>
        </w:numPr>
        <w:rPr>
          <w:noProof w:val="0"/>
        </w:rPr>
      </w:pPr>
      <w:r>
        <w:t>Pupils in a school canteen, having a break from classes. Moldova.</w:t>
      </w:r>
      <w:r w:rsidRPr="00637FAA">
        <w:t xml:space="preserve"> </w:t>
      </w:r>
      <w:r w:rsidRPr="007E1070">
        <w:rPr>
          <w:b/>
        </w:rPr>
        <w:t>Photo: Michael Jones</w:t>
      </w:r>
      <w:r>
        <w:t xml:space="preserve"> </w:t>
      </w:r>
      <w:r w:rsidR="00E22B2F">
        <w:t xml:space="preserve"> </w:t>
      </w:r>
    </w:p>
    <w:p w:rsidR="00637FAA" w:rsidRPr="006E4352" w:rsidRDefault="00637FAA" w:rsidP="00637FAA">
      <w:pPr>
        <w:pStyle w:val="References"/>
        <w:numPr>
          <w:ilvl w:val="0"/>
          <w:numId w:val="4"/>
        </w:numPr>
        <w:rPr>
          <w:noProof w:val="0"/>
          <w:lang w:val="es-MX"/>
        </w:rPr>
      </w:pPr>
      <w:r>
        <w:t xml:space="preserve">Girls during lunch break at school. </w:t>
      </w:r>
      <w:r w:rsidRPr="006E4352">
        <w:rPr>
          <w:lang w:val="es-MX"/>
        </w:rPr>
        <w:t>Romania.</w:t>
      </w:r>
      <w:r w:rsidR="006E4352" w:rsidRPr="006E4352">
        <w:rPr>
          <w:lang w:val="es-MX"/>
        </w:rPr>
        <w:t xml:space="preserve"> </w:t>
      </w:r>
      <w:r w:rsidRPr="006E4352">
        <w:rPr>
          <w:b/>
          <w:lang w:val="es-MX"/>
        </w:rPr>
        <w:t>Photo: Flore de Préneuf</w:t>
      </w:r>
      <w:r w:rsidRPr="006E4352">
        <w:rPr>
          <w:lang w:val="es-MX"/>
        </w:rPr>
        <w:t xml:space="preserve"> </w:t>
      </w:r>
    </w:p>
    <w:p w:rsidR="00637FAA" w:rsidRDefault="00637FAA" w:rsidP="005D179C">
      <w:pPr>
        <w:pStyle w:val="References"/>
        <w:numPr>
          <w:ilvl w:val="0"/>
          <w:numId w:val="4"/>
        </w:numPr>
        <w:rPr>
          <w:noProof w:val="0"/>
        </w:rPr>
      </w:pPr>
      <w:r>
        <w:t xml:space="preserve">Children listen to their teacher in Villa Nueva, Guatemala. </w:t>
      </w:r>
      <w:r w:rsidRPr="007E1070">
        <w:rPr>
          <w:b/>
        </w:rPr>
        <w:t>Photo: Maria Fleischmann</w:t>
      </w:r>
    </w:p>
    <w:p w:rsidR="00642FE3" w:rsidRDefault="00637FAA" w:rsidP="006E23D2">
      <w:pPr>
        <w:pStyle w:val="References"/>
        <w:numPr>
          <w:ilvl w:val="0"/>
          <w:numId w:val="4"/>
        </w:numPr>
      </w:pPr>
      <w:r>
        <w:t xml:space="preserve">School children attending parade. South Africa. </w:t>
      </w:r>
      <w:r w:rsidRPr="007E1070">
        <w:rPr>
          <w:b/>
        </w:rPr>
        <w:t>Photo: Trevor Samson</w:t>
      </w:r>
    </w:p>
    <w:p w:rsidR="00E22B2F" w:rsidRDefault="00E22B2F" w:rsidP="00E22B2F">
      <w:pPr>
        <w:pStyle w:val="References"/>
        <w:framePr w:w="8813" w:wrap="auto" w:hAnchor="text" w:x="1620"/>
        <w:sectPr w:rsidR="00E22B2F" w:rsidSect="00862F1C">
          <w:type w:val="continuous"/>
          <w:pgSz w:w="12240" w:h="15840"/>
          <w:pgMar w:top="1440" w:right="1152" w:bottom="1354" w:left="1152" w:header="720" w:footer="720" w:gutter="0"/>
          <w:cols w:space="720"/>
          <w:docGrid w:linePitch="360"/>
        </w:sectPr>
      </w:pPr>
    </w:p>
    <w:p w:rsidR="002C34B6" w:rsidRPr="00E97D1F" w:rsidRDefault="00D87D4C" w:rsidP="00E97D1F">
      <w:pPr>
        <w:pStyle w:val="Annex"/>
      </w:pPr>
      <w:r>
        <w:lastRenderedPageBreak/>
        <w:t>Table</w:t>
      </w:r>
      <w:r w:rsidR="00642FE3" w:rsidRPr="00E97D1F">
        <w:t xml:space="preserve"> 1</w:t>
      </w:r>
      <w:r w:rsidR="00174F92">
        <w:t xml:space="preserve">: </w:t>
      </w:r>
    </w:p>
    <w:p w:rsidR="003542C8" w:rsidRDefault="003542C8" w:rsidP="003542C8">
      <w:pPr>
        <w:pStyle w:val="Heading1"/>
        <w:spacing w:before="0"/>
      </w:pPr>
      <w:r>
        <w:t>Summary of Education outcomes measured by WBG Gender IEs</w:t>
      </w:r>
    </w:p>
    <w:p w:rsidR="002C34B6" w:rsidRDefault="002C34B6" w:rsidP="002C34B6"/>
    <w:p w:rsidR="001A5FE9" w:rsidRPr="002C34B6" w:rsidRDefault="001A5FE9" w:rsidP="002C34B6"/>
    <w:tbl>
      <w:tblPr>
        <w:tblStyle w:val="TableGrid1"/>
        <w:tblW w:w="10221" w:type="dxa"/>
        <w:jc w:val="center"/>
        <w:tblLook w:val="04A0" w:firstRow="1" w:lastRow="0" w:firstColumn="1" w:lastColumn="0" w:noHBand="0" w:noVBand="1"/>
      </w:tblPr>
      <w:tblGrid>
        <w:gridCol w:w="3333"/>
        <w:gridCol w:w="1036"/>
        <w:gridCol w:w="1439"/>
        <w:gridCol w:w="948"/>
        <w:gridCol w:w="979"/>
        <w:gridCol w:w="862"/>
        <w:gridCol w:w="1624"/>
      </w:tblGrid>
      <w:tr w:rsidR="00174F92" w:rsidRPr="001A5FE9" w:rsidTr="00174F92">
        <w:trPr>
          <w:trHeight w:val="315"/>
          <w:jc w:val="center"/>
        </w:trPr>
        <w:tc>
          <w:tcPr>
            <w:tcW w:w="6099" w:type="dxa"/>
            <w:gridSpan w:val="3"/>
            <w:vMerge w:val="restart"/>
            <w:shd w:val="clear" w:color="auto" w:fill="FFFFFF" w:themeFill="background1"/>
          </w:tcPr>
          <w:p w:rsidR="00174F92" w:rsidRPr="001A5FE9" w:rsidRDefault="00174F92" w:rsidP="00174F92">
            <w:pPr>
              <w:spacing w:after="200" w:line="276" w:lineRule="auto"/>
              <w:jc w:val="left"/>
              <w:rPr>
                <w:b/>
                <w:bCs/>
                <w:i/>
                <w:iCs/>
                <w:color w:val="auto"/>
                <w:sz w:val="14"/>
                <w:szCs w:val="14"/>
              </w:rPr>
            </w:pPr>
          </w:p>
        </w:tc>
        <w:tc>
          <w:tcPr>
            <w:tcW w:w="0" w:type="auto"/>
            <w:gridSpan w:val="3"/>
            <w:shd w:val="clear" w:color="auto" w:fill="D9D9D9" w:themeFill="background1" w:themeFillShade="D9"/>
          </w:tcPr>
          <w:p w:rsidR="00174F92" w:rsidRPr="001A5FE9" w:rsidRDefault="00174F92" w:rsidP="00174F92">
            <w:pPr>
              <w:spacing w:after="200" w:line="276" w:lineRule="auto"/>
              <w:jc w:val="center"/>
              <w:rPr>
                <w:b/>
                <w:bCs/>
                <w:i/>
                <w:iCs/>
                <w:color w:val="auto"/>
                <w:sz w:val="14"/>
                <w:szCs w:val="14"/>
              </w:rPr>
            </w:pPr>
            <w:r w:rsidRPr="001A5FE9">
              <w:rPr>
                <w:b/>
                <w:bCs/>
                <w:i/>
                <w:iCs/>
                <w:color w:val="auto"/>
                <w:sz w:val="14"/>
                <w:szCs w:val="14"/>
              </w:rPr>
              <w:t>Outcomes of Interest</w:t>
            </w:r>
          </w:p>
        </w:tc>
        <w:tc>
          <w:tcPr>
            <w:tcW w:w="0" w:type="auto"/>
            <w:vMerge w:val="restart"/>
            <w:shd w:val="clear" w:color="auto" w:fill="auto"/>
          </w:tcPr>
          <w:p w:rsidR="00174F92" w:rsidRPr="001A5FE9" w:rsidRDefault="00174F92" w:rsidP="00174F92">
            <w:pPr>
              <w:spacing w:after="200" w:line="276" w:lineRule="auto"/>
              <w:jc w:val="center"/>
              <w:rPr>
                <w:b/>
                <w:bCs/>
                <w:i/>
                <w:iCs/>
                <w:color w:val="auto"/>
                <w:sz w:val="14"/>
                <w:szCs w:val="14"/>
              </w:rPr>
            </w:pPr>
          </w:p>
        </w:tc>
      </w:tr>
      <w:tr w:rsidR="00174F92" w:rsidRPr="001A5FE9" w:rsidTr="00174F92">
        <w:trPr>
          <w:trHeight w:val="315"/>
          <w:jc w:val="center"/>
        </w:trPr>
        <w:tc>
          <w:tcPr>
            <w:tcW w:w="6099" w:type="dxa"/>
            <w:gridSpan w:val="3"/>
            <w:vMerge/>
            <w:shd w:val="clear" w:color="auto" w:fill="FFFFFF" w:themeFill="background1"/>
          </w:tcPr>
          <w:p w:rsidR="00174F92" w:rsidRPr="001A5FE9" w:rsidRDefault="00174F92" w:rsidP="00174F92">
            <w:pPr>
              <w:spacing w:after="200" w:line="276" w:lineRule="auto"/>
              <w:jc w:val="left"/>
              <w:rPr>
                <w:b/>
                <w:bCs/>
                <w:i/>
                <w:iCs/>
                <w:color w:val="auto"/>
                <w:sz w:val="14"/>
                <w:szCs w:val="14"/>
              </w:rPr>
            </w:pPr>
          </w:p>
        </w:tc>
        <w:tc>
          <w:tcPr>
            <w:tcW w:w="0" w:type="auto"/>
            <w:shd w:val="clear" w:color="auto" w:fill="FFFFFF" w:themeFill="background1"/>
            <w:hideMark/>
          </w:tcPr>
          <w:p w:rsidR="00174F92" w:rsidRPr="001A5FE9" w:rsidRDefault="00174F92" w:rsidP="00174F92">
            <w:pPr>
              <w:spacing w:after="200" w:line="276" w:lineRule="auto"/>
              <w:jc w:val="left"/>
              <w:rPr>
                <w:b/>
                <w:bCs/>
                <w:i/>
                <w:iCs/>
                <w:color w:val="auto"/>
                <w:sz w:val="14"/>
                <w:szCs w:val="14"/>
              </w:rPr>
            </w:pPr>
            <w:r w:rsidRPr="001A5FE9">
              <w:rPr>
                <w:b/>
                <w:bCs/>
                <w:i/>
                <w:iCs/>
                <w:color w:val="auto"/>
                <w:sz w:val="14"/>
                <w:szCs w:val="14"/>
              </w:rPr>
              <w:t xml:space="preserve">School </w:t>
            </w:r>
            <w:r w:rsidRPr="001A5FE9">
              <w:rPr>
                <w:b/>
                <w:bCs/>
                <w:i/>
                <w:iCs/>
                <w:color w:val="auto"/>
                <w:sz w:val="14"/>
                <w:szCs w:val="14"/>
              </w:rPr>
              <w:br/>
              <w:t>Enrollment</w:t>
            </w:r>
          </w:p>
        </w:tc>
        <w:tc>
          <w:tcPr>
            <w:tcW w:w="0" w:type="auto"/>
            <w:shd w:val="clear" w:color="auto" w:fill="FFFFFF" w:themeFill="background1"/>
            <w:hideMark/>
          </w:tcPr>
          <w:p w:rsidR="00174F92" w:rsidRPr="001A5FE9" w:rsidRDefault="00174F92" w:rsidP="00174F92">
            <w:pPr>
              <w:spacing w:after="200" w:line="276" w:lineRule="auto"/>
              <w:jc w:val="left"/>
              <w:rPr>
                <w:b/>
                <w:bCs/>
                <w:i/>
                <w:iCs/>
                <w:color w:val="auto"/>
                <w:sz w:val="14"/>
                <w:szCs w:val="14"/>
              </w:rPr>
            </w:pPr>
            <w:r w:rsidRPr="001A5FE9">
              <w:rPr>
                <w:b/>
                <w:bCs/>
                <w:i/>
                <w:iCs/>
                <w:color w:val="auto"/>
                <w:sz w:val="14"/>
                <w:szCs w:val="14"/>
              </w:rPr>
              <w:t xml:space="preserve">School </w:t>
            </w:r>
            <w:r w:rsidRPr="001A5FE9">
              <w:rPr>
                <w:b/>
                <w:bCs/>
                <w:i/>
                <w:iCs/>
                <w:color w:val="auto"/>
                <w:sz w:val="14"/>
                <w:szCs w:val="14"/>
              </w:rPr>
              <w:br/>
              <w:t>Attendance</w:t>
            </w:r>
          </w:p>
        </w:tc>
        <w:tc>
          <w:tcPr>
            <w:tcW w:w="0" w:type="auto"/>
            <w:shd w:val="clear" w:color="auto" w:fill="FFFFFF" w:themeFill="background1"/>
            <w:hideMark/>
          </w:tcPr>
          <w:p w:rsidR="00174F92" w:rsidRPr="001A5FE9" w:rsidRDefault="00174F92" w:rsidP="00174F92">
            <w:pPr>
              <w:spacing w:after="200" w:line="276" w:lineRule="auto"/>
              <w:jc w:val="left"/>
              <w:rPr>
                <w:b/>
                <w:bCs/>
                <w:i/>
                <w:iCs/>
                <w:color w:val="auto"/>
                <w:sz w:val="14"/>
                <w:szCs w:val="14"/>
              </w:rPr>
            </w:pPr>
            <w:r w:rsidRPr="001A5FE9">
              <w:rPr>
                <w:b/>
                <w:bCs/>
                <w:i/>
                <w:iCs/>
                <w:color w:val="auto"/>
                <w:sz w:val="14"/>
                <w:szCs w:val="14"/>
              </w:rPr>
              <w:t>School</w:t>
            </w:r>
            <w:r w:rsidRPr="001A5FE9">
              <w:rPr>
                <w:b/>
                <w:bCs/>
                <w:i/>
                <w:iCs/>
                <w:color w:val="auto"/>
                <w:sz w:val="14"/>
                <w:szCs w:val="14"/>
              </w:rPr>
              <w:br/>
              <w:t>Retention</w:t>
            </w:r>
          </w:p>
        </w:tc>
        <w:tc>
          <w:tcPr>
            <w:tcW w:w="0" w:type="auto"/>
            <w:vMerge/>
            <w:shd w:val="clear" w:color="auto" w:fill="auto"/>
          </w:tcPr>
          <w:p w:rsidR="00174F92" w:rsidRPr="001A5FE9" w:rsidRDefault="00174F92" w:rsidP="00174F92">
            <w:pPr>
              <w:spacing w:after="200" w:line="276" w:lineRule="auto"/>
              <w:jc w:val="left"/>
              <w:rPr>
                <w:b/>
                <w:bCs/>
                <w:i/>
                <w:iCs/>
                <w:color w:val="auto"/>
                <w:sz w:val="14"/>
                <w:szCs w:val="14"/>
              </w:rPr>
            </w:pPr>
          </w:p>
        </w:tc>
      </w:tr>
      <w:tr w:rsidR="00174F92" w:rsidRPr="001A5FE9" w:rsidTr="00174F92">
        <w:trPr>
          <w:trHeight w:hRule="exact" w:val="478"/>
          <w:jc w:val="center"/>
        </w:trPr>
        <w:tc>
          <w:tcPr>
            <w:tcW w:w="0" w:type="auto"/>
            <w:shd w:val="clear" w:color="auto" w:fill="D9D9D9" w:themeFill="background1" w:themeFillShade="D9"/>
          </w:tcPr>
          <w:p w:rsidR="00174F92" w:rsidRPr="001A5FE9" w:rsidRDefault="00174F92" w:rsidP="00174F92">
            <w:pPr>
              <w:spacing w:after="200" w:line="276" w:lineRule="auto"/>
              <w:jc w:val="left"/>
              <w:rPr>
                <w:b/>
                <w:bCs/>
                <w:i/>
                <w:iCs/>
                <w:color w:val="auto"/>
                <w:sz w:val="14"/>
                <w:szCs w:val="14"/>
              </w:rPr>
            </w:pPr>
            <w:r w:rsidRPr="001A5FE9">
              <w:rPr>
                <w:b/>
                <w:bCs/>
                <w:i/>
                <w:iCs/>
                <w:color w:val="auto"/>
                <w:sz w:val="14"/>
                <w:szCs w:val="14"/>
              </w:rPr>
              <w:t>Program Title</w:t>
            </w:r>
          </w:p>
        </w:tc>
        <w:tc>
          <w:tcPr>
            <w:tcW w:w="1036" w:type="dxa"/>
            <w:shd w:val="clear" w:color="auto" w:fill="D9D9D9" w:themeFill="background1" w:themeFillShade="D9"/>
          </w:tcPr>
          <w:p w:rsidR="00174F92" w:rsidRPr="001A5FE9" w:rsidRDefault="00174F92" w:rsidP="00174F92">
            <w:pPr>
              <w:spacing w:after="200" w:line="276" w:lineRule="auto"/>
              <w:jc w:val="left"/>
              <w:rPr>
                <w:b/>
                <w:bCs/>
                <w:i/>
                <w:iCs/>
                <w:color w:val="auto"/>
                <w:sz w:val="14"/>
                <w:szCs w:val="14"/>
              </w:rPr>
            </w:pPr>
            <w:r w:rsidRPr="001A5FE9">
              <w:rPr>
                <w:b/>
                <w:bCs/>
                <w:i/>
                <w:iCs/>
                <w:color w:val="auto"/>
                <w:sz w:val="14"/>
                <w:szCs w:val="14"/>
              </w:rPr>
              <w:t>Country</w:t>
            </w:r>
          </w:p>
        </w:tc>
        <w:tc>
          <w:tcPr>
            <w:tcW w:w="0" w:type="auto"/>
            <w:shd w:val="clear" w:color="auto" w:fill="D9D9D9" w:themeFill="background1" w:themeFillShade="D9"/>
          </w:tcPr>
          <w:p w:rsidR="00174F92" w:rsidRPr="001A5FE9" w:rsidRDefault="00174F92" w:rsidP="00174F92">
            <w:pPr>
              <w:spacing w:after="200" w:line="276" w:lineRule="auto"/>
              <w:jc w:val="left"/>
              <w:rPr>
                <w:b/>
                <w:bCs/>
                <w:i/>
                <w:iCs/>
                <w:color w:val="auto"/>
                <w:sz w:val="14"/>
                <w:szCs w:val="14"/>
              </w:rPr>
            </w:pPr>
            <w:r w:rsidRPr="001A5FE9">
              <w:rPr>
                <w:b/>
                <w:bCs/>
                <w:i/>
                <w:iCs/>
                <w:color w:val="auto"/>
                <w:sz w:val="14"/>
                <w:szCs w:val="14"/>
              </w:rPr>
              <w:t>Intervention Category</w:t>
            </w:r>
          </w:p>
        </w:tc>
        <w:tc>
          <w:tcPr>
            <w:tcW w:w="0" w:type="auto"/>
            <w:shd w:val="clear" w:color="auto" w:fill="D9D9D9" w:themeFill="background1" w:themeFillShade="D9"/>
          </w:tcPr>
          <w:p w:rsidR="00174F92" w:rsidRPr="001A5FE9" w:rsidRDefault="00174F92" w:rsidP="00174F92">
            <w:pPr>
              <w:spacing w:after="200" w:line="276" w:lineRule="auto"/>
              <w:jc w:val="left"/>
              <w:rPr>
                <w:b/>
                <w:bCs/>
                <w:i/>
                <w:color w:val="auto"/>
                <w:sz w:val="14"/>
                <w:szCs w:val="14"/>
              </w:rPr>
            </w:pPr>
          </w:p>
        </w:tc>
        <w:tc>
          <w:tcPr>
            <w:tcW w:w="0" w:type="auto"/>
            <w:shd w:val="clear" w:color="auto" w:fill="D9D9D9" w:themeFill="background1" w:themeFillShade="D9"/>
          </w:tcPr>
          <w:p w:rsidR="00174F92" w:rsidRPr="001A5FE9" w:rsidRDefault="00174F92" w:rsidP="00174F92">
            <w:pPr>
              <w:spacing w:after="200" w:line="276" w:lineRule="auto"/>
              <w:jc w:val="left"/>
              <w:rPr>
                <w:b/>
                <w:bCs/>
                <w:i/>
                <w:color w:val="auto"/>
                <w:sz w:val="14"/>
                <w:szCs w:val="14"/>
              </w:rPr>
            </w:pPr>
          </w:p>
        </w:tc>
        <w:tc>
          <w:tcPr>
            <w:tcW w:w="0" w:type="auto"/>
            <w:shd w:val="clear" w:color="auto" w:fill="D9D9D9" w:themeFill="background1" w:themeFillShade="D9"/>
          </w:tcPr>
          <w:p w:rsidR="00174F92" w:rsidRPr="001A5FE9" w:rsidRDefault="00174F92" w:rsidP="00174F92">
            <w:pPr>
              <w:spacing w:after="200" w:line="276" w:lineRule="auto"/>
              <w:jc w:val="left"/>
              <w:rPr>
                <w:b/>
                <w:bCs/>
                <w:i/>
                <w:color w:val="auto"/>
                <w:sz w:val="14"/>
                <w:szCs w:val="14"/>
              </w:rPr>
            </w:pPr>
          </w:p>
        </w:tc>
        <w:tc>
          <w:tcPr>
            <w:tcW w:w="0" w:type="auto"/>
            <w:shd w:val="clear" w:color="auto" w:fill="D9D9D9" w:themeFill="background1" w:themeFillShade="D9"/>
          </w:tcPr>
          <w:p w:rsidR="00174F92" w:rsidRPr="001A5FE9" w:rsidRDefault="00174F92" w:rsidP="00174F92">
            <w:pPr>
              <w:spacing w:after="200" w:line="276" w:lineRule="auto"/>
              <w:jc w:val="left"/>
              <w:rPr>
                <w:b/>
                <w:bCs/>
                <w:i/>
                <w:color w:val="auto"/>
                <w:sz w:val="14"/>
                <w:szCs w:val="14"/>
              </w:rPr>
            </w:pPr>
            <w:r w:rsidRPr="001A5FE9">
              <w:rPr>
                <w:b/>
                <w:bCs/>
                <w:i/>
                <w:color w:val="auto"/>
                <w:sz w:val="14"/>
                <w:szCs w:val="14"/>
              </w:rPr>
              <w:t>Impact Evaluation References</w:t>
            </w:r>
          </w:p>
        </w:tc>
      </w:tr>
      <w:tr w:rsidR="00174F92" w:rsidRPr="001A5FE9" w:rsidTr="00174F92">
        <w:trPr>
          <w:trHeight w:hRule="exact" w:val="433"/>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Atención a Crisis</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Nicaragua</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Cash Transfer</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1.Macours and Vakis, 2009</w:t>
            </w:r>
          </w:p>
        </w:tc>
      </w:tr>
      <w:tr w:rsidR="00174F92" w:rsidRPr="001A5FE9" w:rsidTr="00174F92">
        <w:trPr>
          <w:trHeight w:hRule="exact" w:val="460"/>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Bono de Desarrollo Humano</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Ecuador</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Cash Transfer</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2.Oosterbeek et al., 2008</w:t>
            </w:r>
          </w:p>
        </w:tc>
      </w:tr>
      <w:tr w:rsidR="00174F92" w:rsidRPr="001A5FE9" w:rsidTr="00174F92">
        <w:trPr>
          <w:trHeight w:val="413"/>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b/>
                <w:bCs/>
                <w:color w:val="000000" w:themeColor="text1"/>
                <w:sz w:val="14"/>
                <w:szCs w:val="14"/>
                <w:lang w:val="en"/>
              </w:rPr>
              <w:t>Cambodia Education Sector Support Program</w:t>
            </w:r>
            <w:r w:rsidRPr="001A5FE9">
              <w:rPr>
                <w:color w:val="000000" w:themeColor="text1"/>
                <w:sz w:val="14"/>
                <w:szCs w:val="14"/>
              </w:rPr>
              <w:t xml:space="preserve"> Scholarship Program</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Cambodia</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Cash Transfer</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3.Ferreira et al., 2009</w:t>
            </w:r>
          </w:p>
        </w:tc>
      </w:tr>
      <w:tr w:rsidR="00174F92" w:rsidRPr="001A5FE9" w:rsidTr="00174F92">
        <w:trPr>
          <w:trHeight w:val="350"/>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District Primary Education Program</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India</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School Management</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4.Jalan and Glinskaya, 2003</w:t>
            </w:r>
          </w:p>
        </w:tc>
      </w:tr>
      <w:tr w:rsidR="00174F92" w:rsidRPr="001A5FE9" w:rsidTr="00174F92">
        <w:trPr>
          <w:trHeight w:val="467"/>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Female School Stipend Program (as a part of the Punjab Education Sector Reform (PERSP)</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Pakistan</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Cash Transfer</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 </w:t>
            </w: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 </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5.Baez et al., 2011</w:t>
            </w:r>
            <w:r w:rsidRPr="001A5FE9">
              <w:rPr>
                <w:color w:val="auto"/>
                <w:sz w:val="14"/>
                <w:szCs w:val="14"/>
              </w:rPr>
              <w:br/>
              <w:t>6.Hassan, 2010</w:t>
            </w:r>
          </w:p>
        </w:tc>
      </w:tr>
      <w:tr w:rsidR="00174F92" w:rsidRPr="001A5FE9" w:rsidTr="00174F92">
        <w:trPr>
          <w:trHeight w:val="260"/>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Female Secondary Stipend Program</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Bangladesh</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Cash Transfer</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lang w:val="nb-NO"/>
              </w:rPr>
            </w:pPr>
            <w:r w:rsidRPr="001A5FE9">
              <w:rPr>
                <w:bCs/>
                <w:color w:val="auto"/>
                <w:sz w:val="14"/>
                <w:szCs w:val="14"/>
                <w:lang w:val="nb-NO"/>
              </w:rPr>
              <w:t>7.Khandker et al., 2003</w:t>
            </w:r>
            <w:r w:rsidRPr="001A5FE9">
              <w:rPr>
                <w:bCs/>
                <w:color w:val="auto"/>
                <w:sz w:val="14"/>
                <w:szCs w:val="14"/>
                <w:lang w:val="nb-NO"/>
              </w:rPr>
              <w:br/>
              <w:t>8.Heath et al., 2012</w:t>
            </w:r>
          </w:p>
        </w:tc>
      </w:tr>
      <w:tr w:rsidR="00174F92" w:rsidRPr="001A5FE9" w:rsidTr="00174F92">
        <w:trPr>
          <w:trHeight w:val="350"/>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Food For Education Program</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Bangladesh</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School Fee Reduction</w:t>
            </w:r>
          </w:p>
        </w:tc>
        <w:tc>
          <w:tcPr>
            <w:tcW w:w="0" w:type="auto"/>
            <w:hideMark/>
          </w:tcPr>
          <w:p w:rsidR="00174F92" w:rsidRPr="001A5FE9" w:rsidRDefault="00174F92" w:rsidP="00174F92">
            <w:pPr>
              <w:spacing w:after="200" w:line="276" w:lineRule="auto"/>
              <w:jc w:val="left"/>
              <w:rPr>
                <w:bCs/>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9.Ravallion and Wodon, 2000</w:t>
            </w:r>
          </w:p>
        </w:tc>
      </w:tr>
      <w:tr w:rsidR="00174F92" w:rsidRPr="001A5FE9" w:rsidTr="00174F92">
        <w:trPr>
          <w:trHeight w:val="305"/>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 xml:space="preserve">Gratuidad </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Colombia</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School Fee Reduction</w:t>
            </w:r>
          </w:p>
        </w:tc>
        <w:tc>
          <w:tcPr>
            <w:tcW w:w="0" w:type="auto"/>
            <w:hideMark/>
          </w:tcPr>
          <w:p w:rsidR="00174F92" w:rsidRPr="001A5FE9" w:rsidRDefault="00174F92" w:rsidP="00174F92">
            <w:pPr>
              <w:spacing w:after="200" w:line="276" w:lineRule="auto"/>
              <w:jc w:val="left"/>
              <w:rPr>
                <w:bCs/>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10.Barrera-Osorio, 2007</w:t>
            </w:r>
          </w:p>
        </w:tc>
      </w:tr>
      <w:tr w:rsidR="00174F92" w:rsidRPr="00A07247" w:rsidTr="00174F92">
        <w:trPr>
          <w:trHeight w:val="314"/>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ICS-Africa, Child Sponsorship Program (CSP)</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Kenya</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School Supplies</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tcPr>
          <w:p w:rsidR="00174F92" w:rsidRPr="001A5FE9" w:rsidRDefault="00174F92" w:rsidP="00174F92">
            <w:pPr>
              <w:spacing w:after="200" w:line="276" w:lineRule="auto"/>
              <w:jc w:val="left"/>
              <w:rPr>
                <w:color w:val="auto"/>
                <w:sz w:val="14"/>
                <w:szCs w:val="14"/>
                <w:lang w:val="nb-NO"/>
              </w:rPr>
            </w:pPr>
            <w:r w:rsidRPr="001A5FE9">
              <w:rPr>
                <w:color w:val="auto"/>
                <w:sz w:val="14"/>
                <w:szCs w:val="14"/>
                <w:lang w:val="nb-NO"/>
              </w:rPr>
              <w:t>11.Duflo et al., 2006</w:t>
            </w:r>
            <w:r w:rsidRPr="001A5FE9">
              <w:rPr>
                <w:color w:val="auto"/>
                <w:sz w:val="14"/>
                <w:szCs w:val="14"/>
                <w:lang w:val="nb-NO"/>
              </w:rPr>
              <w:br/>
              <w:t>12.Evans et al., 2008</w:t>
            </w:r>
          </w:p>
        </w:tc>
      </w:tr>
      <w:tr w:rsidR="00174F92" w:rsidRPr="001A5FE9" w:rsidTr="00782D77">
        <w:trPr>
          <w:trHeight w:val="296"/>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Japan Fund For Poverty Reduction Scholarship Program</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Cambodia</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Cash Transfer</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13.Filmer and Schady, 2008</w:t>
            </w:r>
          </w:p>
        </w:tc>
      </w:tr>
      <w:tr w:rsidR="00174F92" w:rsidRPr="001A5FE9" w:rsidTr="00174F92">
        <w:trPr>
          <w:trHeight w:val="350"/>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PACES Program</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Colombia</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School voucher</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color w:val="auto"/>
                <w:sz w:val="14"/>
                <w:szCs w:val="14"/>
              </w:rPr>
              <w:sym w:font="Wingdings" w:char="F0FC"/>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14.Angrist et al., 2006</w:t>
            </w:r>
          </w:p>
        </w:tc>
      </w:tr>
      <w:tr w:rsidR="00174F92" w:rsidRPr="001A5FE9" w:rsidTr="00174F92">
        <w:trPr>
          <w:trHeight w:val="449"/>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Promoting Low Cost Private Schooling in Rural Sindh</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Pakistan</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Public Private Partnership</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15.Barrera-Osorio, 2011</w:t>
            </w:r>
          </w:p>
        </w:tc>
      </w:tr>
      <w:tr w:rsidR="00174F92" w:rsidRPr="001A5FE9" w:rsidTr="00174F92">
        <w:trPr>
          <w:trHeight w:val="368"/>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Punjab Education Sector Reforms Programme</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Pakistan</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Cash Transfer</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16.Chaudhury and Parajuli, 2010</w:t>
            </w:r>
          </w:p>
        </w:tc>
      </w:tr>
      <w:tr w:rsidR="00174F92" w:rsidRPr="001A5FE9" w:rsidTr="00174F92">
        <w:trPr>
          <w:trHeight w:val="242"/>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Rural Infrastructure Rehabilitation</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Georgia</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Infrastructure Projects</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17.Lokshin and Yemtsov, 2004</w:t>
            </w:r>
          </w:p>
        </w:tc>
      </w:tr>
      <w:tr w:rsidR="00174F92" w:rsidRPr="001A5FE9" w:rsidTr="00174F92">
        <w:trPr>
          <w:trHeight w:val="377"/>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Save the Children Early Child Development Program</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Mozambique</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Early Childhood Development</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18.Martinez et al., 2012</w:t>
            </w:r>
          </w:p>
        </w:tc>
      </w:tr>
      <w:tr w:rsidR="00174F92" w:rsidRPr="001A5FE9" w:rsidTr="00174F92">
        <w:trPr>
          <w:trHeight w:val="260"/>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School Meals</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Kenya</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School Feeding</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19.Kremer and Vermeersch, 2005</w:t>
            </w:r>
          </w:p>
        </w:tc>
      </w:tr>
      <w:tr w:rsidR="00174F92" w:rsidRPr="001A5FE9" w:rsidTr="00174F92">
        <w:trPr>
          <w:trHeight w:val="260"/>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Tayssir</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Morocco</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Cash Transfer</w:t>
            </w:r>
          </w:p>
        </w:tc>
        <w:tc>
          <w:tcPr>
            <w:tcW w:w="0" w:type="auto"/>
            <w:hideMark/>
          </w:tcPr>
          <w:p w:rsidR="00174F92" w:rsidRPr="001A5FE9" w:rsidRDefault="00174F92" w:rsidP="00174F92">
            <w:pPr>
              <w:spacing w:after="200" w:line="276" w:lineRule="auto"/>
              <w:jc w:val="left"/>
              <w:rPr>
                <w:bCs/>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20.Benhassine, 2013</w:t>
            </w:r>
          </w:p>
        </w:tc>
      </w:tr>
      <w:tr w:rsidR="00174F92" w:rsidRPr="001A5FE9" w:rsidTr="00174F92">
        <w:trPr>
          <w:trHeight w:val="449"/>
          <w:jc w:val="center"/>
        </w:trPr>
        <w:tc>
          <w:tcPr>
            <w:tcW w:w="0" w:type="auto"/>
            <w:hideMark/>
          </w:tcPr>
          <w:p w:rsidR="00174F92" w:rsidRPr="001A5FE9" w:rsidRDefault="00174F92" w:rsidP="001A5FE9">
            <w:pPr>
              <w:spacing w:after="200" w:line="276" w:lineRule="auto"/>
              <w:jc w:val="left"/>
              <w:rPr>
                <w:color w:val="auto"/>
                <w:sz w:val="14"/>
                <w:szCs w:val="14"/>
              </w:rPr>
            </w:pPr>
            <w:r w:rsidRPr="001A5FE9">
              <w:rPr>
                <w:color w:val="auto"/>
                <w:sz w:val="14"/>
                <w:szCs w:val="14"/>
              </w:rPr>
              <w:lastRenderedPageBreak/>
              <w:t>The program implemented by the ANEP (Administración Nacional de Educación Pública)</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Uruguay</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Preschool</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color w:val="auto"/>
                <w:sz w:val="14"/>
                <w:szCs w:val="14"/>
              </w:rPr>
              <w:sym w:font="Wingdings" w:char="F0FC"/>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21.Berlinski et al., 2008</w:t>
            </w:r>
          </w:p>
        </w:tc>
      </w:tr>
      <w:tr w:rsidR="00174F92" w:rsidRPr="001A5FE9" w:rsidTr="00782D77">
        <w:trPr>
          <w:trHeight w:val="440"/>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The Rural Development Project and the Rural Roads and Markets Improvement and Maintenance Project</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Bangladesh</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Infrastructure</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22.Khandker et al., 2009</w:t>
            </w:r>
          </w:p>
        </w:tc>
      </w:tr>
      <w:tr w:rsidR="00174F92" w:rsidRPr="001A5FE9" w:rsidTr="00782D77">
        <w:trPr>
          <w:trHeight w:val="350"/>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Third Elementary Education</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Philippines</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Education</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hideMark/>
          </w:tcPr>
          <w:p w:rsidR="00174F92" w:rsidRPr="001A5FE9" w:rsidRDefault="00174F92" w:rsidP="00174F92">
            <w:pPr>
              <w:spacing w:after="200" w:line="276" w:lineRule="auto"/>
              <w:jc w:val="left"/>
              <w:rPr>
                <w:bCs/>
                <w:color w:val="auto"/>
                <w:sz w:val="14"/>
                <w:szCs w:val="14"/>
              </w:rPr>
            </w:pPr>
            <w:r w:rsidRPr="001A5FE9">
              <w:rPr>
                <w:color w:val="auto"/>
                <w:sz w:val="14"/>
                <w:szCs w:val="14"/>
              </w:rPr>
              <w:sym w:font="Wingdings" w:char="F0FC"/>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23.Yamauchi and Liu, 2013</w:t>
            </w:r>
          </w:p>
        </w:tc>
      </w:tr>
      <w:tr w:rsidR="00174F92" w:rsidRPr="001A5FE9" w:rsidTr="00174F92">
        <w:trPr>
          <w:trHeight w:val="260"/>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Whole School Development</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The Gambia</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School Management</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24.Blimpo and Evans, 2011</w:t>
            </w:r>
          </w:p>
        </w:tc>
      </w:tr>
      <w:tr w:rsidR="00174F92" w:rsidRPr="001A5FE9" w:rsidTr="00782D77">
        <w:trPr>
          <w:trHeight w:val="233"/>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World Food Programme: School Meals and Take Home Rations</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Burkina Faso</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Nutrition</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bCs/>
                <w:color w:val="auto"/>
                <w:sz w:val="14"/>
                <w:szCs w:val="14"/>
              </w:rPr>
            </w:pPr>
            <w:r w:rsidRPr="001A5FE9">
              <w:rPr>
                <w:bCs/>
                <w:color w:val="auto"/>
                <w:sz w:val="14"/>
                <w:szCs w:val="14"/>
              </w:rPr>
              <w:t> </w:t>
            </w:r>
          </w:p>
        </w:tc>
        <w:tc>
          <w:tcPr>
            <w:tcW w:w="0" w:type="auto"/>
          </w:tcPr>
          <w:p w:rsidR="00174F92" w:rsidRPr="001A5FE9" w:rsidRDefault="00174F92" w:rsidP="00174F92">
            <w:pPr>
              <w:spacing w:after="200" w:line="276" w:lineRule="auto"/>
              <w:jc w:val="left"/>
              <w:rPr>
                <w:bCs/>
                <w:color w:val="auto"/>
                <w:sz w:val="14"/>
                <w:szCs w:val="14"/>
              </w:rPr>
            </w:pPr>
            <w:r w:rsidRPr="001A5FE9">
              <w:rPr>
                <w:bCs/>
                <w:color w:val="auto"/>
                <w:sz w:val="14"/>
                <w:szCs w:val="14"/>
              </w:rPr>
              <w:t>25.Kazianga et al., 2009</w:t>
            </w:r>
          </w:p>
        </w:tc>
      </w:tr>
      <w:tr w:rsidR="00174F92" w:rsidRPr="001A5FE9" w:rsidTr="00174F92">
        <w:trPr>
          <w:trHeight w:val="593"/>
          <w:jc w:val="center"/>
        </w:trPr>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t>Zomba Cash Transfer Program</w:t>
            </w:r>
          </w:p>
        </w:tc>
        <w:tc>
          <w:tcPr>
            <w:tcW w:w="1036" w:type="dxa"/>
            <w:hideMark/>
          </w:tcPr>
          <w:p w:rsidR="00174F92" w:rsidRPr="001A5FE9" w:rsidRDefault="00174F92" w:rsidP="00174F92">
            <w:pPr>
              <w:spacing w:after="200" w:line="276" w:lineRule="auto"/>
              <w:jc w:val="left"/>
              <w:rPr>
                <w:color w:val="auto"/>
                <w:sz w:val="14"/>
                <w:szCs w:val="14"/>
              </w:rPr>
            </w:pPr>
            <w:r w:rsidRPr="001A5FE9">
              <w:rPr>
                <w:color w:val="auto"/>
                <w:sz w:val="14"/>
                <w:szCs w:val="14"/>
              </w:rPr>
              <w:t>Malawi</w:t>
            </w:r>
          </w:p>
        </w:tc>
        <w:tc>
          <w:tcPr>
            <w:tcW w:w="0" w:type="auto"/>
          </w:tcPr>
          <w:p w:rsidR="00174F92" w:rsidRPr="001A5FE9" w:rsidRDefault="00174F92" w:rsidP="00174F92">
            <w:pPr>
              <w:spacing w:after="200" w:line="276" w:lineRule="auto"/>
              <w:jc w:val="left"/>
              <w:rPr>
                <w:color w:val="auto"/>
                <w:sz w:val="14"/>
                <w:szCs w:val="14"/>
              </w:rPr>
            </w:pPr>
            <w:r w:rsidRPr="001A5FE9">
              <w:rPr>
                <w:color w:val="auto"/>
                <w:sz w:val="14"/>
                <w:szCs w:val="14"/>
              </w:rPr>
              <w:t>Cash Transfer</w:t>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hideMark/>
          </w:tcPr>
          <w:p w:rsidR="00174F92" w:rsidRPr="001A5FE9" w:rsidRDefault="00174F92" w:rsidP="00174F92">
            <w:pPr>
              <w:spacing w:after="200" w:line="276" w:lineRule="auto"/>
              <w:jc w:val="left"/>
              <w:rPr>
                <w:color w:val="auto"/>
                <w:sz w:val="14"/>
                <w:szCs w:val="14"/>
              </w:rPr>
            </w:pPr>
            <w:r w:rsidRPr="001A5FE9">
              <w:rPr>
                <w:color w:val="auto"/>
                <w:sz w:val="14"/>
                <w:szCs w:val="14"/>
              </w:rPr>
              <w:sym w:font="Wingdings" w:char="F0FC"/>
            </w:r>
          </w:p>
        </w:tc>
        <w:tc>
          <w:tcPr>
            <w:tcW w:w="0" w:type="auto"/>
          </w:tcPr>
          <w:p w:rsidR="00174F92" w:rsidRPr="001A5FE9" w:rsidRDefault="00174F92" w:rsidP="00174F92">
            <w:pPr>
              <w:spacing w:after="200" w:line="276" w:lineRule="auto"/>
              <w:jc w:val="left"/>
              <w:rPr>
                <w:color w:val="auto"/>
                <w:sz w:val="14"/>
                <w:szCs w:val="14"/>
                <w:lang w:val="nb-NO"/>
              </w:rPr>
            </w:pPr>
            <w:r w:rsidRPr="001A5FE9">
              <w:rPr>
                <w:color w:val="auto"/>
                <w:sz w:val="14"/>
                <w:szCs w:val="14"/>
                <w:lang w:val="nb-NO"/>
              </w:rPr>
              <w:t>26.Baird et al., 2011</w:t>
            </w:r>
            <w:r w:rsidRPr="001A5FE9">
              <w:rPr>
                <w:color w:val="auto"/>
                <w:sz w:val="14"/>
                <w:szCs w:val="14"/>
                <w:lang w:val="nb-NO"/>
              </w:rPr>
              <w:br/>
              <w:t>27.Baird et al., 2010</w:t>
            </w:r>
          </w:p>
        </w:tc>
      </w:tr>
    </w:tbl>
    <w:p w:rsidR="00051D7F" w:rsidRPr="008D42A2" w:rsidRDefault="00051D7F" w:rsidP="00C07969">
      <w:pPr>
        <w:pStyle w:val="References"/>
        <w:ind w:left="0" w:firstLine="0"/>
        <w:rPr>
          <w:lang w:val="nb-NO"/>
        </w:rPr>
      </w:pPr>
    </w:p>
    <w:sectPr w:rsidR="00051D7F" w:rsidRPr="008D42A2" w:rsidSect="00174F92">
      <w:pgSz w:w="12240" w:h="15840"/>
      <w:pgMar w:top="1890" w:right="1152" w:bottom="1350" w:left="1152"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CAC946" w15:done="0"/>
  <w15:commentEx w15:paraId="112C6104" w15:paraIdParent="6ECAC946" w15:done="0"/>
  <w15:commentEx w15:paraId="42DE0F01" w15:done="0"/>
  <w15:commentEx w15:paraId="459BF179" w15:paraIdParent="42DE0F01" w15:done="0"/>
  <w15:commentEx w15:paraId="2B8B5751" w15:done="0"/>
  <w15:commentEx w15:paraId="0F004A6E" w15:paraIdParent="2B8B5751" w15:done="0"/>
  <w15:commentEx w15:paraId="4877938A" w15:done="0"/>
  <w15:commentEx w15:paraId="5EDF5A4C" w15:done="0"/>
  <w15:commentEx w15:paraId="33948FF4" w15:done="0"/>
  <w15:commentEx w15:paraId="6DB54D70" w15:paraIdParent="33948FF4" w15:done="0"/>
  <w15:commentEx w15:paraId="0B2FA3E9" w15:done="0"/>
  <w15:commentEx w15:paraId="7720B2E7" w15:paraIdParent="0B2FA3E9" w15:done="0"/>
  <w15:commentEx w15:paraId="64E7BE05" w15:done="0"/>
  <w15:commentEx w15:paraId="11745F70" w15:paraIdParent="64E7BE05" w15:done="0"/>
  <w15:commentEx w15:paraId="51C796EE" w15:done="0"/>
  <w15:commentEx w15:paraId="43142EDF" w15:paraIdParent="51C796EE" w15:done="0"/>
  <w15:commentEx w15:paraId="4E0D1507" w15:done="0"/>
  <w15:commentEx w15:paraId="5A12757B" w15:paraIdParent="4E0D1507" w15:done="0"/>
  <w15:commentEx w15:paraId="0ABA0AA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11D" w:rsidRDefault="00C7211D" w:rsidP="00320855">
      <w:r>
        <w:separator/>
      </w:r>
    </w:p>
    <w:p w:rsidR="00C7211D" w:rsidRDefault="00C7211D" w:rsidP="00320855"/>
  </w:endnote>
  <w:endnote w:type="continuationSeparator" w:id="0">
    <w:p w:rsidR="00C7211D" w:rsidRDefault="00C7211D" w:rsidP="00320855">
      <w:r>
        <w:continuationSeparator/>
      </w:r>
    </w:p>
    <w:p w:rsidR="00C7211D" w:rsidRDefault="00C7211D" w:rsidP="003208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761" w:rsidRPr="00B2355E" w:rsidRDefault="002B2761" w:rsidP="009E4A9A">
    <w:pPr>
      <w:pStyle w:val="Footer"/>
      <w:jc w:val="left"/>
    </w:pPr>
    <w:r>
      <w:rPr>
        <w:bCs/>
        <w:color w:val="000000" w:themeColor="text1"/>
        <w:sz w:val="20"/>
        <w:szCs w:val="20"/>
      </w:rPr>
      <w:t>Leveling the Playing Field:</w:t>
    </w:r>
    <w:r w:rsidRPr="009E4A9A">
      <w:rPr>
        <w:bCs/>
        <w:color w:val="000000" w:themeColor="text1"/>
        <w:sz w:val="20"/>
        <w:szCs w:val="20"/>
      </w:rPr>
      <w:t xml:space="preserve"> </w:t>
    </w:r>
    <w:r w:rsidRPr="009E4A9A">
      <w:rPr>
        <w:bCs/>
        <w:color w:val="000000" w:themeColor="text1"/>
        <w:sz w:val="20"/>
        <w:szCs w:val="20"/>
      </w:rPr>
      <w:br/>
    </w:r>
    <w:r w:rsidRPr="009E4A9A">
      <w:rPr>
        <w:sz w:val="20"/>
        <w:szCs w:val="20"/>
      </w:rPr>
      <w:t>Lessons from World Bank Group Gender Impact Evaluations</w:t>
    </w:r>
    <w:r>
      <w:rPr>
        <w:sz w:val="20"/>
        <w:szCs w:val="20"/>
      </w:rPr>
      <w:t xml:space="preserve"> on Education</w:t>
    </w:r>
    <w:r w:rsidRPr="00B2355E">
      <w:tab/>
    </w:r>
    <w:r w:rsidRPr="00B2355E">
      <w:fldChar w:fldCharType="begin"/>
    </w:r>
    <w:r w:rsidRPr="00B2355E">
      <w:instrText xml:space="preserve"> PAGE   \* MERGEFORMAT </w:instrText>
    </w:r>
    <w:r w:rsidRPr="00B2355E">
      <w:fldChar w:fldCharType="separate"/>
    </w:r>
    <w:r w:rsidR="0068566E" w:rsidRPr="0068566E">
      <w:rPr>
        <w:rFonts w:asciiTheme="minorHAnsi" w:hAnsiTheme="minorHAnsi" w:cstheme="minorBidi"/>
        <w:noProof/>
      </w:rPr>
      <w:t>1</w:t>
    </w:r>
    <w:r w:rsidRPr="00B235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11D" w:rsidRDefault="00C7211D" w:rsidP="00320855">
      <w:r>
        <w:separator/>
      </w:r>
    </w:p>
    <w:p w:rsidR="00C7211D" w:rsidRDefault="00C7211D" w:rsidP="00320855"/>
  </w:footnote>
  <w:footnote w:type="continuationSeparator" w:id="0">
    <w:p w:rsidR="00C7211D" w:rsidRDefault="00C7211D" w:rsidP="00320855">
      <w:r>
        <w:continuationSeparator/>
      </w:r>
    </w:p>
    <w:p w:rsidR="00C7211D" w:rsidRDefault="00C7211D" w:rsidP="003208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761" w:rsidRDefault="002B2761" w:rsidP="00320855">
    <w:pPr>
      <w:pStyle w:val="Header"/>
    </w:pPr>
    <w:r>
      <w:rPr>
        <w:noProof/>
      </w:rPr>
      <w:drawing>
        <wp:anchor distT="0" distB="0" distL="114300" distR="114300" simplePos="0" relativeHeight="251658240" behindDoc="1" locked="0" layoutInCell="1" allowOverlap="1" wp14:anchorId="458B25F0" wp14:editId="4134BEAF">
          <wp:simplePos x="0" y="0"/>
          <wp:positionH relativeFrom="page">
            <wp:posOffset>144145</wp:posOffset>
          </wp:positionH>
          <wp:positionV relativeFrom="page">
            <wp:posOffset>144145</wp:posOffset>
          </wp:positionV>
          <wp:extent cx="7482840" cy="457200"/>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3725_Policy_Briefs_Master.jpg"/>
                  <pic:cNvPicPr/>
                </pic:nvPicPr>
                <pic:blipFill>
                  <a:blip r:embed="rId1">
                    <a:extLst>
                      <a:ext uri="{28A0092B-C50C-407E-A947-70E740481C1C}">
                        <a14:useLocalDpi xmlns:a14="http://schemas.microsoft.com/office/drawing/2010/main" val="0"/>
                      </a:ext>
                    </a:extLst>
                  </a:blip>
                  <a:stretch>
                    <a:fillRect/>
                  </a:stretch>
                </pic:blipFill>
                <pic:spPr>
                  <a:xfrm>
                    <a:off x="0" y="0"/>
                    <a:ext cx="7482840" cy="45720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A6756"/>
    <w:multiLevelType w:val="hybridMultilevel"/>
    <w:tmpl w:val="FBEC0F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7D0CC2"/>
    <w:multiLevelType w:val="hybridMultilevel"/>
    <w:tmpl w:val="6D502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937626"/>
    <w:multiLevelType w:val="hybridMultilevel"/>
    <w:tmpl w:val="BC48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D941B7"/>
    <w:multiLevelType w:val="hybridMultilevel"/>
    <w:tmpl w:val="A7C6D144"/>
    <w:lvl w:ilvl="0" w:tplc="A0067074">
      <w:start w:val="1"/>
      <w:numFmt w:val="bullet"/>
      <w:pStyle w:val="ListParagraph"/>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Parsons">
    <w15:presenceInfo w15:providerId="Windows Live" w15:userId="434778bdfef416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107"/>
    <w:rsid w:val="000012CA"/>
    <w:rsid w:val="000031FA"/>
    <w:rsid w:val="00004121"/>
    <w:rsid w:val="000063D2"/>
    <w:rsid w:val="00007566"/>
    <w:rsid w:val="000075DE"/>
    <w:rsid w:val="0001291D"/>
    <w:rsid w:val="00015F5F"/>
    <w:rsid w:val="00022841"/>
    <w:rsid w:val="000243FF"/>
    <w:rsid w:val="000316AA"/>
    <w:rsid w:val="00033856"/>
    <w:rsid w:val="00035330"/>
    <w:rsid w:val="0003566A"/>
    <w:rsid w:val="000370FD"/>
    <w:rsid w:val="0004042C"/>
    <w:rsid w:val="00041129"/>
    <w:rsid w:val="000510CB"/>
    <w:rsid w:val="00051D7F"/>
    <w:rsid w:val="0005280E"/>
    <w:rsid w:val="000543DD"/>
    <w:rsid w:val="00054432"/>
    <w:rsid w:val="000545C4"/>
    <w:rsid w:val="00057733"/>
    <w:rsid w:val="00071427"/>
    <w:rsid w:val="00087AFD"/>
    <w:rsid w:val="00092379"/>
    <w:rsid w:val="00095187"/>
    <w:rsid w:val="00095E1E"/>
    <w:rsid w:val="00096527"/>
    <w:rsid w:val="000974B0"/>
    <w:rsid w:val="000A03A7"/>
    <w:rsid w:val="000A133D"/>
    <w:rsid w:val="000A599B"/>
    <w:rsid w:val="000A697F"/>
    <w:rsid w:val="000A701E"/>
    <w:rsid w:val="000B26D8"/>
    <w:rsid w:val="000B5866"/>
    <w:rsid w:val="000B6441"/>
    <w:rsid w:val="000B6FE2"/>
    <w:rsid w:val="000C27DE"/>
    <w:rsid w:val="000C4B0A"/>
    <w:rsid w:val="000C54DB"/>
    <w:rsid w:val="000C5ED2"/>
    <w:rsid w:val="000D60BB"/>
    <w:rsid w:val="000D66BF"/>
    <w:rsid w:val="000D7B32"/>
    <w:rsid w:val="000E4AB7"/>
    <w:rsid w:val="000E54B2"/>
    <w:rsid w:val="000E7899"/>
    <w:rsid w:val="000F0D53"/>
    <w:rsid w:val="000F228B"/>
    <w:rsid w:val="00104CA4"/>
    <w:rsid w:val="00105D9B"/>
    <w:rsid w:val="00105DDA"/>
    <w:rsid w:val="00106AA8"/>
    <w:rsid w:val="00107F0F"/>
    <w:rsid w:val="00110606"/>
    <w:rsid w:val="00113EE0"/>
    <w:rsid w:val="00120057"/>
    <w:rsid w:val="00120413"/>
    <w:rsid w:val="00122830"/>
    <w:rsid w:val="00124B1E"/>
    <w:rsid w:val="001344E2"/>
    <w:rsid w:val="001400FC"/>
    <w:rsid w:val="00140EE9"/>
    <w:rsid w:val="00142907"/>
    <w:rsid w:val="0014577E"/>
    <w:rsid w:val="00151B52"/>
    <w:rsid w:val="00155044"/>
    <w:rsid w:val="001612A1"/>
    <w:rsid w:val="0016586D"/>
    <w:rsid w:val="00174F92"/>
    <w:rsid w:val="00186577"/>
    <w:rsid w:val="001950AF"/>
    <w:rsid w:val="001A2811"/>
    <w:rsid w:val="001A535A"/>
    <w:rsid w:val="001A5FE9"/>
    <w:rsid w:val="001B0CA7"/>
    <w:rsid w:val="001B562E"/>
    <w:rsid w:val="001B68AE"/>
    <w:rsid w:val="001C093C"/>
    <w:rsid w:val="001D105A"/>
    <w:rsid w:val="001D4A9A"/>
    <w:rsid w:val="001E4835"/>
    <w:rsid w:val="001E6883"/>
    <w:rsid w:val="001E68A8"/>
    <w:rsid w:val="00202178"/>
    <w:rsid w:val="00206B41"/>
    <w:rsid w:val="00207AE6"/>
    <w:rsid w:val="00212721"/>
    <w:rsid w:val="0021696C"/>
    <w:rsid w:val="00217587"/>
    <w:rsid w:val="00236238"/>
    <w:rsid w:val="0024697D"/>
    <w:rsid w:val="00247970"/>
    <w:rsid w:val="0025199C"/>
    <w:rsid w:val="00260521"/>
    <w:rsid w:val="0027473D"/>
    <w:rsid w:val="0027637B"/>
    <w:rsid w:val="002766A7"/>
    <w:rsid w:val="002824BD"/>
    <w:rsid w:val="00284D33"/>
    <w:rsid w:val="00285F5D"/>
    <w:rsid w:val="002923F7"/>
    <w:rsid w:val="00292561"/>
    <w:rsid w:val="00294C96"/>
    <w:rsid w:val="002951F4"/>
    <w:rsid w:val="00296DF0"/>
    <w:rsid w:val="00297B6D"/>
    <w:rsid w:val="002A048B"/>
    <w:rsid w:val="002A6E45"/>
    <w:rsid w:val="002A7DAD"/>
    <w:rsid w:val="002B2761"/>
    <w:rsid w:val="002C33C1"/>
    <w:rsid w:val="002C34B6"/>
    <w:rsid w:val="002C5B7F"/>
    <w:rsid w:val="002D0273"/>
    <w:rsid w:val="002D1193"/>
    <w:rsid w:val="002D7AF2"/>
    <w:rsid w:val="002E5BC2"/>
    <w:rsid w:val="002F197C"/>
    <w:rsid w:val="002F349D"/>
    <w:rsid w:val="002F3FC3"/>
    <w:rsid w:val="002F5C5B"/>
    <w:rsid w:val="002F780C"/>
    <w:rsid w:val="00301C7F"/>
    <w:rsid w:val="0030247E"/>
    <w:rsid w:val="00304525"/>
    <w:rsid w:val="003048FD"/>
    <w:rsid w:val="00312AC3"/>
    <w:rsid w:val="00320033"/>
    <w:rsid w:val="003201C9"/>
    <w:rsid w:val="00320855"/>
    <w:rsid w:val="003244B6"/>
    <w:rsid w:val="0032479A"/>
    <w:rsid w:val="00327F79"/>
    <w:rsid w:val="0033582B"/>
    <w:rsid w:val="003429B5"/>
    <w:rsid w:val="0034455D"/>
    <w:rsid w:val="00345E08"/>
    <w:rsid w:val="00352BEE"/>
    <w:rsid w:val="003542C8"/>
    <w:rsid w:val="00354C78"/>
    <w:rsid w:val="00362956"/>
    <w:rsid w:val="0036393E"/>
    <w:rsid w:val="003707BF"/>
    <w:rsid w:val="00370D63"/>
    <w:rsid w:val="0037442F"/>
    <w:rsid w:val="00374AAB"/>
    <w:rsid w:val="00384916"/>
    <w:rsid w:val="00385EF7"/>
    <w:rsid w:val="0039346B"/>
    <w:rsid w:val="0039396A"/>
    <w:rsid w:val="00397459"/>
    <w:rsid w:val="003A0CC0"/>
    <w:rsid w:val="003A5A14"/>
    <w:rsid w:val="003A68F1"/>
    <w:rsid w:val="003C4895"/>
    <w:rsid w:val="003C6513"/>
    <w:rsid w:val="003C6B37"/>
    <w:rsid w:val="003C7CC7"/>
    <w:rsid w:val="003D38F4"/>
    <w:rsid w:val="003D759B"/>
    <w:rsid w:val="003E0DF3"/>
    <w:rsid w:val="003E33B1"/>
    <w:rsid w:val="003E3611"/>
    <w:rsid w:val="0040196C"/>
    <w:rsid w:val="00402AB1"/>
    <w:rsid w:val="00427541"/>
    <w:rsid w:val="00434D6F"/>
    <w:rsid w:val="00437606"/>
    <w:rsid w:val="004450AC"/>
    <w:rsid w:val="00451A67"/>
    <w:rsid w:val="00454525"/>
    <w:rsid w:val="0046348C"/>
    <w:rsid w:val="004644FE"/>
    <w:rsid w:val="00464A28"/>
    <w:rsid w:val="004705E8"/>
    <w:rsid w:val="00471322"/>
    <w:rsid w:val="0047206B"/>
    <w:rsid w:val="0048253B"/>
    <w:rsid w:val="00482AF1"/>
    <w:rsid w:val="004842FC"/>
    <w:rsid w:val="0048443E"/>
    <w:rsid w:val="00485BDB"/>
    <w:rsid w:val="004B191A"/>
    <w:rsid w:val="004B31CC"/>
    <w:rsid w:val="004B6C02"/>
    <w:rsid w:val="004C02E0"/>
    <w:rsid w:val="004C35E1"/>
    <w:rsid w:val="004C616A"/>
    <w:rsid w:val="004D3D36"/>
    <w:rsid w:val="004E4A2E"/>
    <w:rsid w:val="004E7834"/>
    <w:rsid w:val="00500BDB"/>
    <w:rsid w:val="00504E0C"/>
    <w:rsid w:val="00506999"/>
    <w:rsid w:val="00507579"/>
    <w:rsid w:val="00510D29"/>
    <w:rsid w:val="00513A33"/>
    <w:rsid w:val="00516BDE"/>
    <w:rsid w:val="00516C00"/>
    <w:rsid w:val="00532DD3"/>
    <w:rsid w:val="00532E74"/>
    <w:rsid w:val="0054276A"/>
    <w:rsid w:val="00551498"/>
    <w:rsid w:val="00555842"/>
    <w:rsid w:val="0056134E"/>
    <w:rsid w:val="00561FC0"/>
    <w:rsid w:val="00562DBE"/>
    <w:rsid w:val="00574265"/>
    <w:rsid w:val="00581582"/>
    <w:rsid w:val="0059342C"/>
    <w:rsid w:val="005949A7"/>
    <w:rsid w:val="00596328"/>
    <w:rsid w:val="005A044D"/>
    <w:rsid w:val="005A0C7C"/>
    <w:rsid w:val="005A14D4"/>
    <w:rsid w:val="005A35B0"/>
    <w:rsid w:val="005A4FD5"/>
    <w:rsid w:val="005A6B08"/>
    <w:rsid w:val="005B27E4"/>
    <w:rsid w:val="005B3739"/>
    <w:rsid w:val="005B3855"/>
    <w:rsid w:val="005C0BF6"/>
    <w:rsid w:val="005C1293"/>
    <w:rsid w:val="005C216B"/>
    <w:rsid w:val="005D179C"/>
    <w:rsid w:val="005D3D68"/>
    <w:rsid w:val="005D4FE6"/>
    <w:rsid w:val="005D7C63"/>
    <w:rsid w:val="005E0CFF"/>
    <w:rsid w:val="005F11E1"/>
    <w:rsid w:val="005F2C2C"/>
    <w:rsid w:val="00604ABD"/>
    <w:rsid w:val="00606BDD"/>
    <w:rsid w:val="006070E1"/>
    <w:rsid w:val="006075EA"/>
    <w:rsid w:val="006144AE"/>
    <w:rsid w:val="0061480E"/>
    <w:rsid w:val="00614C5A"/>
    <w:rsid w:val="006246E8"/>
    <w:rsid w:val="00633110"/>
    <w:rsid w:val="00637FAA"/>
    <w:rsid w:val="0064078C"/>
    <w:rsid w:val="006416A4"/>
    <w:rsid w:val="00642FE3"/>
    <w:rsid w:val="006462C9"/>
    <w:rsid w:val="00650716"/>
    <w:rsid w:val="00652775"/>
    <w:rsid w:val="006533FE"/>
    <w:rsid w:val="00655ADD"/>
    <w:rsid w:val="00664B61"/>
    <w:rsid w:val="00667807"/>
    <w:rsid w:val="00672DD2"/>
    <w:rsid w:val="00677FAF"/>
    <w:rsid w:val="0068566E"/>
    <w:rsid w:val="00685BE1"/>
    <w:rsid w:val="00686745"/>
    <w:rsid w:val="00694C09"/>
    <w:rsid w:val="00694FFE"/>
    <w:rsid w:val="00696450"/>
    <w:rsid w:val="00696A9F"/>
    <w:rsid w:val="006A2C48"/>
    <w:rsid w:val="006B3839"/>
    <w:rsid w:val="006B4C3B"/>
    <w:rsid w:val="006B4FFF"/>
    <w:rsid w:val="006B6CFD"/>
    <w:rsid w:val="006D150C"/>
    <w:rsid w:val="006D2B78"/>
    <w:rsid w:val="006D32A8"/>
    <w:rsid w:val="006D64C2"/>
    <w:rsid w:val="006D75BD"/>
    <w:rsid w:val="006E23D2"/>
    <w:rsid w:val="006E4352"/>
    <w:rsid w:val="006E5B54"/>
    <w:rsid w:val="006E7E40"/>
    <w:rsid w:val="006F4703"/>
    <w:rsid w:val="00700317"/>
    <w:rsid w:val="0070057C"/>
    <w:rsid w:val="00704E2C"/>
    <w:rsid w:val="00712446"/>
    <w:rsid w:val="00721A84"/>
    <w:rsid w:val="00726CE5"/>
    <w:rsid w:val="007274B1"/>
    <w:rsid w:val="007407DD"/>
    <w:rsid w:val="007422DF"/>
    <w:rsid w:val="00742E08"/>
    <w:rsid w:val="00743CF6"/>
    <w:rsid w:val="00753CB2"/>
    <w:rsid w:val="00757222"/>
    <w:rsid w:val="00764BF5"/>
    <w:rsid w:val="007728CA"/>
    <w:rsid w:val="0077504B"/>
    <w:rsid w:val="007764D4"/>
    <w:rsid w:val="00777949"/>
    <w:rsid w:val="00781323"/>
    <w:rsid w:val="00782D77"/>
    <w:rsid w:val="00786723"/>
    <w:rsid w:val="007A0F2E"/>
    <w:rsid w:val="007A3844"/>
    <w:rsid w:val="007A40EF"/>
    <w:rsid w:val="007A6D5A"/>
    <w:rsid w:val="007B33B0"/>
    <w:rsid w:val="007C1553"/>
    <w:rsid w:val="007C7E8A"/>
    <w:rsid w:val="007D6F51"/>
    <w:rsid w:val="007E1070"/>
    <w:rsid w:val="007E1786"/>
    <w:rsid w:val="007E7D3B"/>
    <w:rsid w:val="0080506B"/>
    <w:rsid w:val="008079DD"/>
    <w:rsid w:val="00812EDD"/>
    <w:rsid w:val="00813B4B"/>
    <w:rsid w:val="00820775"/>
    <w:rsid w:val="008326B4"/>
    <w:rsid w:val="008343F6"/>
    <w:rsid w:val="008346BF"/>
    <w:rsid w:val="00836F28"/>
    <w:rsid w:val="008459A5"/>
    <w:rsid w:val="00846D4B"/>
    <w:rsid w:val="00862F1C"/>
    <w:rsid w:val="0087270C"/>
    <w:rsid w:val="00874E62"/>
    <w:rsid w:val="00874FA6"/>
    <w:rsid w:val="008955D9"/>
    <w:rsid w:val="00897B5D"/>
    <w:rsid w:val="008A0459"/>
    <w:rsid w:val="008A0E68"/>
    <w:rsid w:val="008B5C6A"/>
    <w:rsid w:val="008C44CF"/>
    <w:rsid w:val="008C7887"/>
    <w:rsid w:val="008D42A2"/>
    <w:rsid w:val="008D6A56"/>
    <w:rsid w:val="008E3A9B"/>
    <w:rsid w:val="008E45DC"/>
    <w:rsid w:val="008E6E35"/>
    <w:rsid w:val="008F0B16"/>
    <w:rsid w:val="008F41BD"/>
    <w:rsid w:val="008F7764"/>
    <w:rsid w:val="009026C0"/>
    <w:rsid w:val="00904D9C"/>
    <w:rsid w:val="009062B6"/>
    <w:rsid w:val="009074E6"/>
    <w:rsid w:val="00911E8B"/>
    <w:rsid w:val="00917B0E"/>
    <w:rsid w:val="00923E11"/>
    <w:rsid w:val="00935D24"/>
    <w:rsid w:val="00937429"/>
    <w:rsid w:val="00937D92"/>
    <w:rsid w:val="0095051A"/>
    <w:rsid w:val="00955AF5"/>
    <w:rsid w:val="00960FBB"/>
    <w:rsid w:val="00967EAD"/>
    <w:rsid w:val="00971EF9"/>
    <w:rsid w:val="00972886"/>
    <w:rsid w:val="00973C0B"/>
    <w:rsid w:val="009747A6"/>
    <w:rsid w:val="00974C25"/>
    <w:rsid w:val="009754C9"/>
    <w:rsid w:val="00976312"/>
    <w:rsid w:val="00976579"/>
    <w:rsid w:val="00976BB5"/>
    <w:rsid w:val="00980B95"/>
    <w:rsid w:val="00980EA8"/>
    <w:rsid w:val="00982D80"/>
    <w:rsid w:val="009870E4"/>
    <w:rsid w:val="00987145"/>
    <w:rsid w:val="00991038"/>
    <w:rsid w:val="00991B37"/>
    <w:rsid w:val="00994695"/>
    <w:rsid w:val="009946CF"/>
    <w:rsid w:val="00997025"/>
    <w:rsid w:val="009A7028"/>
    <w:rsid w:val="009B091A"/>
    <w:rsid w:val="009B268F"/>
    <w:rsid w:val="009B2C2A"/>
    <w:rsid w:val="009B37F1"/>
    <w:rsid w:val="009C216F"/>
    <w:rsid w:val="009C40C9"/>
    <w:rsid w:val="009C59AA"/>
    <w:rsid w:val="009D2758"/>
    <w:rsid w:val="009D5D35"/>
    <w:rsid w:val="009D6A2A"/>
    <w:rsid w:val="009E4A9A"/>
    <w:rsid w:val="009E7844"/>
    <w:rsid w:val="009F1B8E"/>
    <w:rsid w:val="00A07247"/>
    <w:rsid w:val="00A13D19"/>
    <w:rsid w:val="00A21558"/>
    <w:rsid w:val="00A24B6E"/>
    <w:rsid w:val="00A341E3"/>
    <w:rsid w:val="00A349FC"/>
    <w:rsid w:val="00A351D4"/>
    <w:rsid w:val="00A3752E"/>
    <w:rsid w:val="00A53F46"/>
    <w:rsid w:val="00A5473C"/>
    <w:rsid w:val="00A60D90"/>
    <w:rsid w:val="00A61472"/>
    <w:rsid w:val="00A65303"/>
    <w:rsid w:val="00A70253"/>
    <w:rsid w:val="00A77010"/>
    <w:rsid w:val="00A77826"/>
    <w:rsid w:val="00A80EF1"/>
    <w:rsid w:val="00A870F3"/>
    <w:rsid w:val="00A8711E"/>
    <w:rsid w:val="00A95FBA"/>
    <w:rsid w:val="00AA200D"/>
    <w:rsid w:val="00AA32D8"/>
    <w:rsid w:val="00AA4881"/>
    <w:rsid w:val="00AB1A2E"/>
    <w:rsid w:val="00AB1C38"/>
    <w:rsid w:val="00AB4ADD"/>
    <w:rsid w:val="00AB645F"/>
    <w:rsid w:val="00AB68F2"/>
    <w:rsid w:val="00AC0CEA"/>
    <w:rsid w:val="00AD07C1"/>
    <w:rsid w:val="00AD1360"/>
    <w:rsid w:val="00AE1370"/>
    <w:rsid w:val="00AE547F"/>
    <w:rsid w:val="00AF336C"/>
    <w:rsid w:val="00AF4021"/>
    <w:rsid w:val="00AF74EC"/>
    <w:rsid w:val="00AF796E"/>
    <w:rsid w:val="00B204E4"/>
    <w:rsid w:val="00B210ED"/>
    <w:rsid w:val="00B2355E"/>
    <w:rsid w:val="00B25E62"/>
    <w:rsid w:val="00B35EAC"/>
    <w:rsid w:val="00B37169"/>
    <w:rsid w:val="00B37672"/>
    <w:rsid w:val="00B37EF9"/>
    <w:rsid w:val="00B41F36"/>
    <w:rsid w:val="00B42E23"/>
    <w:rsid w:val="00B44E22"/>
    <w:rsid w:val="00B50FCC"/>
    <w:rsid w:val="00B5125B"/>
    <w:rsid w:val="00B517DB"/>
    <w:rsid w:val="00B52D9F"/>
    <w:rsid w:val="00B56238"/>
    <w:rsid w:val="00B63E8E"/>
    <w:rsid w:val="00B6604D"/>
    <w:rsid w:val="00B66631"/>
    <w:rsid w:val="00B67B41"/>
    <w:rsid w:val="00B72892"/>
    <w:rsid w:val="00B748DA"/>
    <w:rsid w:val="00B84916"/>
    <w:rsid w:val="00B91107"/>
    <w:rsid w:val="00B91D2F"/>
    <w:rsid w:val="00B976AF"/>
    <w:rsid w:val="00B97F46"/>
    <w:rsid w:val="00BA0F1E"/>
    <w:rsid w:val="00BA1B5B"/>
    <w:rsid w:val="00BA2ACF"/>
    <w:rsid w:val="00BB11D1"/>
    <w:rsid w:val="00BB42DF"/>
    <w:rsid w:val="00BB56D9"/>
    <w:rsid w:val="00BB5B28"/>
    <w:rsid w:val="00BB6C14"/>
    <w:rsid w:val="00BC169A"/>
    <w:rsid w:val="00BC4FE4"/>
    <w:rsid w:val="00BC570D"/>
    <w:rsid w:val="00BC635F"/>
    <w:rsid w:val="00BD23C3"/>
    <w:rsid w:val="00BD4711"/>
    <w:rsid w:val="00BD6320"/>
    <w:rsid w:val="00BE3F4E"/>
    <w:rsid w:val="00BE4A69"/>
    <w:rsid w:val="00BE4F8C"/>
    <w:rsid w:val="00BE71E4"/>
    <w:rsid w:val="00BF0AE5"/>
    <w:rsid w:val="00BF0DBF"/>
    <w:rsid w:val="00BF5A80"/>
    <w:rsid w:val="00C01388"/>
    <w:rsid w:val="00C02C22"/>
    <w:rsid w:val="00C07969"/>
    <w:rsid w:val="00C10C0C"/>
    <w:rsid w:val="00C14F4F"/>
    <w:rsid w:val="00C23D3C"/>
    <w:rsid w:val="00C269A1"/>
    <w:rsid w:val="00C3357A"/>
    <w:rsid w:val="00C40E59"/>
    <w:rsid w:val="00C42D45"/>
    <w:rsid w:val="00C44817"/>
    <w:rsid w:val="00C458F0"/>
    <w:rsid w:val="00C562E6"/>
    <w:rsid w:val="00C579C2"/>
    <w:rsid w:val="00C65C8D"/>
    <w:rsid w:val="00C7211D"/>
    <w:rsid w:val="00C770F7"/>
    <w:rsid w:val="00C939C3"/>
    <w:rsid w:val="00C942A2"/>
    <w:rsid w:val="00CA4BE8"/>
    <w:rsid w:val="00CA75EE"/>
    <w:rsid w:val="00CB2DD6"/>
    <w:rsid w:val="00CB4B0D"/>
    <w:rsid w:val="00CB58E7"/>
    <w:rsid w:val="00CB6716"/>
    <w:rsid w:val="00CC4AA8"/>
    <w:rsid w:val="00CC7B59"/>
    <w:rsid w:val="00CD0AEE"/>
    <w:rsid w:val="00CD1224"/>
    <w:rsid w:val="00CD2230"/>
    <w:rsid w:val="00CD75E9"/>
    <w:rsid w:val="00CE29A8"/>
    <w:rsid w:val="00CF068B"/>
    <w:rsid w:val="00CF2C1C"/>
    <w:rsid w:val="00CF3DA6"/>
    <w:rsid w:val="00D03C74"/>
    <w:rsid w:val="00D10036"/>
    <w:rsid w:val="00D20F26"/>
    <w:rsid w:val="00D218FD"/>
    <w:rsid w:val="00D244F8"/>
    <w:rsid w:val="00D30AA1"/>
    <w:rsid w:val="00D31175"/>
    <w:rsid w:val="00D31FE9"/>
    <w:rsid w:val="00D346B3"/>
    <w:rsid w:val="00D40D2E"/>
    <w:rsid w:val="00D46BD0"/>
    <w:rsid w:val="00D46C92"/>
    <w:rsid w:val="00D4706D"/>
    <w:rsid w:val="00D602D1"/>
    <w:rsid w:val="00D63126"/>
    <w:rsid w:val="00D86D8C"/>
    <w:rsid w:val="00D87D4C"/>
    <w:rsid w:val="00D9273C"/>
    <w:rsid w:val="00D94CCE"/>
    <w:rsid w:val="00DA09A2"/>
    <w:rsid w:val="00DA3DCB"/>
    <w:rsid w:val="00DA54E7"/>
    <w:rsid w:val="00DA6565"/>
    <w:rsid w:val="00DA7413"/>
    <w:rsid w:val="00DB2404"/>
    <w:rsid w:val="00DC276B"/>
    <w:rsid w:val="00DC2A41"/>
    <w:rsid w:val="00DD032A"/>
    <w:rsid w:val="00DD2477"/>
    <w:rsid w:val="00DD7BAB"/>
    <w:rsid w:val="00DE1724"/>
    <w:rsid w:val="00E011BA"/>
    <w:rsid w:val="00E02729"/>
    <w:rsid w:val="00E12028"/>
    <w:rsid w:val="00E17452"/>
    <w:rsid w:val="00E22B2F"/>
    <w:rsid w:val="00E237F2"/>
    <w:rsid w:val="00E33C66"/>
    <w:rsid w:val="00E35282"/>
    <w:rsid w:val="00E372A6"/>
    <w:rsid w:val="00E41D28"/>
    <w:rsid w:val="00E46602"/>
    <w:rsid w:val="00E46F8A"/>
    <w:rsid w:val="00E47E42"/>
    <w:rsid w:val="00E508A1"/>
    <w:rsid w:val="00E50CF1"/>
    <w:rsid w:val="00E51B5E"/>
    <w:rsid w:val="00E52B55"/>
    <w:rsid w:val="00E52C34"/>
    <w:rsid w:val="00E54BE2"/>
    <w:rsid w:val="00E60A63"/>
    <w:rsid w:val="00E6150D"/>
    <w:rsid w:val="00E63FEB"/>
    <w:rsid w:val="00E7499E"/>
    <w:rsid w:val="00E90CC3"/>
    <w:rsid w:val="00E9415A"/>
    <w:rsid w:val="00E95329"/>
    <w:rsid w:val="00E961F7"/>
    <w:rsid w:val="00E9768E"/>
    <w:rsid w:val="00E97D1F"/>
    <w:rsid w:val="00EA3060"/>
    <w:rsid w:val="00EA38AB"/>
    <w:rsid w:val="00EA3982"/>
    <w:rsid w:val="00EA7128"/>
    <w:rsid w:val="00EB4C01"/>
    <w:rsid w:val="00EB69D8"/>
    <w:rsid w:val="00EC16DB"/>
    <w:rsid w:val="00EC4978"/>
    <w:rsid w:val="00ED2588"/>
    <w:rsid w:val="00EE0C52"/>
    <w:rsid w:val="00EE0C98"/>
    <w:rsid w:val="00EF15C0"/>
    <w:rsid w:val="00EF38E0"/>
    <w:rsid w:val="00EF4004"/>
    <w:rsid w:val="00EF54C1"/>
    <w:rsid w:val="00EF6A02"/>
    <w:rsid w:val="00F01C16"/>
    <w:rsid w:val="00F043D8"/>
    <w:rsid w:val="00F05FEC"/>
    <w:rsid w:val="00F073C0"/>
    <w:rsid w:val="00F07495"/>
    <w:rsid w:val="00F1334C"/>
    <w:rsid w:val="00F13BEB"/>
    <w:rsid w:val="00F14406"/>
    <w:rsid w:val="00F14CCE"/>
    <w:rsid w:val="00F20ED2"/>
    <w:rsid w:val="00F21C6E"/>
    <w:rsid w:val="00F2237D"/>
    <w:rsid w:val="00F23EC8"/>
    <w:rsid w:val="00F26866"/>
    <w:rsid w:val="00F30243"/>
    <w:rsid w:val="00F31D72"/>
    <w:rsid w:val="00F32D46"/>
    <w:rsid w:val="00F37042"/>
    <w:rsid w:val="00F37C16"/>
    <w:rsid w:val="00F37FB7"/>
    <w:rsid w:val="00F477FE"/>
    <w:rsid w:val="00F47CD6"/>
    <w:rsid w:val="00F502EB"/>
    <w:rsid w:val="00F511E4"/>
    <w:rsid w:val="00F572AB"/>
    <w:rsid w:val="00F61C89"/>
    <w:rsid w:val="00F62518"/>
    <w:rsid w:val="00F84E67"/>
    <w:rsid w:val="00F87F7A"/>
    <w:rsid w:val="00F92076"/>
    <w:rsid w:val="00FA05EC"/>
    <w:rsid w:val="00FA4D91"/>
    <w:rsid w:val="00FA7933"/>
    <w:rsid w:val="00FB0AAC"/>
    <w:rsid w:val="00FB202B"/>
    <w:rsid w:val="00FB62E5"/>
    <w:rsid w:val="00FC0ABD"/>
    <w:rsid w:val="00FC1EF3"/>
    <w:rsid w:val="00FC2A34"/>
    <w:rsid w:val="00FC7701"/>
    <w:rsid w:val="00FD5432"/>
    <w:rsid w:val="00FD6B31"/>
    <w:rsid w:val="00FD7822"/>
    <w:rsid w:val="00FE0076"/>
    <w:rsid w:val="00FE0451"/>
    <w:rsid w:val="00FE2F87"/>
    <w:rsid w:val="00FE7554"/>
    <w:rsid w:val="00FF18FD"/>
    <w:rsid w:val="00FF541C"/>
    <w:rsid w:val="00FF72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855"/>
    <w:pPr>
      <w:spacing w:after="0" w:line="240" w:lineRule="auto"/>
      <w:jc w:val="both"/>
    </w:pPr>
    <w:rPr>
      <w:rFonts w:ascii="Arial" w:hAnsi="Arial" w:cs="Arial"/>
      <w:color w:val="000000"/>
    </w:rPr>
  </w:style>
  <w:style w:type="paragraph" w:styleId="Heading1">
    <w:name w:val="heading 1"/>
    <w:basedOn w:val="Normal"/>
    <w:next w:val="Normal"/>
    <w:link w:val="Heading1Char"/>
    <w:uiPriority w:val="9"/>
    <w:qFormat/>
    <w:rsid w:val="00320855"/>
    <w:pPr>
      <w:autoSpaceDE w:val="0"/>
      <w:autoSpaceDN w:val="0"/>
      <w:adjustRightInd w:val="0"/>
      <w:spacing w:before="240" w:after="120"/>
      <w:jc w:val="left"/>
      <w:outlineLvl w:val="0"/>
    </w:pPr>
    <w:rPr>
      <w:b/>
      <w:color w:val="003E76"/>
      <w:sz w:val="28"/>
      <w:szCs w:val="28"/>
    </w:rPr>
  </w:style>
  <w:style w:type="paragraph" w:styleId="Heading2">
    <w:name w:val="heading 2"/>
    <w:basedOn w:val="Normal"/>
    <w:next w:val="Normal"/>
    <w:link w:val="Heading2Char"/>
    <w:uiPriority w:val="9"/>
    <w:unhideWhenUsed/>
    <w:qFormat/>
    <w:rsid w:val="009A7028"/>
    <w:pPr>
      <w:keepNext/>
      <w:keepLines/>
      <w:spacing w:before="240" w:after="120"/>
      <w:jc w:val="left"/>
      <w:outlineLvl w:val="1"/>
    </w:pPr>
    <w:rPr>
      <w:rFonts w:ascii="Arial Bold" w:eastAsiaTheme="majorEastAsia" w:hAnsi="Arial Bold"/>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1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B9110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B37F1"/>
    <w:rPr>
      <w:color w:val="0000FF"/>
      <w:u w:val="single"/>
    </w:rPr>
  </w:style>
  <w:style w:type="table" w:styleId="MediumList2-Accent1">
    <w:name w:val="Medium List 2 Accent 1"/>
    <w:basedOn w:val="TableNormal"/>
    <w:uiPriority w:val="66"/>
    <w:rsid w:val="007C15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AE547F"/>
    <w:pPr>
      <w:tabs>
        <w:tab w:val="center" w:pos="4680"/>
        <w:tab w:val="right" w:pos="9360"/>
      </w:tabs>
    </w:pPr>
  </w:style>
  <w:style w:type="character" w:customStyle="1" w:styleId="HeaderChar">
    <w:name w:val="Header Char"/>
    <w:basedOn w:val="DefaultParagraphFont"/>
    <w:link w:val="Header"/>
    <w:uiPriority w:val="99"/>
    <w:rsid w:val="00AE547F"/>
  </w:style>
  <w:style w:type="paragraph" w:styleId="Footer">
    <w:name w:val="footer"/>
    <w:basedOn w:val="Normal"/>
    <w:link w:val="FooterChar"/>
    <w:uiPriority w:val="99"/>
    <w:unhideWhenUsed/>
    <w:rsid w:val="00AE547F"/>
    <w:pPr>
      <w:tabs>
        <w:tab w:val="center" w:pos="4680"/>
        <w:tab w:val="right" w:pos="9360"/>
      </w:tabs>
    </w:pPr>
  </w:style>
  <w:style w:type="character" w:customStyle="1" w:styleId="FooterChar">
    <w:name w:val="Footer Char"/>
    <w:basedOn w:val="DefaultParagraphFont"/>
    <w:link w:val="Footer"/>
    <w:uiPriority w:val="99"/>
    <w:rsid w:val="00AE547F"/>
  </w:style>
  <w:style w:type="paragraph" w:styleId="BalloonText">
    <w:name w:val="Balloon Text"/>
    <w:basedOn w:val="Normal"/>
    <w:link w:val="BalloonTextChar"/>
    <w:uiPriority w:val="99"/>
    <w:semiHidden/>
    <w:unhideWhenUsed/>
    <w:rsid w:val="00AE547F"/>
    <w:rPr>
      <w:rFonts w:ascii="Tahoma" w:hAnsi="Tahoma" w:cs="Tahoma"/>
      <w:sz w:val="16"/>
      <w:szCs w:val="16"/>
    </w:rPr>
  </w:style>
  <w:style w:type="character" w:customStyle="1" w:styleId="BalloonTextChar">
    <w:name w:val="Balloon Text Char"/>
    <w:basedOn w:val="DefaultParagraphFont"/>
    <w:link w:val="BalloonText"/>
    <w:uiPriority w:val="99"/>
    <w:semiHidden/>
    <w:rsid w:val="00AE547F"/>
    <w:rPr>
      <w:rFonts w:ascii="Tahoma" w:hAnsi="Tahoma" w:cs="Tahoma"/>
      <w:sz w:val="16"/>
      <w:szCs w:val="16"/>
    </w:rPr>
  </w:style>
  <w:style w:type="paragraph" w:customStyle="1" w:styleId="HeaderRight">
    <w:name w:val="Header Right"/>
    <w:basedOn w:val="Header"/>
    <w:uiPriority w:val="35"/>
    <w:qFormat/>
    <w:rsid w:val="00AE547F"/>
    <w:pPr>
      <w:pBdr>
        <w:bottom w:val="dashed" w:sz="4" w:space="18" w:color="7F7F7F"/>
      </w:pBdr>
      <w:tabs>
        <w:tab w:val="clear" w:pos="4680"/>
        <w:tab w:val="clear" w:pos="9360"/>
        <w:tab w:val="center" w:pos="4320"/>
        <w:tab w:val="right" w:pos="8640"/>
      </w:tabs>
      <w:spacing w:after="200" w:line="276" w:lineRule="auto"/>
      <w:jc w:val="right"/>
    </w:pPr>
    <w:rPr>
      <w:rFonts w:cs="Times New Roman"/>
      <w:color w:val="7F7F7F" w:themeColor="text1" w:themeTint="80"/>
      <w:sz w:val="20"/>
      <w:szCs w:val="20"/>
      <w:lang w:eastAsia="ja-JP"/>
    </w:rPr>
  </w:style>
  <w:style w:type="paragraph" w:styleId="ListParagraph">
    <w:name w:val="List Paragraph"/>
    <w:basedOn w:val="Normal"/>
    <w:autoRedefine/>
    <w:uiPriority w:val="34"/>
    <w:qFormat/>
    <w:rsid w:val="007A0F2E"/>
    <w:pPr>
      <w:numPr>
        <w:numId w:val="1"/>
      </w:numPr>
      <w:spacing w:before="60"/>
      <w:contextualSpacing/>
    </w:pPr>
  </w:style>
  <w:style w:type="character" w:styleId="FollowedHyperlink">
    <w:name w:val="FollowedHyperlink"/>
    <w:basedOn w:val="DefaultParagraphFont"/>
    <w:uiPriority w:val="99"/>
    <w:semiHidden/>
    <w:unhideWhenUsed/>
    <w:rsid w:val="008F0B16"/>
    <w:rPr>
      <w:color w:val="800080" w:themeColor="followedHyperlink"/>
      <w:u w:val="single"/>
    </w:rPr>
  </w:style>
  <w:style w:type="character" w:styleId="CommentReference">
    <w:name w:val="annotation reference"/>
    <w:basedOn w:val="DefaultParagraphFont"/>
    <w:uiPriority w:val="99"/>
    <w:semiHidden/>
    <w:unhideWhenUsed/>
    <w:rsid w:val="004E7834"/>
    <w:rPr>
      <w:sz w:val="16"/>
      <w:szCs w:val="16"/>
    </w:rPr>
  </w:style>
  <w:style w:type="paragraph" w:styleId="CommentText">
    <w:name w:val="annotation text"/>
    <w:basedOn w:val="Normal"/>
    <w:link w:val="CommentTextChar"/>
    <w:uiPriority w:val="99"/>
    <w:semiHidden/>
    <w:unhideWhenUsed/>
    <w:rsid w:val="004E7834"/>
    <w:rPr>
      <w:sz w:val="20"/>
      <w:szCs w:val="20"/>
    </w:rPr>
  </w:style>
  <w:style w:type="character" w:customStyle="1" w:styleId="CommentTextChar">
    <w:name w:val="Comment Text Char"/>
    <w:basedOn w:val="DefaultParagraphFont"/>
    <w:link w:val="CommentText"/>
    <w:uiPriority w:val="99"/>
    <w:semiHidden/>
    <w:rsid w:val="004E7834"/>
    <w:rPr>
      <w:sz w:val="20"/>
      <w:szCs w:val="20"/>
    </w:rPr>
  </w:style>
  <w:style w:type="paragraph" w:styleId="CommentSubject">
    <w:name w:val="annotation subject"/>
    <w:basedOn w:val="CommentText"/>
    <w:next w:val="CommentText"/>
    <w:link w:val="CommentSubjectChar"/>
    <w:uiPriority w:val="99"/>
    <w:semiHidden/>
    <w:unhideWhenUsed/>
    <w:rsid w:val="004E7834"/>
    <w:rPr>
      <w:b/>
      <w:bCs/>
    </w:rPr>
  </w:style>
  <w:style w:type="character" w:customStyle="1" w:styleId="CommentSubjectChar">
    <w:name w:val="Comment Subject Char"/>
    <w:basedOn w:val="CommentTextChar"/>
    <w:link w:val="CommentSubject"/>
    <w:uiPriority w:val="99"/>
    <w:semiHidden/>
    <w:rsid w:val="004E7834"/>
    <w:rPr>
      <w:b/>
      <w:bCs/>
      <w:sz w:val="20"/>
      <w:szCs w:val="20"/>
    </w:rPr>
  </w:style>
  <w:style w:type="paragraph" w:styleId="FootnoteText">
    <w:name w:val="footnote text"/>
    <w:basedOn w:val="Normal"/>
    <w:link w:val="FootnoteTextChar"/>
    <w:uiPriority w:val="99"/>
    <w:unhideWhenUsed/>
    <w:rsid w:val="00320855"/>
    <w:rPr>
      <w:sz w:val="16"/>
      <w:szCs w:val="20"/>
    </w:rPr>
  </w:style>
  <w:style w:type="character" w:customStyle="1" w:styleId="FootnoteTextChar">
    <w:name w:val="Footnote Text Char"/>
    <w:basedOn w:val="DefaultParagraphFont"/>
    <w:link w:val="FootnoteText"/>
    <w:uiPriority w:val="99"/>
    <w:rsid w:val="00320855"/>
    <w:rPr>
      <w:rFonts w:ascii="Arial" w:hAnsi="Arial" w:cs="Arial"/>
      <w:color w:val="000000"/>
      <w:sz w:val="16"/>
      <w:szCs w:val="20"/>
    </w:rPr>
  </w:style>
  <w:style w:type="character" w:styleId="FootnoteReference">
    <w:name w:val="footnote reference"/>
    <w:basedOn w:val="DefaultParagraphFont"/>
    <w:uiPriority w:val="99"/>
    <w:semiHidden/>
    <w:unhideWhenUsed/>
    <w:rsid w:val="00955AF5"/>
    <w:rPr>
      <w:vertAlign w:val="superscript"/>
    </w:rPr>
  </w:style>
  <w:style w:type="paragraph" w:styleId="BodyText">
    <w:name w:val="Body Text"/>
    <w:basedOn w:val="Normal"/>
    <w:link w:val="BodyTextChar"/>
    <w:uiPriority w:val="99"/>
    <w:unhideWhenUsed/>
    <w:rsid w:val="00352BEE"/>
    <w:pPr>
      <w:spacing w:after="120"/>
    </w:pPr>
  </w:style>
  <w:style w:type="character" w:customStyle="1" w:styleId="BodyTextChar">
    <w:name w:val="Body Text Char"/>
    <w:basedOn w:val="DefaultParagraphFont"/>
    <w:link w:val="BodyText"/>
    <w:uiPriority w:val="99"/>
    <w:rsid w:val="00352BEE"/>
  </w:style>
  <w:style w:type="paragraph" w:styleId="Title">
    <w:name w:val="Title"/>
    <w:basedOn w:val="Normal"/>
    <w:next w:val="Normal"/>
    <w:link w:val="TitleChar"/>
    <w:autoRedefine/>
    <w:uiPriority w:val="10"/>
    <w:qFormat/>
    <w:rsid w:val="00320855"/>
    <w:pPr>
      <w:autoSpaceDE w:val="0"/>
      <w:autoSpaceDN w:val="0"/>
      <w:adjustRightInd w:val="0"/>
      <w:spacing w:before="2040"/>
      <w:jc w:val="left"/>
    </w:pPr>
    <w:rPr>
      <w:b/>
      <w:color w:val="003E76"/>
      <w:sz w:val="36"/>
      <w:szCs w:val="36"/>
    </w:rPr>
  </w:style>
  <w:style w:type="character" w:customStyle="1" w:styleId="TitleChar">
    <w:name w:val="Title Char"/>
    <w:basedOn w:val="DefaultParagraphFont"/>
    <w:link w:val="Title"/>
    <w:uiPriority w:val="10"/>
    <w:rsid w:val="00320855"/>
    <w:rPr>
      <w:rFonts w:ascii="Arial" w:hAnsi="Arial" w:cs="Arial"/>
      <w:b/>
      <w:color w:val="003E76"/>
      <w:sz w:val="36"/>
      <w:szCs w:val="36"/>
    </w:rPr>
  </w:style>
  <w:style w:type="paragraph" w:customStyle="1" w:styleId="Author">
    <w:name w:val="Author"/>
    <w:basedOn w:val="Normal"/>
    <w:qFormat/>
    <w:rsid w:val="003E3611"/>
    <w:pPr>
      <w:autoSpaceDE w:val="0"/>
      <w:autoSpaceDN w:val="0"/>
      <w:adjustRightInd w:val="0"/>
      <w:spacing w:before="40"/>
    </w:pPr>
    <w:rPr>
      <w:b/>
      <w:color w:val="595959" w:themeColor="text1" w:themeTint="A6"/>
      <w:sz w:val="18"/>
      <w:szCs w:val="18"/>
    </w:rPr>
  </w:style>
  <w:style w:type="character" w:customStyle="1" w:styleId="Heading1Char">
    <w:name w:val="Heading 1 Char"/>
    <w:basedOn w:val="DefaultParagraphFont"/>
    <w:link w:val="Heading1"/>
    <w:uiPriority w:val="9"/>
    <w:rsid w:val="00320855"/>
    <w:rPr>
      <w:rFonts w:ascii="Arial" w:hAnsi="Arial" w:cs="Arial"/>
      <w:b/>
      <w:color w:val="003E76"/>
      <w:sz w:val="28"/>
      <w:szCs w:val="28"/>
    </w:rPr>
  </w:style>
  <w:style w:type="character" w:customStyle="1" w:styleId="Heading2Char">
    <w:name w:val="Heading 2 Char"/>
    <w:basedOn w:val="DefaultParagraphFont"/>
    <w:link w:val="Heading2"/>
    <w:uiPriority w:val="9"/>
    <w:rsid w:val="009A7028"/>
    <w:rPr>
      <w:rFonts w:ascii="Arial Bold" w:eastAsiaTheme="majorEastAsia" w:hAnsi="Arial Bold" w:cs="Arial"/>
      <w:bCs/>
      <w:color w:val="4F81BD" w:themeColor="accent1"/>
      <w:sz w:val="24"/>
      <w:szCs w:val="24"/>
    </w:rPr>
  </w:style>
  <w:style w:type="paragraph" w:customStyle="1" w:styleId="References">
    <w:name w:val="References"/>
    <w:basedOn w:val="Normal"/>
    <w:autoRedefine/>
    <w:qFormat/>
    <w:rsid w:val="00E97D1F"/>
    <w:pPr>
      <w:ind w:left="720" w:hanging="720"/>
      <w:jc w:val="left"/>
    </w:pPr>
    <w:rPr>
      <w:noProof/>
      <w:sz w:val="20"/>
      <w:szCs w:val="20"/>
    </w:rPr>
  </w:style>
  <w:style w:type="paragraph" w:customStyle="1" w:styleId="Annex">
    <w:name w:val="Annex"/>
    <w:qFormat/>
    <w:rsid w:val="00E97D1F"/>
    <w:pPr>
      <w:spacing w:after="0"/>
    </w:pPr>
    <w:rPr>
      <w:rFonts w:ascii="Arial" w:hAnsi="Arial" w:cs="Arial"/>
      <w:color w:val="B1CD29"/>
      <w:sz w:val="36"/>
      <w:szCs w:val="36"/>
    </w:rPr>
  </w:style>
  <w:style w:type="character" w:customStyle="1" w:styleId="apple-converted-space">
    <w:name w:val="apple-converted-space"/>
    <w:basedOn w:val="DefaultParagraphFont"/>
    <w:rsid w:val="00BA1B5B"/>
  </w:style>
  <w:style w:type="character" w:customStyle="1" w:styleId="highlight">
    <w:name w:val="highlight"/>
    <w:basedOn w:val="DefaultParagraphFont"/>
    <w:rsid w:val="00694FFE"/>
  </w:style>
  <w:style w:type="table" w:customStyle="1" w:styleId="TableGrid1">
    <w:name w:val="Table Grid1"/>
    <w:basedOn w:val="TableNormal"/>
    <w:next w:val="TableGrid"/>
    <w:uiPriority w:val="59"/>
    <w:rsid w:val="00174F9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B2DD6"/>
    <w:pPr>
      <w:spacing w:before="100" w:beforeAutospacing="1" w:after="100" w:afterAutospacing="1"/>
      <w:jc w:val="left"/>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CB2DD6"/>
    <w:rPr>
      <w:i/>
      <w:iCs/>
    </w:rPr>
  </w:style>
  <w:style w:type="paragraph" w:styleId="Revision">
    <w:name w:val="Revision"/>
    <w:hidden/>
    <w:uiPriority w:val="99"/>
    <w:semiHidden/>
    <w:rsid w:val="00DA3DCB"/>
    <w:pPr>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855"/>
    <w:pPr>
      <w:spacing w:after="0" w:line="240" w:lineRule="auto"/>
      <w:jc w:val="both"/>
    </w:pPr>
    <w:rPr>
      <w:rFonts w:ascii="Arial" w:hAnsi="Arial" w:cs="Arial"/>
      <w:color w:val="000000"/>
    </w:rPr>
  </w:style>
  <w:style w:type="paragraph" w:styleId="Heading1">
    <w:name w:val="heading 1"/>
    <w:basedOn w:val="Normal"/>
    <w:next w:val="Normal"/>
    <w:link w:val="Heading1Char"/>
    <w:uiPriority w:val="9"/>
    <w:qFormat/>
    <w:rsid w:val="00320855"/>
    <w:pPr>
      <w:autoSpaceDE w:val="0"/>
      <w:autoSpaceDN w:val="0"/>
      <w:adjustRightInd w:val="0"/>
      <w:spacing w:before="240" w:after="120"/>
      <w:jc w:val="left"/>
      <w:outlineLvl w:val="0"/>
    </w:pPr>
    <w:rPr>
      <w:b/>
      <w:color w:val="003E76"/>
      <w:sz w:val="28"/>
      <w:szCs w:val="28"/>
    </w:rPr>
  </w:style>
  <w:style w:type="paragraph" w:styleId="Heading2">
    <w:name w:val="heading 2"/>
    <w:basedOn w:val="Normal"/>
    <w:next w:val="Normal"/>
    <w:link w:val="Heading2Char"/>
    <w:uiPriority w:val="9"/>
    <w:unhideWhenUsed/>
    <w:qFormat/>
    <w:rsid w:val="009A7028"/>
    <w:pPr>
      <w:keepNext/>
      <w:keepLines/>
      <w:spacing w:before="240" w:after="120"/>
      <w:jc w:val="left"/>
      <w:outlineLvl w:val="1"/>
    </w:pPr>
    <w:rPr>
      <w:rFonts w:ascii="Arial Bold" w:eastAsiaTheme="majorEastAsia" w:hAnsi="Arial Bold"/>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1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B9110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B37F1"/>
    <w:rPr>
      <w:color w:val="0000FF"/>
      <w:u w:val="single"/>
    </w:rPr>
  </w:style>
  <w:style w:type="table" w:styleId="MediumList2-Accent1">
    <w:name w:val="Medium List 2 Accent 1"/>
    <w:basedOn w:val="TableNormal"/>
    <w:uiPriority w:val="66"/>
    <w:rsid w:val="007C15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AE547F"/>
    <w:pPr>
      <w:tabs>
        <w:tab w:val="center" w:pos="4680"/>
        <w:tab w:val="right" w:pos="9360"/>
      </w:tabs>
    </w:pPr>
  </w:style>
  <w:style w:type="character" w:customStyle="1" w:styleId="HeaderChar">
    <w:name w:val="Header Char"/>
    <w:basedOn w:val="DefaultParagraphFont"/>
    <w:link w:val="Header"/>
    <w:uiPriority w:val="99"/>
    <w:rsid w:val="00AE547F"/>
  </w:style>
  <w:style w:type="paragraph" w:styleId="Footer">
    <w:name w:val="footer"/>
    <w:basedOn w:val="Normal"/>
    <w:link w:val="FooterChar"/>
    <w:uiPriority w:val="99"/>
    <w:unhideWhenUsed/>
    <w:rsid w:val="00AE547F"/>
    <w:pPr>
      <w:tabs>
        <w:tab w:val="center" w:pos="4680"/>
        <w:tab w:val="right" w:pos="9360"/>
      </w:tabs>
    </w:pPr>
  </w:style>
  <w:style w:type="character" w:customStyle="1" w:styleId="FooterChar">
    <w:name w:val="Footer Char"/>
    <w:basedOn w:val="DefaultParagraphFont"/>
    <w:link w:val="Footer"/>
    <w:uiPriority w:val="99"/>
    <w:rsid w:val="00AE547F"/>
  </w:style>
  <w:style w:type="paragraph" w:styleId="BalloonText">
    <w:name w:val="Balloon Text"/>
    <w:basedOn w:val="Normal"/>
    <w:link w:val="BalloonTextChar"/>
    <w:uiPriority w:val="99"/>
    <w:semiHidden/>
    <w:unhideWhenUsed/>
    <w:rsid w:val="00AE547F"/>
    <w:rPr>
      <w:rFonts w:ascii="Tahoma" w:hAnsi="Tahoma" w:cs="Tahoma"/>
      <w:sz w:val="16"/>
      <w:szCs w:val="16"/>
    </w:rPr>
  </w:style>
  <w:style w:type="character" w:customStyle="1" w:styleId="BalloonTextChar">
    <w:name w:val="Balloon Text Char"/>
    <w:basedOn w:val="DefaultParagraphFont"/>
    <w:link w:val="BalloonText"/>
    <w:uiPriority w:val="99"/>
    <w:semiHidden/>
    <w:rsid w:val="00AE547F"/>
    <w:rPr>
      <w:rFonts w:ascii="Tahoma" w:hAnsi="Tahoma" w:cs="Tahoma"/>
      <w:sz w:val="16"/>
      <w:szCs w:val="16"/>
    </w:rPr>
  </w:style>
  <w:style w:type="paragraph" w:customStyle="1" w:styleId="HeaderRight">
    <w:name w:val="Header Right"/>
    <w:basedOn w:val="Header"/>
    <w:uiPriority w:val="35"/>
    <w:qFormat/>
    <w:rsid w:val="00AE547F"/>
    <w:pPr>
      <w:pBdr>
        <w:bottom w:val="dashed" w:sz="4" w:space="18" w:color="7F7F7F"/>
      </w:pBdr>
      <w:tabs>
        <w:tab w:val="clear" w:pos="4680"/>
        <w:tab w:val="clear" w:pos="9360"/>
        <w:tab w:val="center" w:pos="4320"/>
        <w:tab w:val="right" w:pos="8640"/>
      </w:tabs>
      <w:spacing w:after="200" w:line="276" w:lineRule="auto"/>
      <w:jc w:val="right"/>
    </w:pPr>
    <w:rPr>
      <w:rFonts w:cs="Times New Roman"/>
      <w:color w:val="7F7F7F" w:themeColor="text1" w:themeTint="80"/>
      <w:sz w:val="20"/>
      <w:szCs w:val="20"/>
      <w:lang w:eastAsia="ja-JP"/>
    </w:rPr>
  </w:style>
  <w:style w:type="paragraph" w:styleId="ListParagraph">
    <w:name w:val="List Paragraph"/>
    <w:basedOn w:val="Normal"/>
    <w:autoRedefine/>
    <w:uiPriority w:val="34"/>
    <w:qFormat/>
    <w:rsid w:val="007A0F2E"/>
    <w:pPr>
      <w:numPr>
        <w:numId w:val="1"/>
      </w:numPr>
      <w:spacing w:before="60"/>
      <w:contextualSpacing/>
    </w:pPr>
  </w:style>
  <w:style w:type="character" w:styleId="FollowedHyperlink">
    <w:name w:val="FollowedHyperlink"/>
    <w:basedOn w:val="DefaultParagraphFont"/>
    <w:uiPriority w:val="99"/>
    <w:semiHidden/>
    <w:unhideWhenUsed/>
    <w:rsid w:val="008F0B16"/>
    <w:rPr>
      <w:color w:val="800080" w:themeColor="followedHyperlink"/>
      <w:u w:val="single"/>
    </w:rPr>
  </w:style>
  <w:style w:type="character" w:styleId="CommentReference">
    <w:name w:val="annotation reference"/>
    <w:basedOn w:val="DefaultParagraphFont"/>
    <w:uiPriority w:val="99"/>
    <w:semiHidden/>
    <w:unhideWhenUsed/>
    <w:rsid w:val="004E7834"/>
    <w:rPr>
      <w:sz w:val="16"/>
      <w:szCs w:val="16"/>
    </w:rPr>
  </w:style>
  <w:style w:type="paragraph" w:styleId="CommentText">
    <w:name w:val="annotation text"/>
    <w:basedOn w:val="Normal"/>
    <w:link w:val="CommentTextChar"/>
    <w:uiPriority w:val="99"/>
    <w:semiHidden/>
    <w:unhideWhenUsed/>
    <w:rsid w:val="004E7834"/>
    <w:rPr>
      <w:sz w:val="20"/>
      <w:szCs w:val="20"/>
    </w:rPr>
  </w:style>
  <w:style w:type="character" w:customStyle="1" w:styleId="CommentTextChar">
    <w:name w:val="Comment Text Char"/>
    <w:basedOn w:val="DefaultParagraphFont"/>
    <w:link w:val="CommentText"/>
    <w:uiPriority w:val="99"/>
    <w:semiHidden/>
    <w:rsid w:val="004E7834"/>
    <w:rPr>
      <w:sz w:val="20"/>
      <w:szCs w:val="20"/>
    </w:rPr>
  </w:style>
  <w:style w:type="paragraph" w:styleId="CommentSubject">
    <w:name w:val="annotation subject"/>
    <w:basedOn w:val="CommentText"/>
    <w:next w:val="CommentText"/>
    <w:link w:val="CommentSubjectChar"/>
    <w:uiPriority w:val="99"/>
    <w:semiHidden/>
    <w:unhideWhenUsed/>
    <w:rsid w:val="004E7834"/>
    <w:rPr>
      <w:b/>
      <w:bCs/>
    </w:rPr>
  </w:style>
  <w:style w:type="character" w:customStyle="1" w:styleId="CommentSubjectChar">
    <w:name w:val="Comment Subject Char"/>
    <w:basedOn w:val="CommentTextChar"/>
    <w:link w:val="CommentSubject"/>
    <w:uiPriority w:val="99"/>
    <w:semiHidden/>
    <w:rsid w:val="004E7834"/>
    <w:rPr>
      <w:b/>
      <w:bCs/>
      <w:sz w:val="20"/>
      <w:szCs w:val="20"/>
    </w:rPr>
  </w:style>
  <w:style w:type="paragraph" w:styleId="FootnoteText">
    <w:name w:val="footnote text"/>
    <w:basedOn w:val="Normal"/>
    <w:link w:val="FootnoteTextChar"/>
    <w:uiPriority w:val="99"/>
    <w:unhideWhenUsed/>
    <w:rsid w:val="00320855"/>
    <w:rPr>
      <w:sz w:val="16"/>
      <w:szCs w:val="20"/>
    </w:rPr>
  </w:style>
  <w:style w:type="character" w:customStyle="1" w:styleId="FootnoteTextChar">
    <w:name w:val="Footnote Text Char"/>
    <w:basedOn w:val="DefaultParagraphFont"/>
    <w:link w:val="FootnoteText"/>
    <w:uiPriority w:val="99"/>
    <w:rsid w:val="00320855"/>
    <w:rPr>
      <w:rFonts w:ascii="Arial" w:hAnsi="Arial" w:cs="Arial"/>
      <w:color w:val="000000"/>
      <w:sz w:val="16"/>
      <w:szCs w:val="20"/>
    </w:rPr>
  </w:style>
  <w:style w:type="character" w:styleId="FootnoteReference">
    <w:name w:val="footnote reference"/>
    <w:basedOn w:val="DefaultParagraphFont"/>
    <w:uiPriority w:val="99"/>
    <w:semiHidden/>
    <w:unhideWhenUsed/>
    <w:rsid w:val="00955AF5"/>
    <w:rPr>
      <w:vertAlign w:val="superscript"/>
    </w:rPr>
  </w:style>
  <w:style w:type="paragraph" w:styleId="BodyText">
    <w:name w:val="Body Text"/>
    <w:basedOn w:val="Normal"/>
    <w:link w:val="BodyTextChar"/>
    <w:uiPriority w:val="99"/>
    <w:unhideWhenUsed/>
    <w:rsid w:val="00352BEE"/>
    <w:pPr>
      <w:spacing w:after="120"/>
    </w:pPr>
  </w:style>
  <w:style w:type="character" w:customStyle="1" w:styleId="BodyTextChar">
    <w:name w:val="Body Text Char"/>
    <w:basedOn w:val="DefaultParagraphFont"/>
    <w:link w:val="BodyText"/>
    <w:uiPriority w:val="99"/>
    <w:rsid w:val="00352BEE"/>
  </w:style>
  <w:style w:type="paragraph" w:styleId="Title">
    <w:name w:val="Title"/>
    <w:basedOn w:val="Normal"/>
    <w:next w:val="Normal"/>
    <w:link w:val="TitleChar"/>
    <w:autoRedefine/>
    <w:uiPriority w:val="10"/>
    <w:qFormat/>
    <w:rsid w:val="00320855"/>
    <w:pPr>
      <w:autoSpaceDE w:val="0"/>
      <w:autoSpaceDN w:val="0"/>
      <w:adjustRightInd w:val="0"/>
      <w:spacing w:before="2040"/>
      <w:jc w:val="left"/>
    </w:pPr>
    <w:rPr>
      <w:b/>
      <w:color w:val="003E76"/>
      <w:sz w:val="36"/>
      <w:szCs w:val="36"/>
    </w:rPr>
  </w:style>
  <w:style w:type="character" w:customStyle="1" w:styleId="TitleChar">
    <w:name w:val="Title Char"/>
    <w:basedOn w:val="DefaultParagraphFont"/>
    <w:link w:val="Title"/>
    <w:uiPriority w:val="10"/>
    <w:rsid w:val="00320855"/>
    <w:rPr>
      <w:rFonts w:ascii="Arial" w:hAnsi="Arial" w:cs="Arial"/>
      <w:b/>
      <w:color w:val="003E76"/>
      <w:sz w:val="36"/>
      <w:szCs w:val="36"/>
    </w:rPr>
  </w:style>
  <w:style w:type="paragraph" w:customStyle="1" w:styleId="Author">
    <w:name w:val="Author"/>
    <w:basedOn w:val="Normal"/>
    <w:qFormat/>
    <w:rsid w:val="003E3611"/>
    <w:pPr>
      <w:autoSpaceDE w:val="0"/>
      <w:autoSpaceDN w:val="0"/>
      <w:adjustRightInd w:val="0"/>
      <w:spacing w:before="40"/>
    </w:pPr>
    <w:rPr>
      <w:b/>
      <w:color w:val="595959" w:themeColor="text1" w:themeTint="A6"/>
      <w:sz w:val="18"/>
      <w:szCs w:val="18"/>
    </w:rPr>
  </w:style>
  <w:style w:type="character" w:customStyle="1" w:styleId="Heading1Char">
    <w:name w:val="Heading 1 Char"/>
    <w:basedOn w:val="DefaultParagraphFont"/>
    <w:link w:val="Heading1"/>
    <w:uiPriority w:val="9"/>
    <w:rsid w:val="00320855"/>
    <w:rPr>
      <w:rFonts w:ascii="Arial" w:hAnsi="Arial" w:cs="Arial"/>
      <w:b/>
      <w:color w:val="003E76"/>
      <w:sz w:val="28"/>
      <w:szCs w:val="28"/>
    </w:rPr>
  </w:style>
  <w:style w:type="character" w:customStyle="1" w:styleId="Heading2Char">
    <w:name w:val="Heading 2 Char"/>
    <w:basedOn w:val="DefaultParagraphFont"/>
    <w:link w:val="Heading2"/>
    <w:uiPriority w:val="9"/>
    <w:rsid w:val="009A7028"/>
    <w:rPr>
      <w:rFonts w:ascii="Arial Bold" w:eastAsiaTheme="majorEastAsia" w:hAnsi="Arial Bold" w:cs="Arial"/>
      <w:bCs/>
      <w:color w:val="4F81BD" w:themeColor="accent1"/>
      <w:sz w:val="24"/>
      <w:szCs w:val="24"/>
    </w:rPr>
  </w:style>
  <w:style w:type="paragraph" w:customStyle="1" w:styleId="References">
    <w:name w:val="References"/>
    <w:basedOn w:val="Normal"/>
    <w:autoRedefine/>
    <w:qFormat/>
    <w:rsid w:val="00E97D1F"/>
    <w:pPr>
      <w:ind w:left="720" w:hanging="720"/>
      <w:jc w:val="left"/>
    </w:pPr>
    <w:rPr>
      <w:noProof/>
      <w:sz w:val="20"/>
      <w:szCs w:val="20"/>
    </w:rPr>
  </w:style>
  <w:style w:type="paragraph" w:customStyle="1" w:styleId="Annex">
    <w:name w:val="Annex"/>
    <w:qFormat/>
    <w:rsid w:val="00E97D1F"/>
    <w:pPr>
      <w:spacing w:after="0"/>
    </w:pPr>
    <w:rPr>
      <w:rFonts w:ascii="Arial" w:hAnsi="Arial" w:cs="Arial"/>
      <w:color w:val="B1CD29"/>
      <w:sz w:val="36"/>
      <w:szCs w:val="36"/>
    </w:rPr>
  </w:style>
  <w:style w:type="character" w:customStyle="1" w:styleId="apple-converted-space">
    <w:name w:val="apple-converted-space"/>
    <w:basedOn w:val="DefaultParagraphFont"/>
    <w:rsid w:val="00BA1B5B"/>
  </w:style>
  <w:style w:type="character" w:customStyle="1" w:styleId="highlight">
    <w:name w:val="highlight"/>
    <w:basedOn w:val="DefaultParagraphFont"/>
    <w:rsid w:val="00694FFE"/>
  </w:style>
  <w:style w:type="table" w:customStyle="1" w:styleId="TableGrid1">
    <w:name w:val="Table Grid1"/>
    <w:basedOn w:val="TableNormal"/>
    <w:next w:val="TableGrid"/>
    <w:uiPriority w:val="59"/>
    <w:rsid w:val="00174F9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B2DD6"/>
    <w:pPr>
      <w:spacing w:before="100" w:beforeAutospacing="1" w:after="100" w:afterAutospacing="1"/>
      <w:jc w:val="left"/>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CB2DD6"/>
    <w:rPr>
      <w:i/>
      <w:iCs/>
    </w:rPr>
  </w:style>
  <w:style w:type="paragraph" w:styleId="Revision">
    <w:name w:val="Revision"/>
    <w:hidden/>
    <w:uiPriority w:val="99"/>
    <w:semiHidden/>
    <w:rsid w:val="00DA3DCB"/>
    <w:pPr>
      <w:spacing w:after="0" w:line="240" w:lineRule="auto"/>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1795">
      <w:bodyDiv w:val="1"/>
      <w:marLeft w:val="0"/>
      <w:marRight w:val="0"/>
      <w:marTop w:val="0"/>
      <w:marBottom w:val="0"/>
      <w:divBdr>
        <w:top w:val="none" w:sz="0" w:space="0" w:color="auto"/>
        <w:left w:val="none" w:sz="0" w:space="0" w:color="auto"/>
        <w:bottom w:val="none" w:sz="0" w:space="0" w:color="auto"/>
        <w:right w:val="none" w:sz="0" w:space="0" w:color="auto"/>
      </w:divBdr>
    </w:div>
    <w:div w:id="24451543">
      <w:bodyDiv w:val="1"/>
      <w:marLeft w:val="0"/>
      <w:marRight w:val="0"/>
      <w:marTop w:val="0"/>
      <w:marBottom w:val="0"/>
      <w:divBdr>
        <w:top w:val="none" w:sz="0" w:space="0" w:color="auto"/>
        <w:left w:val="none" w:sz="0" w:space="0" w:color="auto"/>
        <w:bottom w:val="none" w:sz="0" w:space="0" w:color="auto"/>
        <w:right w:val="none" w:sz="0" w:space="0" w:color="auto"/>
      </w:divBdr>
    </w:div>
    <w:div w:id="137653167">
      <w:bodyDiv w:val="1"/>
      <w:marLeft w:val="0"/>
      <w:marRight w:val="0"/>
      <w:marTop w:val="0"/>
      <w:marBottom w:val="0"/>
      <w:divBdr>
        <w:top w:val="none" w:sz="0" w:space="0" w:color="auto"/>
        <w:left w:val="none" w:sz="0" w:space="0" w:color="auto"/>
        <w:bottom w:val="none" w:sz="0" w:space="0" w:color="auto"/>
        <w:right w:val="none" w:sz="0" w:space="0" w:color="auto"/>
      </w:divBdr>
    </w:div>
    <w:div w:id="173569785">
      <w:bodyDiv w:val="1"/>
      <w:marLeft w:val="0"/>
      <w:marRight w:val="0"/>
      <w:marTop w:val="0"/>
      <w:marBottom w:val="0"/>
      <w:divBdr>
        <w:top w:val="none" w:sz="0" w:space="0" w:color="auto"/>
        <w:left w:val="none" w:sz="0" w:space="0" w:color="auto"/>
        <w:bottom w:val="none" w:sz="0" w:space="0" w:color="auto"/>
        <w:right w:val="none" w:sz="0" w:space="0" w:color="auto"/>
      </w:divBdr>
    </w:div>
    <w:div w:id="190149187">
      <w:bodyDiv w:val="1"/>
      <w:marLeft w:val="0"/>
      <w:marRight w:val="0"/>
      <w:marTop w:val="0"/>
      <w:marBottom w:val="0"/>
      <w:divBdr>
        <w:top w:val="none" w:sz="0" w:space="0" w:color="auto"/>
        <w:left w:val="none" w:sz="0" w:space="0" w:color="auto"/>
        <w:bottom w:val="none" w:sz="0" w:space="0" w:color="auto"/>
        <w:right w:val="none" w:sz="0" w:space="0" w:color="auto"/>
      </w:divBdr>
    </w:div>
    <w:div w:id="260727003">
      <w:bodyDiv w:val="1"/>
      <w:marLeft w:val="0"/>
      <w:marRight w:val="0"/>
      <w:marTop w:val="0"/>
      <w:marBottom w:val="0"/>
      <w:divBdr>
        <w:top w:val="none" w:sz="0" w:space="0" w:color="auto"/>
        <w:left w:val="none" w:sz="0" w:space="0" w:color="auto"/>
        <w:bottom w:val="none" w:sz="0" w:space="0" w:color="auto"/>
        <w:right w:val="none" w:sz="0" w:space="0" w:color="auto"/>
      </w:divBdr>
    </w:div>
    <w:div w:id="333461265">
      <w:bodyDiv w:val="1"/>
      <w:marLeft w:val="0"/>
      <w:marRight w:val="0"/>
      <w:marTop w:val="0"/>
      <w:marBottom w:val="0"/>
      <w:divBdr>
        <w:top w:val="none" w:sz="0" w:space="0" w:color="auto"/>
        <w:left w:val="none" w:sz="0" w:space="0" w:color="auto"/>
        <w:bottom w:val="none" w:sz="0" w:space="0" w:color="auto"/>
        <w:right w:val="none" w:sz="0" w:space="0" w:color="auto"/>
      </w:divBdr>
    </w:div>
    <w:div w:id="392120043">
      <w:bodyDiv w:val="1"/>
      <w:marLeft w:val="0"/>
      <w:marRight w:val="0"/>
      <w:marTop w:val="0"/>
      <w:marBottom w:val="0"/>
      <w:divBdr>
        <w:top w:val="none" w:sz="0" w:space="0" w:color="auto"/>
        <w:left w:val="none" w:sz="0" w:space="0" w:color="auto"/>
        <w:bottom w:val="none" w:sz="0" w:space="0" w:color="auto"/>
        <w:right w:val="none" w:sz="0" w:space="0" w:color="auto"/>
      </w:divBdr>
    </w:div>
    <w:div w:id="482239195">
      <w:bodyDiv w:val="1"/>
      <w:marLeft w:val="0"/>
      <w:marRight w:val="0"/>
      <w:marTop w:val="0"/>
      <w:marBottom w:val="0"/>
      <w:divBdr>
        <w:top w:val="none" w:sz="0" w:space="0" w:color="auto"/>
        <w:left w:val="none" w:sz="0" w:space="0" w:color="auto"/>
        <w:bottom w:val="none" w:sz="0" w:space="0" w:color="auto"/>
        <w:right w:val="none" w:sz="0" w:space="0" w:color="auto"/>
      </w:divBdr>
    </w:div>
    <w:div w:id="501316728">
      <w:bodyDiv w:val="1"/>
      <w:marLeft w:val="0"/>
      <w:marRight w:val="0"/>
      <w:marTop w:val="0"/>
      <w:marBottom w:val="0"/>
      <w:divBdr>
        <w:top w:val="none" w:sz="0" w:space="0" w:color="auto"/>
        <w:left w:val="none" w:sz="0" w:space="0" w:color="auto"/>
        <w:bottom w:val="none" w:sz="0" w:space="0" w:color="auto"/>
        <w:right w:val="none" w:sz="0" w:space="0" w:color="auto"/>
      </w:divBdr>
    </w:div>
    <w:div w:id="544756199">
      <w:bodyDiv w:val="1"/>
      <w:marLeft w:val="0"/>
      <w:marRight w:val="0"/>
      <w:marTop w:val="0"/>
      <w:marBottom w:val="0"/>
      <w:divBdr>
        <w:top w:val="none" w:sz="0" w:space="0" w:color="auto"/>
        <w:left w:val="none" w:sz="0" w:space="0" w:color="auto"/>
        <w:bottom w:val="none" w:sz="0" w:space="0" w:color="auto"/>
        <w:right w:val="none" w:sz="0" w:space="0" w:color="auto"/>
      </w:divBdr>
    </w:div>
    <w:div w:id="553127532">
      <w:bodyDiv w:val="1"/>
      <w:marLeft w:val="0"/>
      <w:marRight w:val="0"/>
      <w:marTop w:val="0"/>
      <w:marBottom w:val="0"/>
      <w:divBdr>
        <w:top w:val="none" w:sz="0" w:space="0" w:color="auto"/>
        <w:left w:val="none" w:sz="0" w:space="0" w:color="auto"/>
        <w:bottom w:val="none" w:sz="0" w:space="0" w:color="auto"/>
        <w:right w:val="none" w:sz="0" w:space="0" w:color="auto"/>
      </w:divBdr>
      <w:divsChild>
        <w:div w:id="349071048">
          <w:marLeft w:val="0"/>
          <w:marRight w:val="0"/>
          <w:marTop w:val="0"/>
          <w:marBottom w:val="0"/>
          <w:divBdr>
            <w:top w:val="none" w:sz="0" w:space="0" w:color="auto"/>
            <w:left w:val="none" w:sz="0" w:space="0" w:color="auto"/>
            <w:bottom w:val="none" w:sz="0" w:space="0" w:color="auto"/>
            <w:right w:val="none" w:sz="0" w:space="0" w:color="auto"/>
          </w:divBdr>
          <w:divsChild>
            <w:div w:id="1581791673">
              <w:marLeft w:val="0"/>
              <w:marRight w:val="0"/>
              <w:marTop w:val="0"/>
              <w:marBottom w:val="0"/>
              <w:divBdr>
                <w:top w:val="none" w:sz="0" w:space="0" w:color="auto"/>
                <w:left w:val="none" w:sz="0" w:space="0" w:color="auto"/>
                <w:bottom w:val="none" w:sz="0" w:space="0" w:color="auto"/>
                <w:right w:val="none" w:sz="0" w:space="0" w:color="auto"/>
              </w:divBdr>
              <w:divsChild>
                <w:div w:id="1167598527">
                  <w:marLeft w:val="0"/>
                  <w:marRight w:val="0"/>
                  <w:marTop w:val="0"/>
                  <w:marBottom w:val="0"/>
                  <w:divBdr>
                    <w:top w:val="none" w:sz="0" w:space="0" w:color="auto"/>
                    <w:left w:val="none" w:sz="0" w:space="0" w:color="auto"/>
                    <w:bottom w:val="none" w:sz="0" w:space="0" w:color="auto"/>
                    <w:right w:val="none" w:sz="0" w:space="0" w:color="auto"/>
                  </w:divBdr>
                  <w:divsChild>
                    <w:div w:id="650642200">
                      <w:marLeft w:val="0"/>
                      <w:marRight w:val="0"/>
                      <w:marTop w:val="0"/>
                      <w:marBottom w:val="0"/>
                      <w:divBdr>
                        <w:top w:val="none" w:sz="0" w:space="0" w:color="auto"/>
                        <w:left w:val="none" w:sz="0" w:space="0" w:color="auto"/>
                        <w:bottom w:val="none" w:sz="0" w:space="0" w:color="auto"/>
                        <w:right w:val="none" w:sz="0" w:space="0" w:color="auto"/>
                      </w:divBdr>
                      <w:divsChild>
                        <w:div w:id="1493641146">
                          <w:marLeft w:val="0"/>
                          <w:marRight w:val="-14400"/>
                          <w:marTop w:val="0"/>
                          <w:marBottom w:val="0"/>
                          <w:divBdr>
                            <w:top w:val="none" w:sz="0" w:space="0" w:color="auto"/>
                            <w:left w:val="none" w:sz="0" w:space="0" w:color="auto"/>
                            <w:bottom w:val="none" w:sz="0" w:space="0" w:color="auto"/>
                            <w:right w:val="none" w:sz="0" w:space="0" w:color="auto"/>
                          </w:divBdr>
                          <w:divsChild>
                            <w:div w:id="548225284">
                              <w:marLeft w:val="0"/>
                              <w:marRight w:val="0"/>
                              <w:marTop w:val="0"/>
                              <w:marBottom w:val="0"/>
                              <w:divBdr>
                                <w:top w:val="none" w:sz="0" w:space="0" w:color="auto"/>
                                <w:left w:val="none" w:sz="0" w:space="0" w:color="auto"/>
                                <w:bottom w:val="none" w:sz="0" w:space="0" w:color="auto"/>
                                <w:right w:val="none" w:sz="0" w:space="0" w:color="auto"/>
                              </w:divBdr>
                              <w:divsChild>
                                <w:div w:id="2001300258">
                                  <w:marLeft w:val="0"/>
                                  <w:marRight w:val="0"/>
                                  <w:marTop w:val="0"/>
                                  <w:marBottom w:val="0"/>
                                  <w:divBdr>
                                    <w:top w:val="none" w:sz="0" w:space="0" w:color="auto"/>
                                    <w:left w:val="none" w:sz="0" w:space="0" w:color="auto"/>
                                    <w:bottom w:val="none" w:sz="0" w:space="0" w:color="auto"/>
                                    <w:right w:val="none" w:sz="0" w:space="0" w:color="auto"/>
                                  </w:divBdr>
                                  <w:divsChild>
                                    <w:div w:id="1248541980">
                                      <w:marLeft w:val="0"/>
                                      <w:marRight w:val="0"/>
                                      <w:marTop w:val="0"/>
                                      <w:marBottom w:val="0"/>
                                      <w:divBdr>
                                        <w:top w:val="none" w:sz="0" w:space="0" w:color="auto"/>
                                        <w:left w:val="none" w:sz="0" w:space="0" w:color="auto"/>
                                        <w:bottom w:val="none" w:sz="0" w:space="0" w:color="auto"/>
                                        <w:right w:val="none" w:sz="0" w:space="0" w:color="auto"/>
                                      </w:divBdr>
                                      <w:divsChild>
                                        <w:div w:id="3905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927363">
      <w:bodyDiv w:val="1"/>
      <w:marLeft w:val="0"/>
      <w:marRight w:val="0"/>
      <w:marTop w:val="0"/>
      <w:marBottom w:val="0"/>
      <w:divBdr>
        <w:top w:val="none" w:sz="0" w:space="0" w:color="auto"/>
        <w:left w:val="none" w:sz="0" w:space="0" w:color="auto"/>
        <w:bottom w:val="none" w:sz="0" w:space="0" w:color="auto"/>
        <w:right w:val="none" w:sz="0" w:space="0" w:color="auto"/>
      </w:divBdr>
    </w:div>
    <w:div w:id="611061489">
      <w:bodyDiv w:val="1"/>
      <w:marLeft w:val="0"/>
      <w:marRight w:val="0"/>
      <w:marTop w:val="0"/>
      <w:marBottom w:val="0"/>
      <w:divBdr>
        <w:top w:val="none" w:sz="0" w:space="0" w:color="auto"/>
        <w:left w:val="none" w:sz="0" w:space="0" w:color="auto"/>
        <w:bottom w:val="none" w:sz="0" w:space="0" w:color="auto"/>
        <w:right w:val="none" w:sz="0" w:space="0" w:color="auto"/>
      </w:divBdr>
    </w:div>
    <w:div w:id="621614564">
      <w:bodyDiv w:val="1"/>
      <w:marLeft w:val="0"/>
      <w:marRight w:val="0"/>
      <w:marTop w:val="0"/>
      <w:marBottom w:val="0"/>
      <w:divBdr>
        <w:top w:val="none" w:sz="0" w:space="0" w:color="auto"/>
        <w:left w:val="none" w:sz="0" w:space="0" w:color="auto"/>
        <w:bottom w:val="none" w:sz="0" w:space="0" w:color="auto"/>
        <w:right w:val="none" w:sz="0" w:space="0" w:color="auto"/>
      </w:divBdr>
    </w:div>
    <w:div w:id="663359987">
      <w:bodyDiv w:val="1"/>
      <w:marLeft w:val="0"/>
      <w:marRight w:val="0"/>
      <w:marTop w:val="0"/>
      <w:marBottom w:val="0"/>
      <w:divBdr>
        <w:top w:val="none" w:sz="0" w:space="0" w:color="auto"/>
        <w:left w:val="none" w:sz="0" w:space="0" w:color="auto"/>
        <w:bottom w:val="none" w:sz="0" w:space="0" w:color="auto"/>
        <w:right w:val="none" w:sz="0" w:space="0" w:color="auto"/>
      </w:divBdr>
    </w:div>
    <w:div w:id="705639211">
      <w:bodyDiv w:val="1"/>
      <w:marLeft w:val="0"/>
      <w:marRight w:val="0"/>
      <w:marTop w:val="0"/>
      <w:marBottom w:val="0"/>
      <w:divBdr>
        <w:top w:val="none" w:sz="0" w:space="0" w:color="auto"/>
        <w:left w:val="none" w:sz="0" w:space="0" w:color="auto"/>
        <w:bottom w:val="none" w:sz="0" w:space="0" w:color="auto"/>
        <w:right w:val="none" w:sz="0" w:space="0" w:color="auto"/>
      </w:divBdr>
    </w:div>
    <w:div w:id="713193182">
      <w:bodyDiv w:val="1"/>
      <w:marLeft w:val="0"/>
      <w:marRight w:val="0"/>
      <w:marTop w:val="0"/>
      <w:marBottom w:val="0"/>
      <w:divBdr>
        <w:top w:val="none" w:sz="0" w:space="0" w:color="auto"/>
        <w:left w:val="none" w:sz="0" w:space="0" w:color="auto"/>
        <w:bottom w:val="none" w:sz="0" w:space="0" w:color="auto"/>
        <w:right w:val="none" w:sz="0" w:space="0" w:color="auto"/>
      </w:divBdr>
    </w:div>
    <w:div w:id="716974224">
      <w:bodyDiv w:val="1"/>
      <w:marLeft w:val="0"/>
      <w:marRight w:val="0"/>
      <w:marTop w:val="0"/>
      <w:marBottom w:val="0"/>
      <w:divBdr>
        <w:top w:val="none" w:sz="0" w:space="0" w:color="auto"/>
        <w:left w:val="none" w:sz="0" w:space="0" w:color="auto"/>
        <w:bottom w:val="none" w:sz="0" w:space="0" w:color="auto"/>
        <w:right w:val="none" w:sz="0" w:space="0" w:color="auto"/>
      </w:divBdr>
    </w:div>
    <w:div w:id="727458133">
      <w:bodyDiv w:val="1"/>
      <w:marLeft w:val="0"/>
      <w:marRight w:val="0"/>
      <w:marTop w:val="0"/>
      <w:marBottom w:val="0"/>
      <w:divBdr>
        <w:top w:val="none" w:sz="0" w:space="0" w:color="auto"/>
        <w:left w:val="none" w:sz="0" w:space="0" w:color="auto"/>
        <w:bottom w:val="none" w:sz="0" w:space="0" w:color="auto"/>
        <w:right w:val="none" w:sz="0" w:space="0" w:color="auto"/>
      </w:divBdr>
    </w:div>
    <w:div w:id="823088377">
      <w:bodyDiv w:val="1"/>
      <w:marLeft w:val="0"/>
      <w:marRight w:val="0"/>
      <w:marTop w:val="0"/>
      <w:marBottom w:val="0"/>
      <w:divBdr>
        <w:top w:val="none" w:sz="0" w:space="0" w:color="auto"/>
        <w:left w:val="none" w:sz="0" w:space="0" w:color="auto"/>
        <w:bottom w:val="none" w:sz="0" w:space="0" w:color="auto"/>
        <w:right w:val="none" w:sz="0" w:space="0" w:color="auto"/>
      </w:divBdr>
    </w:div>
    <w:div w:id="830750897">
      <w:bodyDiv w:val="1"/>
      <w:marLeft w:val="0"/>
      <w:marRight w:val="0"/>
      <w:marTop w:val="0"/>
      <w:marBottom w:val="0"/>
      <w:divBdr>
        <w:top w:val="none" w:sz="0" w:space="0" w:color="auto"/>
        <w:left w:val="none" w:sz="0" w:space="0" w:color="auto"/>
        <w:bottom w:val="none" w:sz="0" w:space="0" w:color="auto"/>
        <w:right w:val="none" w:sz="0" w:space="0" w:color="auto"/>
      </w:divBdr>
    </w:div>
    <w:div w:id="982733531">
      <w:bodyDiv w:val="1"/>
      <w:marLeft w:val="0"/>
      <w:marRight w:val="0"/>
      <w:marTop w:val="0"/>
      <w:marBottom w:val="0"/>
      <w:divBdr>
        <w:top w:val="none" w:sz="0" w:space="0" w:color="auto"/>
        <w:left w:val="none" w:sz="0" w:space="0" w:color="auto"/>
        <w:bottom w:val="none" w:sz="0" w:space="0" w:color="auto"/>
        <w:right w:val="none" w:sz="0" w:space="0" w:color="auto"/>
      </w:divBdr>
    </w:div>
    <w:div w:id="1003162807">
      <w:bodyDiv w:val="1"/>
      <w:marLeft w:val="0"/>
      <w:marRight w:val="0"/>
      <w:marTop w:val="0"/>
      <w:marBottom w:val="0"/>
      <w:divBdr>
        <w:top w:val="none" w:sz="0" w:space="0" w:color="auto"/>
        <w:left w:val="none" w:sz="0" w:space="0" w:color="auto"/>
        <w:bottom w:val="none" w:sz="0" w:space="0" w:color="auto"/>
        <w:right w:val="none" w:sz="0" w:space="0" w:color="auto"/>
      </w:divBdr>
    </w:div>
    <w:div w:id="1081490522">
      <w:bodyDiv w:val="1"/>
      <w:marLeft w:val="0"/>
      <w:marRight w:val="0"/>
      <w:marTop w:val="0"/>
      <w:marBottom w:val="0"/>
      <w:divBdr>
        <w:top w:val="none" w:sz="0" w:space="0" w:color="auto"/>
        <w:left w:val="none" w:sz="0" w:space="0" w:color="auto"/>
        <w:bottom w:val="none" w:sz="0" w:space="0" w:color="auto"/>
        <w:right w:val="none" w:sz="0" w:space="0" w:color="auto"/>
      </w:divBdr>
    </w:div>
    <w:div w:id="1121265710">
      <w:bodyDiv w:val="1"/>
      <w:marLeft w:val="0"/>
      <w:marRight w:val="0"/>
      <w:marTop w:val="0"/>
      <w:marBottom w:val="0"/>
      <w:divBdr>
        <w:top w:val="none" w:sz="0" w:space="0" w:color="auto"/>
        <w:left w:val="none" w:sz="0" w:space="0" w:color="auto"/>
        <w:bottom w:val="none" w:sz="0" w:space="0" w:color="auto"/>
        <w:right w:val="none" w:sz="0" w:space="0" w:color="auto"/>
      </w:divBdr>
    </w:div>
    <w:div w:id="1149135572">
      <w:bodyDiv w:val="1"/>
      <w:marLeft w:val="0"/>
      <w:marRight w:val="0"/>
      <w:marTop w:val="0"/>
      <w:marBottom w:val="0"/>
      <w:divBdr>
        <w:top w:val="none" w:sz="0" w:space="0" w:color="auto"/>
        <w:left w:val="none" w:sz="0" w:space="0" w:color="auto"/>
        <w:bottom w:val="none" w:sz="0" w:space="0" w:color="auto"/>
        <w:right w:val="none" w:sz="0" w:space="0" w:color="auto"/>
      </w:divBdr>
    </w:div>
    <w:div w:id="1223061643">
      <w:bodyDiv w:val="1"/>
      <w:marLeft w:val="0"/>
      <w:marRight w:val="0"/>
      <w:marTop w:val="0"/>
      <w:marBottom w:val="0"/>
      <w:divBdr>
        <w:top w:val="none" w:sz="0" w:space="0" w:color="auto"/>
        <w:left w:val="none" w:sz="0" w:space="0" w:color="auto"/>
        <w:bottom w:val="none" w:sz="0" w:space="0" w:color="auto"/>
        <w:right w:val="none" w:sz="0" w:space="0" w:color="auto"/>
      </w:divBdr>
    </w:div>
    <w:div w:id="1238709399">
      <w:bodyDiv w:val="1"/>
      <w:marLeft w:val="0"/>
      <w:marRight w:val="0"/>
      <w:marTop w:val="0"/>
      <w:marBottom w:val="0"/>
      <w:divBdr>
        <w:top w:val="none" w:sz="0" w:space="0" w:color="auto"/>
        <w:left w:val="none" w:sz="0" w:space="0" w:color="auto"/>
        <w:bottom w:val="none" w:sz="0" w:space="0" w:color="auto"/>
        <w:right w:val="none" w:sz="0" w:space="0" w:color="auto"/>
      </w:divBdr>
    </w:div>
    <w:div w:id="1257057562">
      <w:bodyDiv w:val="1"/>
      <w:marLeft w:val="0"/>
      <w:marRight w:val="0"/>
      <w:marTop w:val="0"/>
      <w:marBottom w:val="0"/>
      <w:divBdr>
        <w:top w:val="none" w:sz="0" w:space="0" w:color="auto"/>
        <w:left w:val="none" w:sz="0" w:space="0" w:color="auto"/>
        <w:bottom w:val="none" w:sz="0" w:space="0" w:color="auto"/>
        <w:right w:val="none" w:sz="0" w:space="0" w:color="auto"/>
      </w:divBdr>
    </w:div>
    <w:div w:id="1260870355">
      <w:bodyDiv w:val="1"/>
      <w:marLeft w:val="0"/>
      <w:marRight w:val="0"/>
      <w:marTop w:val="0"/>
      <w:marBottom w:val="0"/>
      <w:divBdr>
        <w:top w:val="none" w:sz="0" w:space="0" w:color="auto"/>
        <w:left w:val="none" w:sz="0" w:space="0" w:color="auto"/>
        <w:bottom w:val="none" w:sz="0" w:space="0" w:color="auto"/>
        <w:right w:val="none" w:sz="0" w:space="0" w:color="auto"/>
      </w:divBdr>
    </w:div>
    <w:div w:id="1283221214">
      <w:bodyDiv w:val="1"/>
      <w:marLeft w:val="0"/>
      <w:marRight w:val="0"/>
      <w:marTop w:val="0"/>
      <w:marBottom w:val="0"/>
      <w:divBdr>
        <w:top w:val="none" w:sz="0" w:space="0" w:color="auto"/>
        <w:left w:val="none" w:sz="0" w:space="0" w:color="auto"/>
        <w:bottom w:val="none" w:sz="0" w:space="0" w:color="auto"/>
        <w:right w:val="none" w:sz="0" w:space="0" w:color="auto"/>
      </w:divBdr>
    </w:div>
    <w:div w:id="1423525233">
      <w:bodyDiv w:val="1"/>
      <w:marLeft w:val="0"/>
      <w:marRight w:val="0"/>
      <w:marTop w:val="0"/>
      <w:marBottom w:val="0"/>
      <w:divBdr>
        <w:top w:val="none" w:sz="0" w:space="0" w:color="auto"/>
        <w:left w:val="none" w:sz="0" w:space="0" w:color="auto"/>
        <w:bottom w:val="none" w:sz="0" w:space="0" w:color="auto"/>
        <w:right w:val="none" w:sz="0" w:space="0" w:color="auto"/>
      </w:divBdr>
    </w:div>
    <w:div w:id="1536964086">
      <w:bodyDiv w:val="1"/>
      <w:marLeft w:val="0"/>
      <w:marRight w:val="0"/>
      <w:marTop w:val="0"/>
      <w:marBottom w:val="0"/>
      <w:divBdr>
        <w:top w:val="none" w:sz="0" w:space="0" w:color="auto"/>
        <w:left w:val="none" w:sz="0" w:space="0" w:color="auto"/>
        <w:bottom w:val="none" w:sz="0" w:space="0" w:color="auto"/>
        <w:right w:val="none" w:sz="0" w:space="0" w:color="auto"/>
      </w:divBdr>
    </w:div>
    <w:div w:id="1602108899">
      <w:bodyDiv w:val="1"/>
      <w:marLeft w:val="0"/>
      <w:marRight w:val="0"/>
      <w:marTop w:val="0"/>
      <w:marBottom w:val="0"/>
      <w:divBdr>
        <w:top w:val="none" w:sz="0" w:space="0" w:color="auto"/>
        <w:left w:val="none" w:sz="0" w:space="0" w:color="auto"/>
        <w:bottom w:val="none" w:sz="0" w:space="0" w:color="auto"/>
        <w:right w:val="none" w:sz="0" w:space="0" w:color="auto"/>
      </w:divBdr>
    </w:div>
    <w:div w:id="1608537427">
      <w:bodyDiv w:val="1"/>
      <w:marLeft w:val="0"/>
      <w:marRight w:val="0"/>
      <w:marTop w:val="0"/>
      <w:marBottom w:val="0"/>
      <w:divBdr>
        <w:top w:val="none" w:sz="0" w:space="0" w:color="auto"/>
        <w:left w:val="none" w:sz="0" w:space="0" w:color="auto"/>
        <w:bottom w:val="none" w:sz="0" w:space="0" w:color="auto"/>
        <w:right w:val="none" w:sz="0" w:space="0" w:color="auto"/>
      </w:divBdr>
    </w:div>
    <w:div w:id="1715930301">
      <w:bodyDiv w:val="1"/>
      <w:marLeft w:val="0"/>
      <w:marRight w:val="0"/>
      <w:marTop w:val="0"/>
      <w:marBottom w:val="0"/>
      <w:divBdr>
        <w:top w:val="none" w:sz="0" w:space="0" w:color="auto"/>
        <w:left w:val="none" w:sz="0" w:space="0" w:color="auto"/>
        <w:bottom w:val="none" w:sz="0" w:space="0" w:color="auto"/>
        <w:right w:val="none" w:sz="0" w:space="0" w:color="auto"/>
      </w:divBdr>
    </w:div>
    <w:div w:id="1750149281">
      <w:bodyDiv w:val="1"/>
      <w:marLeft w:val="0"/>
      <w:marRight w:val="0"/>
      <w:marTop w:val="0"/>
      <w:marBottom w:val="0"/>
      <w:divBdr>
        <w:top w:val="none" w:sz="0" w:space="0" w:color="auto"/>
        <w:left w:val="none" w:sz="0" w:space="0" w:color="auto"/>
        <w:bottom w:val="none" w:sz="0" w:space="0" w:color="auto"/>
        <w:right w:val="none" w:sz="0" w:space="0" w:color="auto"/>
      </w:divBdr>
    </w:div>
    <w:div w:id="1901403871">
      <w:bodyDiv w:val="1"/>
      <w:marLeft w:val="0"/>
      <w:marRight w:val="0"/>
      <w:marTop w:val="0"/>
      <w:marBottom w:val="0"/>
      <w:divBdr>
        <w:top w:val="none" w:sz="0" w:space="0" w:color="auto"/>
        <w:left w:val="none" w:sz="0" w:space="0" w:color="auto"/>
        <w:bottom w:val="none" w:sz="0" w:space="0" w:color="auto"/>
        <w:right w:val="none" w:sz="0" w:space="0" w:color="auto"/>
      </w:divBdr>
    </w:div>
    <w:div w:id="1913272304">
      <w:bodyDiv w:val="1"/>
      <w:marLeft w:val="0"/>
      <w:marRight w:val="0"/>
      <w:marTop w:val="0"/>
      <w:marBottom w:val="0"/>
      <w:divBdr>
        <w:top w:val="none" w:sz="0" w:space="0" w:color="auto"/>
        <w:left w:val="none" w:sz="0" w:space="0" w:color="auto"/>
        <w:bottom w:val="none" w:sz="0" w:space="0" w:color="auto"/>
        <w:right w:val="none" w:sz="0" w:space="0" w:color="auto"/>
      </w:divBdr>
    </w:div>
    <w:div w:id="1960451354">
      <w:bodyDiv w:val="1"/>
      <w:marLeft w:val="0"/>
      <w:marRight w:val="0"/>
      <w:marTop w:val="0"/>
      <w:marBottom w:val="0"/>
      <w:divBdr>
        <w:top w:val="none" w:sz="0" w:space="0" w:color="auto"/>
        <w:left w:val="none" w:sz="0" w:space="0" w:color="auto"/>
        <w:bottom w:val="none" w:sz="0" w:space="0" w:color="auto"/>
        <w:right w:val="none" w:sz="0" w:space="0" w:color="auto"/>
      </w:divBdr>
    </w:div>
    <w:div w:id="2031368707">
      <w:bodyDiv w:val="1"/>
      <w:marLeft w:val="0"/>
      <w:marRight w:val="0"/>
      <w:marTop w:val="0"/>
      <w:marBottom w:val="0"/>
      <w:divBdr>
        <w:top w:val="none" w:sz="0" w:space="0" w:color="auto"/>
        <w:left w:val="none" w:sz="0" w:space="0" w:color="auto"/>
        <w:bottom w:val="none" w:sz="0" w:space="0" w:color="auto"/>
        <w:right w:val="none" w:sz="0" w:space="0" w:color="auto"/>
      </w:divBdr>
    </w:div>
    <w:div w:id="2037537214">
      <w:bodyDiv w:val="1"/>
      <w:marLeft w:val="0"/>
      <w:marRight w:val="0"/>
      <w:marTop w:val="0"/>
      <w:marBottom w:val="0"/>
      <w:divBdr>
        <w:top w:val="none" w:sz="0" w:space="0" w:color="auto"/>
        <w:left w:val="none" w:sz="0" w:space="0" w:color="auto"/>
        <w:bottom w:val="none" w:sz="0" w:space="0" w:color="auto"/>
        <w:right w:val="none" w:sz="0" w:space="0" w:color="auto"/>
      </w:divBdr>
    </w:div>
    <w:div w:id="2084177559">
      <w:bodyDiv w:val="1"/>
      <w:marLeft w:val="0"/>
      <w:marRight w:val="0"/>
      <w:marTop w:val="0"/>
      <w:marBottom w:val="0"/>
      <w:divBdr>
        <w:top w:val="none" w:sz="0" w:space="0" w:color="auto"/>
        <w:left w:val="none" w:sz="0" w:space="0" w:color="auto"/>
        <w:bottom w:val="none" w:sz="0" w:space="0" w:color="auto"/>
        <w:right w:val="none" w:sz="0" w:space="0" w:color="auto"/>
      </w:divBdr>
    </w:div>
    <w:div w:id="2105683152">
      <w:bodyDiv w:val="1"/>
      <w:marLeft w:val="0"/>
      <w:marRight w:val="0"/>
      <w:marTop w:val="0"/>
      <w:marBottom w:val="0"/>
      <w:divBdr>
        <w:top w:val="none" w:sz="0" w:space="0" w:color="auto"/>
        <w:left w:val="none" w:sz="0" w:space="0" w:color="auto"/>
        <w:bottom w:val="none" w:sz="0" w:space="0" w:color="auto"/>
        <w:right w:val="none" w:sz="0" w:space="0" w:color="auto"/>
      </w:divBdr>
    </w:div>
    <w:div w:id="211216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www.worldbank.org/engenderimpac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cie.ed.asu.edu/volume6/number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hyperlink" Target="http://www.leighlinden.com/Gratuidad%20Draft%202007-01.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6C8BD-FB5E-40F9-AB2D-B53DABBE6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4323</Words>
  <Characters>24933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enGender Impact: The World Bank’s Gender Impact Evaluation Database</vt:lpstr>
    </vt:vector>
  </TitlesOfParts>
  <Company>The World Bank Group</Company>
  <LinksUpToDate>false</LinksUpToDate>
  <CharactersWithSpaces>29198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enGender Impact: The World Bank’s Gender Impact Evaluation Database</dc:title>
  <dc:creator>Jordan Sylvan Solomon</dc:creator>
  <cp:lastModifiedBy>World Bank Group</cp:lastModifiedBy>
  <cp:revision>4</cp:revision>
  <cp:lastPrinted>2014-08-07T14:54:00Z</cp:lastPrinted>
  <dcterms:created xsi:type="dcterms:W3CDTF">2014-08-18T20:22:00Z</dcterms:created>
  <dcterms:modified xsi:type="dcterms:W3CDTF">2014-08-18T21:05:00Z</dcterms:modified>
</cp:coreProperties>
</file>